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432" w:lineRule="auto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color w:val="222222"/>
          <w:sz w:val="44"/>
          <w:szCs w:val="44"/>
        </w:rPr>
        <w:t>盘龙区民族宗教局</w:t>
      </w:r>
      <w:r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  <w:lang w:val="en-US" w:eastAsia="zh-CN"/>
        </w:rPr>
        <w:t>2017</w:t>
      </w:r>
      <w:r>
        <w:rPr>
          <w:rFonts w:hint="eastAsia" w:ascii="方正小标宋简体" w:hAnsi="方正小标宋简体" w:eastAsia="方正小标宋简体" w:cs="方正小标宋简体"/>
          <w:color w:val="222222"/>
          <w:sz w:val="44"/>
          <w:szCs w:val="44"/>
        </w:rPr>
        <w:t>年财政拨款“三公”经费预算情况说明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_GB2312" w:hAnsi="Times New Roman" w:eastAsia="仿宋_GB2312" w:cs="仿宋_GB2312"/>
          <w:color w:val="000000"/>
          <w:sz w:val="32"/>
          <w:szCs w:val="32"/>
        </w:rPr>
        <w:t>盘龙区民族宗教局财政拨款“三公”经费预算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201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年情况如下：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一、因公出国（境）经费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无此项经费。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二、公务接待费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无此项经费。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三、公务用车购置及运行维护费</w:t>
      </w:r>
    </w:p>
    <w:p>
      <w:pPr>
        <w:pStyle w:val="2"/>
        <w:keepNext w:val="0"/>
        <w:keepLines w:val="0"/>
        <w:widowControl/>
        <w:suppressLineNumbers w:val="0"/>
        <w:snapToGrid w:val="0"/>
        <w:spacing w:before="0" w:beforeAutospacing="0" w:after="150" w:afterAutospacing="0" w:line="62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无此项经费。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B7FC9"/>
    <w:rsid w:val="66A7157D"/>
    <w:rsid w:val="6A9B7FC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uiPriority w:val="0"/>
    <w:rPr>
      <w:color w:val="444444"/>
      <w:u w:val="none"/>
    </w:rPr>
  </w:style>
  <w:style w:type="character" w:styleId="5">
    <w:name w:val="Hyperlink"/>
    <w:basedOn w:val="3"/>
    <w:uiPriority w:val="0"/>
    <w:rPr>
      <w:color w:val="4444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2017-03-31T03:07:00Z</dcterms:created>
  <dc:creator>hp</dc:creator>
  <cp:lastModifiedBy>hp</cp:lastModifiedBy>
  <dcterms:modified xsi:type="dcterms:W3CDTF">2017-03-31T03:08:36Z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