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1 -->
  <w:body>
    <w:p>
      <w:pPr>
        <w:rPr>
          <w:rFonts w:ascii="Arial" w:eastAsia="Arial" w:hAnsi="Arial" w:cs="Arial"/>
          <w:b/>
          <w:sz w:val="36"/>
        </w:rPr>
      </w:pPr>
      <w:r>
        <w:rPr>
          <w:rFonts w:ascii="Arial" w:eastAsia="Arial" w:hAnsi="Arial" w:cs="Arial"/>
          <w:b/>
          <w:sz w:val="36"/>
        </w:rPr>
        <w:t>监督索引号53010300122301000</w:t>
      </w:r>
    </w:p>
    <w:p w:rsidR="00A77723" w:rsidRPr="00362D66">
      <w:pPr>
        <w:jc w:val="center"/>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盘龙区新闻宣传中心2017</w:t>
      </w:r>
      <w:r w:rsidRPr="00362D66" w:rsidR="008D7002">
        <w:rPr>
          <w:rFonts w:asciiTheme="minorEastAsia" w:eastAsiaTheme="minorEastAsia" w:hAnsiTheme="minorEastAsia" w:hint="eastAsia"/>
          <w:b/>
          <w:sz w:val="36"/>
          <w:szCs w:val="36"/>
        </w:rPr>
        <w:t>年度部门决算</w:t>
      </w:r>
    </w:p>
    <w:p w:rsidR="00A77723" w:rsidRPr="00362D66">
      <w:pPr>
        <w:jc w:val="center"/>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 xml:space="preserve">第一部分  </w:t>
      </w:r>
      <w:r w:rsidRPr="00362D66" w:rsidR="00E32715">
        <w:rPr>
          <w:rFonts w:asciiTheme="minorEastAsia" w:eastAsiaTheme="minorEastAsia" w:hAnsiTheme="minorEastAsia" w:hint="eastAsia"/>
          <w:b/>
          <w:sz w:val="36"/>
          <w:szCs w:val="36"/>
        </w:rPr>
        <w:t>区</w:t>
      </w:r>
      <w:r w:rsidRPr="00362D66" w:rsidR="00D11ECE">
        <w:rPr>
          <w:rFonts w:asciiTheme="minorEastAsia" w:eastAsiaTheme="minorEastAsia" w:hAnsiTheme="minorEastAsia" w:hint="eastAsia"/>
          <w:b/>
          <w:sz w:val="36"/>
          <w:szCs w:val="36"/>
        </w:rPr>
        <w:t>新闻宣传中心</w:t>
      </w:r>
      <w:r w:rsidRPr="00362D66">
        <w:rPr>
          <w:rFonts w:asciiTheme="minorEastAsia" w:eastAsiaTheme="minorEastAsia" w:hAnsiTheme="minorEastAsia" w:hint="eastAsia"/>
          <w:b/>
          <w:sz w:val="36"/>
          <w:szCs w:val="36"/>
        </w:rPr>
        <w:t>概况</w:t>
      </w:r>
    </w:p>
    <w:p w:rsidR="00A77723" w:rsidRPr="00362D66" w:rsidP="00362D66">
      <w:pPr>
        <w:spacing w:line="600" w:lineRule="exact"/>
        <w:ind w:firstLine="720" w:firstLineChars="200"/>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一、主要职能</w:t>
      </w:r>
    </w:p>
    <w:p w:rsidR="006643CA" w:rsidRPr="00E32715" w:rsidP="00E32715">
      <w:pPr>
        <w:spacing w:line="600" w:lineRule="exact"/>
        <w:ind w:firstLine="480" w:firstLineChars="200"/>
        <w:rPr>
          <w:rFonts w:asciiTheme="minorEastAsia" w:eastAsiaTheme="minorEastAsia" w:hAnsiTheme="minorEastAsia"/>
          <w:sz w:val="24"/>
        </w:rPr>
      </w:pPr>
      <w:r w:rsidRPr="00E32715">
        <w:rPr>
          <w:rFonts w:asciiTheme="minorEastAsia" w:eastAsiaTheme="minorEastAsia" w:hAnsiTheme="minorEastAsia"/>
          <w:sz w:val="24"/>
        </w:rPr>
        <w:t>1</w:t>
      </w:r>
      <w:r w:rsidRPr="00E32715">
        <w:rPr>
          <w:rFonts w:asciiTheme="minorEastAsia" w:eastAsiaTheme="minorEastAsia" w:hAnsiTheme="minorEastAsia" w:hint="eastAsia"/>
          <w:sz w:val="24"/>
        </w:rPr>
        <w:t>、围绕区委、区政府中心工作，负责制定全区报纸、电视新闻宣传报道工作的总体方案、计划不同时期新闻宣传报道重点。</w:t>
      </w:r>
    </w:p>
    <w:p w:rsidR="006643CA" w:rsidRPr="00E32715" w:rsidP="00E32715">
      <w:pPr>
        <w:spacing w:line="600" w:lineRule="exact"/>
        <w:ind w:firstLine="480" w:firstLineChars="200"/>
        <w:rPr>
          <w:rFonts w:asciiTheme="minorEastAsia" w:eastAsiaTheme="minorEastAsia" w:hAnsiTheme="minorEastAsia"/>
          <w:sz w:val="24"/>
        </w:rPr>
      </w:pPr>
      <w:r w:rsidRPr="00E32715">
        <w:rPr>
          <w:rFonts w:asciiTheme="minorEastAsia" w:eastAsiaTheme="minorEastAsia" w:hAnsiTheme="minorEastAsia"/>
          <w:sz w:val="24"/>
        </w:rPr>
        <w:t>2</w:t>
      </w:r>
      <w:r w:rsidRPr="00E32715">
        <w:rPr>
          <w:rFonts w:asciiTheme="minorEastAsia" w:eastAsiaTheme="minorEastAsia" w:hAnsiTheme="minorEastAsia" w:hint="eastAsia"/>
          <w:sz w:val="24"/>
        </w:rPr>
        <w:t>、负责实施对报纸新闻稿件刊发前和电视新闻播出前的审查把关。</w:t>
      </w:r>
    </w:p>
    <w:p w:rsidR="006643CA" w:rsidRPr="00E32715" w:rsidP="00E32715">
      <w:pPr>
        <w:spacing w:line="600" w:lineRule="exact"/>
        <w:ind w:firstLine="480" w:firstLineChars="200"/>
        <w:rPr>
          <w:rFonts w:asciiTheme="minorEastAsia" w:eastAsiaTheme="minorEastAsia" w:hAnsiTheme="minorEastAsia"/>
          <w:sz w:val="24"/>
        </w:rPr>
      </w:pPr>
      <w:r w:rsidRPr="00E32715">
        <w:rPr>
          <w:rFonts w:asciiTheme="minorEastAsia" w:eastAsiaTheme="minorEastAsia" w:hAnsiTheme="minorEastAsia"/>
          <w:sz w:val="24"/>
        </w:rPr>
        <w:t>3</w:t>
      </w:r>
      <w:r w:rsidRPr="00E32715">
        <w:rPr>
          <w:rFonts w:asciiTheme="minorEastAsia" w:eastAsiaTheme="minorEastAsia" w:hAnsiTheme="minorEastAsia" w:hint="eastAsia"/>
          <w:sz w:val="24"/>
        </w:rPr>
        <w:t>、负责实施对报纸电视新闻宣传的统一策划，与采访报道活动的组织安排。</w:t>
      </w:r>
    </w:p>
    <w:p w:rsidR="006643CA" w:rsidRPr="00E32715" w:rsidP="00E32715">
      <w:pPr>
        <w:spacing w:line="600" w:lineRule="exact"/>
        <w:ind w:firstLine="480" w:firstLineChars="200"/>
        <w:rPr>
          <w:rFonts w:asciiTheme="minorEastAsia" w:eastAsiaTheme="minorEastAsia" w:hAnsiTheme="minorEastAsia"/>
          <w:sz w:val="24"/>
        </w:rPr>
      </w:pPr>
      <w:r w:rsidRPr="00E32715">
        <w:rPr>
          <w:rFonts w:asciiTheme="minorEastAsia" w:eastAsiaTheme="minorEastAsia" w:hAnsiTheme="minorEastAsia" w:hint="eastAsia"/>
          <w:sz w:val="24"/>
        </w:rPr>
        <w:t>机构编制：内设机构</w:t>
      </w:r>
      <w:r w:rsidRPr="00E32715">
        <w:rPr>
          <w:rFonts w:asciiTheme="minorEastAsia" w:eastAsiaTheme="minorEastAsia" w:hAnsiTheme="minorEastAsia"/>
          <w:sz w:val="24"/>
        </w:rPr>
        <w:t>3</w:t>
      </w:r>
      <w:r w:rsidRPr="00E32715">
        <w:rPr>
          <w:rFonts w:asciiTheme="minorEastAsia" w:eastAsiaTheme="minorEastAsia" w:hAnsiTheme="minorEastAsia" w:hint="eastAsia"/>
          <w:sz w:val="24"/>
        </w:rPr>
        <w:t>个，分别是办公室、采编室、研究室。</w:t>
      </w:r>
    </w:p>
    <w:p w:rsidR="0021641B" w:rsidRPr="00E32715" w:rsidP="00942402">
      <w:pPr>
        <w:pStyle w:val="BodyText"/>
        <w:adjustRightInd w:val="0"/>
        <w:snapToGrid w:val="0"/>
        <w:spacing w:before="93" w:line="600" w:lineRule="exact"/>
        <w:ind w:firstLine="504" w:firstLineChars="210"/>
        <w:rPr>
          <w:rFonts w:asciiTheme="minorEastAsia" w:eastAsiaTheme="minorEastAsia" w:hAnsiTheme="minorEastAsia"/>
          <w:bCs/>
          <w:sz w:val="24"/>
        </w:rPr>
      </w:pPr>
      <w:r w:rsidRPr="00E32715">
        <w:rPr>
          <w:rFonts w:asciiTheme="minorEastAsia" w:eastAsiaTheme="minorEastAsia" w:hAnsiTheme="minorEastAsia" w:hint="eastAsia"/>
          <w:bCs/>
          <w:sz w:val="24"/>
        </w:rPr>
        <w:t>抓好内外宣工作，突出强化宣传部门外宣工作指导协调工作职能，创新外宣培训工作机制，进一步探索重大主题策划工作机制，健全网络舆情快速反应和分级处置机制，加大网上宣传队伍建设，强化网络宣传，加大官方微博等新兴平台应用的探索力度，探索建立社区微信。</w:t>
      </w:r>
    </w:p>
    <w:p w:rsidR="00D11ECE" w:rsidRPr="00E32715" w:rsidP="00942402">
      <w:pPr>
        <w:pStyle w:val="BodyText"/>
        <w:adjustRightInd w:val="0"/>
        <w:snapToGrid w:val="0"/>
        <w:spacing w:before="93" w:line="600" w:lineRule="exact"/>
        <w:ind w:firstLine="504" w:firstLineChars="210"/>
        <w:rPr>
          <w:rFonts w:asciiTheme="minorEastAsia" w:eastAsiaTheme="minorEastAsia" w:hAnsiTheme="minorEastAsia"/>
          <w:bCs/>
          <w:sz w:val="24"/>
        </w:rPr>
      </w:pPr>
      <w:r w:rsidRPr="00E32715">
        <w:rPr>
          <w:rFonts w:asciiTheme="minorEastAsia" w:eastAsiaTheme="minorEastAsia" w:hAnsiTheme="minorEastAsia" w:hint="eastAsia"/>
          <w:bCs/>
          <w:sz w:val="24"/>
        </w:rPr>
        <w:t>1.一"网"覆盖，落实"两个责任"</w:t>
      </w:r>
    </w:p>
    <w:p w:rsidR="0021641B" w:rsidRPr="00E32715" w:rsidP="00942402">
      <w:pPr>
        <w:pStyle w:val="BodyText"/>
        <w:adjustRightInd w:val="0"/>
        <w:snapToGrid w:val="0"/>
        <w:spacing w:before="93" w:line="600" w:lineRule="exact"/>
        <w:ind w:firstLine="504" w:firstLineChars="210"/>
        <w:rPr>
          <w:rFonts w:asciiTheme="minorEastAsia" w:eastAsiaTheme="minorEastAsia" w:hAnsiTheme="minorEastAsia"/>
          <w:bCs/>
          <w:sz w:val="24"/>
        </w:rPr>
      </w:pPr>
      <w:r w:rsidRPr="00E32715">
        <w:rPr>
          <w:rFonts w:asciiTheme="minorEastAsia" w:eastAsiaTheme="minorEastAsia" w:hAnsiTheme="minorEastAsia" w:hint="eastAsia"/>
          <w:bCs/>
          <w:sz w:val="24"/>
        </w:rPr>
        <w:t>强调责任制一张"网"覆盖，突出落实党委（党组）主体责任和领导干部"一岗双责"主线，强化区委、街道、部门党（工）委（党组）、社区党组织三级责任网络，明确宣传部、纪委、组织部、政法委、统战部、台办侨办、工商联、民宗局、公安分局、教育局、文体旅局、司法局、民政局、编办、财政局15个重点部门工作责任，形成横向全覆盖和纵向无死角的责任落实立体网络。</w:t>
      </w:r>
    </w:p>
    <w:p w:rsidR="00D11ECE" w:rsidRPr="00E32715" w:rsidP="00942402">
      <w:pPr>
        <w:pStyle w:val="BodyText"/>
        <w:adjustRightInd w:val="0"/>
        <w:snapToGrid w:val="0"/>
        <w:spacing w:before="93" w:line="600" w:lineRule="exact"/>
        <w:ind w:firstLine="504" w:firstLineChars="210"/>
        <w:rPr>
          <w:rFonts w:asciiTheme="minorEastAsia" w:eastAsiaTheme="minorEastAsia" w:hAnsiTheme="minorEastAsia"/>
          <w:bCs/>
          <w:sz w:val="24"/>
        </w:rPr>
      </w:pPr>
      <w:r w:rsidRPr="00E32715">
        <w:rPr>
          <w:rFonts w:asciiTheme="minorEastAsia" w:eastAsiaTheme="minorEastAsia" w:hAnsiTheme="minorEastAsia" w:hint="eastAsia"/>
          <w:bCs/>
          <w:sz w:val="24"/>
        </w:rPr>
        <w:t>2.二个延伸，加大政民互动</w:t>
      </w:r>
    </w:p>
    <w:p w:rsidR="00D11ECE" w:rsidRPr="00E32715" w:rsidP="00942402">
      <w:pPr>
        <w:pStyle w:val="BodyText"/>
        <w:adjustRightInd w:val="0"/>
        <w:snapToGrid w:val="0"/>
        <w:spacing w:before="93" w:line="600" w:lineRule="exact"/>
        <w:ind w:firstLine="504" w:firstLineChars="210"/>
        <w:rPr>
          <w:rFonts w:asciiTheme="minorEastAsia" w:eastAsiaTheme="minorEastAsia" w:hAnsiTheme="minorEastAsia"/>
          <w:bCs/>
          <w:sz w:val="24"/>
        </w:rPr>
      </w:pPr>
      <w:r w:rsidRPr="00E32715">
        <w:rPr>
          <w:rFonts w:asciiTheme="minorEastAsia" w:eastAsiaTheme="minorEastAsia" w:hAnsiTheme="minorEastAsia" w:hint="eastAsia"/>
          <w:bCs/>
          <w:sz w:val="24"/>
        </w:rPr>
        <w:t>利用我区社会管理"五级治理"模式，将意识形态工作领域向社区、向社会延伸。利用"互联网+"工作格局，将意识形态工作向网络延伸，并通过网络向更广泛的社群</w:t>
      </w:r>
      <w:r w:rsidRPr="00E32715">
        <w:rPr>
          <w:rFonts w:asciiTheme="minorEastAsia" w:eastAsiaTheme="minorEastAsia" w:hAnsiTheme="minorEastAsia" w:hint="eastAsia"/>
          <w:bCs/>
          <w:sz w:val="24"/>
        </w:rPr>
        <w:t>延伸。形成由区委宣传部统筹，街道党工委、社区党组织、居民小组长、楼栋长等组成的基层延伸的意识形态收集研判工作机制。形成由重点网站、微网站、微博、微信全链接转换互动的网络延伸体系。</w:t>
      </w:r>
    </w:p>
    <w:p w:rsidR="0021641B" w:rsidRPr="00E32715" w:rsidP="00942402">
      <w:pPr>
        <w:pStyle w:val="BodyText"/>
        <w:adjustRightInd w:val="0"/>
        <w:snapToGrid w:val="0"/>
        <w:spacing w:before="93"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在宣传和舆情处置方面，通过"市民看盘龙"、市民网络互动、人大代表政协委员说盘龙、舆情处置现场报道等方式，进一步加大了政民互动，增强了宣传和舆论引导的亲和力。</w:t>
      </w:r>
    </w:p>
    <w:p w:rsidR="00A77723" w:rsidRPr="00E32715" w:rsidP="00942402">
      <w:pPr>
        <w:pStyle w:val="BodyText"/>
        <w:adjustRightInd w:val="0"/>
        <w:snapToGrid w:val="0"/>
        <w:spacing w:before="93" w:line="600" w:lineRule="exact"/>
        <w:rPr>
          <w:rFonts w:asciiTheme="minorEastAsia" w:eastAsiaTheme="minorEastAsia" w:hAnsiTheme="minorEastAsia"/>
          <w:bCs/>
          <w:sz w:val="24"/>
        </w:rPr>
      </w:pPr>
      <w:r w:rsidRPr="00E32715">
        <w:rPr>
          <w:rFonts w:asciiTheme="minorEastAsia" w:eastAsiaTheme="minorEastAsia" w:hAnsiTheme="minorEastAsia" w:hint="eastAsia"/>
          <w:bCs/>
          <w:sz w:val="24"/>
        </w:rPr>
        <w:t>（二）</w:t>
      </w:r>
      <w:r w:rsidRPr="00E32715" w:rsidR="00D11ECE">
        <w:rPr>
          <w:rFonts w:asciiTheme="minorEastAsia" w:eastAsiaTheme="minorEastAsia" w:hAnsiTheme="minorEastAsia" w:hint="eastAsia"/>
          <w:bCs/>
          <w:sz w:val="24"/>
        </w:rPr>
        <w:t>2017</w:t>
      </w:r>
      <w:r w:rsidRPr="00E32715">
        <w:rPr>
          <w:rFonts w:asciiTheme="minorEastAsia" w:eastAsiaTheme="minorEastAsia" w:hAnsiTheme="minorEastAsia" w:hint="eastAsia"/>
          <w:bCs/>
          <w:sz w:val="24"/>
        </w:rPr>
        <w:t>年度重点工作任务介绍</w:t>
      </w:r>
    </w:p>
    <w:p w:rsidR="00D11ECE"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围绕盘龙区委、区政府中心工作开展新闻宣传报道，协调驻昆中央及省、市媒体做好对外宣传报道工作。</w:t>
      </w:r>
    </w:p>
    <w:p w:rsid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抓好内外宣工作，突出强化宣传部门外宣工作指导协调工作职能，创新外宣培训工作机制，进一步探索重大主题策划工作机制，健全网络舆情快速反应和分级处置机制，加大网上宣传队伍建设，强化网络宣传，加大官方微博等新兴平台应用的探索力度，探索建立社区微信。</w:t>
      </w:r>
      <w:r w:rsidRPr="00E32715">
        <w:rPr>
          <w:rFonts w:asciiTheme="minorEastAsia" w:eastAsiaTheme="minorEastAsia" w:hAnsiTheme="minorEastAsia" w:hint="eastAsia"/>
          <w:bCs/>
          <w:sz w:val="24"/>
        </w:rPr>
        <w:tab/>
      </w:r>
      <w:r w:rsidRPr="00E32715">
        <w:rPr>
          <w:rFonts w:asciiTheme="minorEastAsia" w:eastAsiaTheme="minorEastAsia" w:hAnsiTheme="minorEastAsia" w:hint="eastAsia"/>
          <w:bCs/>
          <w:sz w:val="24"/>
        </w:rPr>
        <w:tab/>
      </w:r>
    </w:p>
    <w:p w:rsidR="0021641B"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ab/>
      </w:r>
      <w:r w:rsidRPr="00E32715">
        <w:rPr>
          <w:rFonts w:asciiTheme="minorEastAsia" w:eastAsiaTheme="minorEastAsia" w:hAnsiTheme="minorEastAsia" w:hint="eastAsia"/>
          <w:bCs/>
          <w:sz w:val="24"/>
        </w:rPr>
        <w:tab/>
      </w:r>
    </w:p>
    <w:p w:rsidR="00E32715" w:rsidRPr="00362D66" w:rsidP="00362D66">
      <w:pPr>
        <w:spacing w:line="600" w:lineRule="exact"/>
        <w:ind w:firstLine="540" w:firstLineChars="150"/>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二、部门基本情况</w:t>
      </w:r>
    </w:p>
    <w:p w:rsidR="00A77723"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 xml:space="preserve">部门人员和车辆的编制及实有情况 </w:t>
      </w:r>
      <w:r w:rsidRPr="00E32715" w:rsidR="00E32715">
        <w:rPr>
          <w:rFonts w:asciiTheme="minorEastAsia" w:eastAsiaTheme="minorEastAsia" w:hAnsiTheme="minorEastAsia" w:hint="eastAsia"/>
          <w:bCs/>
          <w:sz w:val="24"/>
        </w:rPr>
        <w:t>：</w:t>
      </w:r>
      <w:r w:rsidRPr="00E32715" w:rsidR="0021641B">
        <w:rPr>
          <w:rFonts w:asciiTheme="minorEastAsia" w:eastAsiaTheme="minorEastAsia" w:hAnsiTheme="minorEastAsia" w:hint="eastAsia"/>
          <w:bCs/>
          <w:sz w:val="24"/>
        </w:rPr>
        <w:t>盘龙区新闻宣传中心2017</w:t>
      </w:r>
      <w:r w:rsidRPr="00E32715">
        <w:rPr>
          <w:rFonts w:asciiTheme="minorEastAsia" w:eastAsiaTheme="minorEastAsia" w:hAnsiTheme="minorEastAsia" w:hint="eastAsia"/>
          <w:bCs/>
          <w:sz w:val="24"/>
        </w:rPr>
        <w:t>年末实有人员编制</w:t>
      </w:r>
      <w:r w:rsidRPr="00E32715" w:rsidR="0021641B">
        <w:rPr>
          <w:rFonts w:asciiTheme="minorEastAsia" w:eastAsiaTheme="minorEastAsia" w:hAnsiTheme="minorEastAsia" w:hint="eastAsia"/>
          <w:bCs/>
          <w:sz w:val="24"/>
        </w:rPr>
        <w:t>14</w:t>
      </w:r>
      <w:r w:rsidRPr="00E32715">
        <w:rPr>
          <w:rFonts w:asciiTheme="minorEastAsia" w:eastAsiaTheme="minorEastAsia" w:hAnsiTheme="minorEastAsia" w:hint="eastAsia"/>
          <w:bCs/>
          <w:sz w:val="24"/>
        </w:rPr>
        <w:t>人。其中：事业编制</w:t>
      </w:r>
      <w:r w:rsidRPr="00E32715" w:rsidR="0021641B">
        <w:rPr>
          <w:rFonts w:asciiTheme="minorEastAsia" w:eastAsiaTheme="minorEastAsia" w:hAnsiTheme="minorEastAsia" w:hint="eastAsia"/>
          <w:bCs/>
          <w:sz w:val="24"/>
        </w:rPr>
        <w:t>14</w:t>
      </w:r>
      <w:r w:rsidRPr="00E32715">
        <w:rPr>
          <w:rFonts w:asciiTheme="minorEastAsia" w:eastAsiaTheme="minorEastAsia" w:hAnsiTheme="minorEastAsia" w:hint="eastAsia"/>
          <w:bCs/>
          <w:sz w:val="24"/>
        </w:rPr>
        <w:t>人。离退休人员</w:t>
      </w:r>
      <w:r w:rsidRPr="00E32715" w:rsidR="0021641B">
        <w:rPr>
          <w:rFonts w:asciiTheme="minorEastAsia" w:eastAsiaTheme="minorEastAsia" w:hAnsiTheme="minorEastAsia" w:hint="eastAsia"/>
          <w:bCs/>
          <w:sz w:val="24"/>
        </w:rPr>
        <w:t>6</w:t>
      </w:r>
      <w:r w:rsidRPr="00E32715">
        <w:rPr>
          <w:rFonts w:asciiTheme="minorEastAsia" w:eastAsiaTheme="minorEastAsia" w:hAnsiTheme="minorEastAsia" w:hint="eastAsia"/>
          <w:bCs/>
          <w:sz w:val="24"/>
        </w:rPr>
        <w:t>人。其中：退休</w:t>
      </w:r>
      <w:r w:rsidRPr="00E32715" w:rsidR="0021641B">
        <w:rPr>
          <w:rFonts w:asciiTheme="minorEastAsia" w:eastAsiaTheme="minorEastAsia" w:hAnsiTheme="minorEastAsia" w:hint="eastAsia"/>
          <w:bCs/>
          <w:sz w:val="24"/>
        </w:rPr>
        <w:t>6</w:t>
      </w:r>
      <w:r w:rsidRPr="00E32715">
        <w:rPr>
          <w:rFonts w:asciiTheme="minorEastAsia" w:eastAsiaTheme="minorEastAsia" w:hAnsiTheme="minorEastAsia" w:hint="eastAsia"/>
          <w:bCs/>
          <w:sz w:val="24"/>
        </w:rPr>
        <w:t>人。实有车辆编制</w:t>
      </w:r>
      <w:r w:rsidRPr="00E32715" w:rsidR="0021641B">
        <w:rPr>
          <w:rFonts w:asciiTheme="minorEastAsia" w:eastAsiaTheme="minorEastAsia" w:hAnsiTheme="minorEastAsia" w:hint="eastAsia"/>
          <w:bCs/>
          <w:sz w:val="24"/>
        </w:rPr>
        <w:t>3</w:t>
      </w:r>
      <w:r w:rsidRPr="00E32715">
        <w:rPr>
          <w:rFonts w:asciiTheme="minorEastAsia" w:eastAsiaTheme="minorEastAsia" w:hAnsiTheme="minorEastAsia" w:hint="eastAsia"/>
          <w:bCs/>
          <w:sz w:val="24"/>
        </w:rPr>
        <w:t>辆，在编实有车辆</w:t>
      </w:r>
      <w:r w:rsidRPr="00E32715" w:rsidR="0021641B">
        <w:rPr>
          <w:rFonts w:asciiTheme="minorEastAsia" w:eastAsiaTheme="minorEastAsia" w:hAnsiTheme="minorEastAsia" w:hint="eastAsia"/>
          <w:bCs/>
          <w:sz w:val="24"/>
        </w:rPr>
        <w:t>3</w:t>
      </w:r>
      <w:r w:rsidRPr="00E32715">
        <w:rPr>
          <w:rFonts w:asciiTheme="minorEastAsia" w:eastAsiaTheme="minorEastAsia" w:hAnsiTheme="minorEastAsia" w:hint="eastAsia"/>
          <w:bCs/>
          <w:sz w:val="24"/>
        </w:rPr>
        <w:t>辆。</w:t>
      </w:r>
    </w:p>
    <w:p w:rsidR="0021641B" w:rsidRPr="00E32715" w:rsidP="00E32715">
      <w:pPr>
        <w:spacing w:line="600" w:lineRule="exact"/>
        <w:ind w:firstLine="480" w:firstLineChars="200"/>
        <w:rPr>
          <w:rFonts w:asciiTheme="minorEastAsia" w:eastAsiaTheme="minorEastAsia" w:hAnsiTheme="minorEastAsia" w:cs="Arial"/>
          <w:kern w:val="0"/>
          <w:sz w:val="24"/>
        </w:rPr>
      </w:pPr>
    </w:p>
    <w:p w:rsidR="00A77723" w:rsidRPr="00362D66">
      <w:pPr>
        <w:jc w:val="center"/>
        <w:rPr>
          <w:rFonts w:asciiTheme="minorEastAsia" w:eastAsiaTheme="minorEastAsia" w:hAnsiTheme="minorEastAsia"/>
          <w:b/>
          <w:sz w:val="36"/>
          <w:szCs w:val="36"/>
        </w:rPr>
      </w:pPr>
      <w:r w:rsidRPr="00362D66">
        <w:rPr>
          <w:rFonts w:asciiTheme="minorEastAsia" w:eastAsiaTheme="minorEastAsia" w:hAnsiTheme="minorEastAsia" w:hint="eastAsia"/>
          <w:b/>
          <w:sz w:val="36"/>
          <w:szCs w:val="36"/>
        </w:rPr>
        <w:t xml:space="preserve">第二部分 </w:t>
      </w:r>
      <w:r w:rsidRPr="00362D66" w:rsidR="0021641B">
        <w:rPr>
          <w:rFonts w:asciiTheme="minorEastAsia" w:eastAsiaTheme="minorEastAsia" w:hAnsiTheme="minorEastAsia" w:hint="eastAsia"/>
          <w:b/>
          <w:sz w:val="36"/>
          <w:szCs w:val="36"/>
        </w:rPr>
        <w:t>2017</w:t>
      </w:r>
      <w:r w:rsidRPr="00362D66">
        <w:rPr>
          <w:rFonts w:asciiTheme="minorEastAsia" w:eastAsiaTheme="minorEastAsia" w:hAnsiTheme="minorEastAsia" w:hint="eastAsia"/>
          <w:b/>
          <w:sz w:val="36"/>
          <w:szCs w:val="36"/>
        </w:rPr>
        <w:t>年度部门决算表</w:t>
      </w:r>
    </w:p>
    <w:p w:rsidR="00A77723" w:rsidRPr="00E32715" w:rsidP="00E32715">
      <w:pPr>
        <w:spacing w:line="600" w:lineRule="exact"/>
        <w:ind w:firstLine="720" w:firstLineChars="200"/>
        <w:jc w:val="center"/>
        <w:rPr>
          <w:rFonts w:asciiTheme="minorEastAsia" w:eastAsiaTheme="minorEastAsia" w:hAnsiTheme="minorEastAsia"/>
          <w:sz w:val="36"/>
          <w:szCs w:val="36"/>
        </w:rPr>
      </w:pPr>
      <w:r w:rsidRPr="00E32715">
        <w:rPr>
          <w:rFonts w:asciiTheme="minorEastAsia" w:eastAsiaTheme="minorEastAsia" w:hAnsiTheme="minorEastAsia" w:hint="eastAsia"/>
          <w:sz w:val="36"/>
          <w:szCs w:val="36"/>
        </w:rPr>
        <w:t>（详见附件）</w:t>
      </w:r>
    </w:p>
    <w:p w:rsidR="00A77723" w:rsidRPr="00362D66">
      <w:pPr>
        <w:jc w:val="center"/>
        <w:rPr>
          <w:rFonts w:asciiTheme="minorEastAsia" w:eastAsiaTheme="minorEastAsia" w:hAnsiTheme="minorEastAsia"/>
          <w:b/>
          <w:sz w:val="36"/>
          <w:szCs w:val="36"/>
        </w:rPr>
      </w:pPr>
      <w:r w:rsidRPr="00E32715">
        <w:rPr>
          <w:rFonts w:asciiTheme="minorEastAsia" w:eastAsiaTheme="minorEastAsia" w:hAnsiTheme="minorEastAsia" w:hint="eastAsia"/>
          <w:sz w:val="36"/>
          <w:szCs w:val="36"/>
        </w:rPr>
        <w:t xml:space="preserve"> </w:t>
      </w:r>
      <w:r w:rsidRPr="00362D66">
        <w:rPr>
          <w:rFonts w:asciiTheme="minorEastAsia" w:eastAsiaTheme="minorEastAsia" w:hAnsiTheme="minorEastAsia" w:hint="eastAsia"/>
          <w:b/>
          <w:sz w:val="36"/>
          <w:szCs w:val="36"/>
        </w:rPr>
        <w:t xml:space="preserve"> </w:t>
      </w:r>
      <w:r w:rsidRPr="00362D66" w:rsidR="008D7002">
        <w:rPr>
          <w:rFonts w:asciiTheme="minorEastAsia" w:eastAsiaTheme="minorEastAsia" w:hAnsiTheme="minorEastAsia" w:hint="eastAsia"/>
          <w:b/>
          <w:sz w:val="36"/>
          <w:szCs w:val="36"/>
        </w:rPr>
        <w:t xml:space="preserve">第三部门 </w:t>
      </w:r>
      <w:r w:rsidRPr="00362D66">
        <w:rPr>
          <w:rFonts w:asciiTheme="minorEastAsia" w:eastAsiaTheme="minorEastAsia" w:hAnsiTheme="minorEastAsia" w:hint="eastAsia"/>
          <w:b/>
          <w:sz w:val="36"/>
          <w:szCs w:val="36"/>
        </w:rPr>
        <w:t>2017</w:t>
      </w:r>
      <w:r w:rsidRPr="00362D66" w:rsidR="008D7002">
        <w:rPr>
          <w:rFonts w:asciiTheme="minorEastAsia" w:eastAsiaTheme="minorEastAsia" w:hAnsiTheme="minorEastAsia" w:hint="eastAsia"/>
          <w:b/>
          <w:sz w:val="36"/>
          <w:szCs w:val="36"/>
        </w:rPr>
        <w:t>年度部门决算情况说明</w:t>
      </w:r>
    </w:p>
    <w:p w:rsidR="00A77723" w:rsidRPr="00362D66" w:rsidP="00362D66">
      <w:pPr>
        <w:spacing w:line="600" w:lineRule="exact"/>
        <w:ind w:firstLine="480" w:firstLineChars="200"/>
        <w:rPr>
          <w:rFonts w:asciiTheme="minorEastAsia" w:eastAsiaTheme="minorEastAsia" w:hAnsiTheme="minorEastAsia"/>
          <w:b/>
          <w:bCs/>
          <w:sz w:val="24"/>
        </w:rPr>
      </w:pPr>
      <w:r w:rsidRPr="00362D66">
        <w:rPr>
          <w:rFonts w:asciiTheme="minorEastAsia" w:eastAsiaTheme="minorEastAsia" w:hAnsiTheme="minorEastAsia" w:hint="eastAsia"/>
          <w:b/>
          <w:bCs/>
          <w:sz w:val="24"/>
        </w:rPr>
        <w:t>一、</w:t>
      </w:r>
      <w:r w:rsidRPr="00362D66" w:rsidR="008D7002">
        <w:rPr>
          <w:rFonts w:asciiTheme="minorEastAsia" w:eastAsiaTheme="minorEastAsia" w:hAnsiTheme="minorEastAsia" w:hint="eastAsia"/>
          <w:b/>
          <w:bCs/>
          <w:sz w:val="24"/>
        </w:rPr>
        <w:t>收入决算情况说明</w:t>
      </w:r>
      <w:r w:rsidRPr="00362D66">
        <w:rPr>
          <w:rFonts w:asciiTheme="minorEastAsia" w:eastAsiaTheme="minorEastAsia" w:hAnsiTheme="minorEastAsia" w:hint="eastAsia"/>
          <w:b/>
          <w:bCs/>
          <w:sz w:val="24"/>
        </w:rPr>
        <w:t>：</w:t>
      </w:r>
    </w:p>
    <w:p w:rsidR="0021641B"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区新闻宣传中心2017年度收入合计</w:t>
      </w:r>
      <w:r w:rsidRPr="00E32715">
        <w:rPr>
          <w:rFonts w:asciiTheme="minorEastAsia" w:eastAsiaTheme="minorEastAsia" w:hAnsiTheme="minorEastAsia"/>
          <w:bCs/>
          <w:sz w:val="24"/>
        </w:rPr>
        <w:t>7,81</w:t>
      </w:r>
      <w:r w:rsidRPr="00E32715">
        <w:rPr>
          <w:rFonts w:asciiTheme="minorEastAsia" w:eastAsiaTheme="minorEastAsia" w:hAnsiTheme="minorEastAsia" w:hint="eastAsia"/>
          <w:bCs/>
          <w:sz w:val="24"/>
        </w:rPr>
        <w:t>.79万元,全部为财政拨款收入。与上年对比略有增加，主要原因是新闻宣传工作量加大。</w:t>
      </w:r>
    </w:p>
    <w:p w:rsidR="0021641B"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（一）</w:t>
      </w:r>
      <w:r w:rsidRPr="00E32715">
        <w:rPr>
          <w:rFonts w:asciiTheme="minorEastAsia" w:eastAsiaTheme="minorEastAsia" w:hAnsiTheme="minorEastAsia"/>
          <w:bCs/>
          <w:sz w:val="24"/>
        </w:rPr>
        <w:t>2017</w:t>
      </w:r>
      <w:r w:rsidRPr="00E32715">
        <w:rPr>
          <w:rFonts w:asciiTheme="minorEastAsia" w:eastAsiaTheme="minorEastAsia" w:hAnsiTheme="minorEastAsia" w:hint="eastAsia"/>
          <w:bCs/>
          <w:sz w:val="24"/>
        </w:rPr>
        <w:t>年度年初结转和结余</w:t>
      </w:r>
      <w:r w:rsidRPr="00E32715">
        <w:rPr>
          <w:rFonts w:asciiTheme="minorEastAsia" w:eastAsiaTheme="minorEastAsia" w:hAnsiTheme="minorEastAsia"/>
          <w:bCs/>
          <w:sz w:val="24"/>
        </w:rPr>
        <w:t>5,000</w:t>
      </w:r>
      <w:r w:rsidRPr="00E32715">
        <w:rPr>
          <w:rFonts w:asciiTheme="minorEastAsia" w:eastAsiaTheme="minorEastAsia" w:hAnsiTheme="minorEastAsia" w:hint="eastAsia"/>
          <w:bCs/>
          <w:sz w:val="24"/>
        </w:rPr>
        <w:t>元，本年收入</w:t>
      </w:r>
      <w:r w:rsidRPr="00E32715">
        <w:rPr>
          <w:rFonts w:asciiTheme="minorEastAsia" w:eastAsiaTheme="minorEastAsia" w:hAnsiTheme="minorEastAsia"/>
          <w:bCs/>
          <w:sz w:val="24"/>
        </w:rPr>
        <w:t>7,817,911.29</w:t>
      </w:r>
      <w:r w:rsidRPr="00E32715">
        <w:rPr>
          <w:rFonts w:asciiTheme="minorEastAsia" w:eastAsiaTheme="minorEastAsia" w:hAnsiTheme="minorEastAsia" w:hint="eastAsia"/>
          <w:bCs/>
          <w:sz w:val="24"/>
        </w:rPr>
        <w:t>元，本年支出</w:t>
      </w:r>
      <w:r w:rsidRPr="00E32715">
        <w:rPr>
          <w:rFonts w:asciiTheme="minorEastAsia" w:eastAsiaTheme="minorEastAsia" w:hAnsiTheme="minorEastAsia"/>
          <w:bCs/>
          <w:sz w:val="24"/>
        </w:rPr>
        <w:t>7,632,911.29</w:t>
      </w:r>
      <w:r w:rsidRPr="00E32715">
        <w:rPr>
          <w:rFonts w:asciiTheme="minorEastAsia" w:eastAsiaTheme="minorEastAsia" w:hAnsiTheme="minorEastAsia" w:hint="eastAsia"/>
          <w:bCs/>
          <w:sz w:val="24"/>
        </w:rPr>
        <w:t>元，用事业基金弥补收支差额</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元，结余分配</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元，年末结转和结余</w:t>
      </w:r>
      <w:r w:rsidRPr="00E32715">
        <w:rPr>
          <w:rFonts w:asciiTheme="minorEastAsia" w:eastAsiaTheme="minorEastAsia" w:hAnsiTheme="minorEastAsia"/>
          <w:bCs/>
          <w:sz w:val="24"/>
        </w:rPr>
        <w:t>190,000</w:t>
      </w:r>
      <w:r w:rsidRPr="00E32715">
        <w:rPr>
          <w:rFonts w:asciiTheme="minorEastAsia" w:eastAsiaTheme="minorEastAsia" w:hAnsiTheme="minorEastAsia" w:hint="eastAsia"/>
          <w:bCs/>
          <w:sz w:val="24"/>
        </w:rPr>
        <w:t>元。</w:t>
      </w:r>
    </w:p>
    <w:p w:rsidR="0021641B"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w:t>
      </w:r>
      <w:r w:rsidRPr="00E32715" w:rsidR="006643CA">
        <w:rPr>
          <w:rFonts w:asciiTheme="minorEastAsia" w:eastAsiaTheme="minorEastAsia" w:hAnsiTheme="minorEastAsia" w:hint="eastAsia"/>
          <w:bCs/>
          <w:sz w:val="24"/>
        </w:rPr>
        <w:t>二</w:t>
      </w:r>
      <w:r w:rsidRPr="00E32715">
        <w:rPr>
          <w:rFonts w:asciiTheme="minorEastAsia" w:eastAsiaTheme="minorEastAsia" w:hAnsiTheme="minorEastAsia" w:hint="eastAsia"/>
          <w:bCs/>
          <w:sz w:val="24"/>
        </w:rPr>
        <w:t>）</w:t>
      </w:r>
      <w:r w:rsidRPr="00E32715">
        <w:rPr>
          <w:rFonts w:asciiTheme="minorEastAsia" w:eastAsiaTheme="minorEastAsia" w:hAnsiTheme="minorEastAsia"/>
          <w:bCs/>
          <w:sz w:val="24"/>
        </w:rPr>
        <w:t>2017</w:t>
      </w:r>
      <w:r w:rsidRPr="00E32715">
        <w:rPr>
          <w:rFonts w:asciiTheme="minorEastAsia" w:eastAsiaTheme="minorEastAsia" w:hAnsiTheme="minorEastAsia" w:hint="eastAsia"/>
          <w:bCs/>
          <w:sz w:val="24"/>
        </w:rPr>
        <w:t>年度政府性基金预算财政拨款年初结转和结余</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元，本年收入</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元，本年支出</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元，年末结转和结余</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w:t>
      </w:r>
    </w:p>
    <w:p w:rsidR="0021641B"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w:t>
      </w:r>
      <w:r w:rsidRPr="00E32715" w:rsidR="006643CA">
        <w:rPr>
          <w:rFonts w:asciiTheme="minorEastAsia" w:eastAsiaTheme="minorEastAsia" w:hAnsiTheme="minorEastAsia" w:hint="eastAsia"/>
          <w:bCs/>
          <w:sz w:val="24"/>
        </w:rPr>
        <w:t>三</w:t>
      </w:r>
      <w:r w:rsidRPr="00E32715">
        <w:rPr>
          <w:rFonts w:asciiTheme="minorEastAsia" w:eastAsiaTheme="minorEastAsia" w:hAnsiTheme="minorEastAsia" w:hint="eastAsia"/>
          <w:bCs/>
          <w:sz w:val="24"/>
        </w:rPr>
        <w:t>）</w:t>
      </w:r>
      <w:r w:rsidRPr="00E32715">
        <w:rPr>
          <w:rFonts w:asciiTheme="minorEastAsia" w:eastAsiaTheme="minorEastAsia" w:hAnsiTheme="minorEastAsia"/>
          <w:bCs/>
          <w:sz w:val="24"/>
        </w:rPr>
        <w:t>2017</w:t>
      </w:r>
      <w:r w:rsidRPr="00E32715">
        <w:rPr>
          <w:rFonts w:asciiTheme="minorEastAsia" w:eastAsiaTheme="minorEastAsia" w:hAnsiTheme="minorEastAsia" w:hint="eastAsia"/>
          <w:bCs/>
          <w:sz w:val="24"/>
        </w:rPr>
        <w:t>年度财政专户管理资金年初结转和结余</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元，本年收入</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元，本年支出</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元，用事业基金弥补收支差额</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元，结余分配</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元，年末结转和结余</w:t>
      </w:r>
      <w:r w:rsidRPr="00E32715">
        <w:rPr>
          <w:rFonts w:asciiTheme="minorEastAsia" w:eastAsiaTheme="minorEastAsia" w:hAnsiTheme="minorEastAsia"/>
          <w:bCs/>
          <w:sz w:val="24"/>
        </w:rPr>
        <w:t>0</w:t>
      </w:r>
      <w:r w:rsidRPr="00E32715">
        <w:rPr>
          <w:rFonts w:asciiTheme="minorEastAsia" w:eastAsiaTheme="minorEastAsia" w:hAnsiTheme="minorEastAsia" w:hint="eastAsia"/>
          <w:bCs/>
          <w:sz w:val="24"/>
        </w:rPr>
        <w:t>元。</w:t>
      </w:r>
    </w:p>
    <w:p w:rsidR="00A77723" w:rsidP="00362D66">
      <w:pPr>
        <w:spacing w:line="600" w:lineRule="exact"/>
        <w:ind w:firstLine="480" w:firstLineChars="200"/>
        <w:rPr>
          <w:rFonts w:asciiTheme="minorEastAsia" w:eastAsiaTheme="minorEastAsia" w:hAnsiTheme="minorEastAsia" w:hint="eastAsia"/>
          <w:b/>
          <w:bCs/>
          <w:sz w:val="24"/>
        </w:rPr>
      </w:pPr>
      <w:r w:rsidRPr="00362D66">
        <w:rPr>
          <w:rFonts w:asciiTheme="minorEastAsia" w:eastAsiaTheme="minorEastAsia" w:hAnsiTheme="minorEastAsia" w:hint="eastAsia"/>
          <w:b/>
          <w:bCs/>
          <w:sz w:val="24"/>
        </w:rPr>
        <w:t>二、支出决算情况说明</w:t>
      </w:r>
    </w:p>
    <w:p w:rsidR="0021641B"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盘龙区新闻宣传中心2017年度支出合计763.29万元。其中：基本支出</w:t>
      </w:r>
      <w:r w:rsidRPr="00E32715" w:rsidR="006643CA">
        <w:rPr>
          <w:rFonts w:asciiTheme="minorEastAsia" w:eastAsiaTheme="minorEastAsia" w:hAnsiTheme="minorEastAsia" w:hint="eastAsia"/>
          <w:bCs/>
          <w:sz w:val="24"/>
        </w:rPr>
        <w:t>182.3</w:t>
      </w:r>
      <w:r w:rsidRPr="00E32715">
        <w:rPr>
          <w:rFonts w:asciiTheme="minorEastAsia" w:eastAsiaTheme="minorEastAsia" w:hAnsiTheme="minorEastAsia" w:hint="eastAsia"/>
          <w:bCs/>
          <w:sz w:val="24"/>
        </w:rPr>
        <w:t>万元，占总支出的</w:t>
      </w:r>
      <w:r w:rsidRPr="00E32715" w:rsidR="006643CA">
        <w:rPr>
          <w:rFonts w:asciiTheme="minorEastAsia" w:eastAsiaTheme="minorEastAsia" w:hAnsiTheme="minorEastAsia" w:hint="eastAsia"/>
          <w:bCs/>
          <w:sz w:val="24"/>
        </w:rPr>
        <w:t>24</w:t>
      </w:r>
      <w:r w:rsidRPr="00E32715">
        <w:rPr>
          <w:rFonts w:asciiTheme="minorEastAsia" w:eastAsiaTheme="minorEastAsia" w:hAnsiTheme="minorEastAsia" w:hint="eastAsia"/>
          <w:bCs/>
          <w:sz w:val="24"/>
        </w:rPr>
        <w:t>％；项目支出581万元，占总支出的</w:t>
      </w:r>
      <w:r w:rsidRPr="00E32715" w:rsidR="006643CA">
        <w:rPr>
          <w:rFonts w:asciiTheme="minorEastAsia" w:eastAsiaTheme="minorEastAsia" w:hAnsiTheme="minorEastAsia" w:hint="eastAsia"/>
          <w:bCs/>
          <w:sz w:val="24"/>
        </w:rPr>
        <w:t>76</w:t>
      </w:r>
      <w:r w:rsidRPr="00E32715">
        <w:rPr>
          <w:rFonts w:asciiTheme="minorEastAsia" w:eastAsiaTheme="minorEastAsia" w:hAnsiTheme="minorEastAsia" w:hint="eastAsia"/>
          <w:bCs/>
          <w:sz w:val="24"/>
        </w:rPr>
        <w:t>％。</w:t>
      </w:r>
      <w:r w:rsidR="001B62C2">
        <w:rPr>
          <w:rFonts w:asciiTheme="minorEastAsia" w:eastAsiaTheme="minorEastAsia" w:hAnsiTheme="minorEastAsia" w:hint="eastAsia"/>
          <w:bCs/>
          <w:sz w:val="24"/>
        </w:rPr>
        <w:t>无</w:t>
      </w:r>
      <w:r w:rsidRPr="001B62C2" w:rsidR="001B62C2">
        <w:rPr>
          <w:rFonts w:asciiTheme="minorEastAsia" w:eastAsiaTheme="minorEastAsia" w:hAnsiTheme="minorEastAsia" w:hint="eastAsia"/>
          <w:bCs/>
          <w:sz w:val="24"/>
        </w:rPr>
        <w:t>上缴上级支出、经营支出、对附属单位补助支出，占总支出的XX％。</w:t>
      </w:r>
      <w:r w:rsidRPr="00E32715">
        <w:rPr>
          <w:rFonts w:asciiTheme="minorEastAsia" w:eastAsiaTheme="minorEastAsia" w:hAnsiTheme="minorEastAsia" w:hint="eastAsia"/>
          <w:bCs/>
          <w:sz w:val="24"/>
        </w:rPr>
        <w:t>与上年对比</w:t>
      </w:r>
      <w:r w:rsidRPr="00E32715" w:rsidR="006643CA">
        <w:rPr>
          <w:rFonts w:asciiTheme="minorEastAsia" w:eastAsiaTheme="minorEastAsia" w:hAnsiTheme="minorEastAsia" w:hint="eastAsia"/>
          <w:bCs/>
          <w:sz w:val="24"/>
        </w:rPr>
        <w:t>基本支出无明显变化</w:t>
      </w:r>
      <w:r w:rsidRPr="00E32715">
        <w:rPr>
          <w:rFonts w:asciiTheme="minorEastAsia" w:eastAsiaTheme="minorEastAsia" w:hAnsiTheme="minorEastAsia" w:hint="eastAsia"/>
          <w:bCs/>
          <w:sz w:val="24"/>
        </w:rPr>
        <w:t>,</w:t>
      </w:r>
      <w:r w:rsidRPr="00E32715" w:rsidR="006643CA">
        <w:rPr>
          <w:rFonts w:asciiTheme="minorEastAsia" w:eastAsiaTheme="minorEastAsia" w:hAnsiTheme="minorEastAsia" w:hint="eastAsia"/>
          <w:bCs/>
          <w:sz w:val="24"/>
        </w:rPr>
        <w:t>项目支出中，因宣传工作需要，9名编外人员经费有所增加，外宣经费有所增加</w:t>
      </w:r>
      <w:r w:rsidRPr="00E32715">
        <w:rPr>
          <w:rFonts w:asciiTheme="minorEastAsia" w:eastAsiaTheme="minorEastAsia" w:hAnsiTheme="minorEastAsia" w:hint="eastAsia"/>
          <w:bCs/>
          <w:sz w:val="24"/>
        </w:rPr>
        <w:t>。</w:t>
      </w:r>
    </w:p>
    <w:p w:rsidR="001B62C2" w:rsidRPr="001B62C2" w:rsidP="001B62C2">
      <w:pPr>
        <w:numPr>
          <w:ilvl w:val="0"/>
          <w:numId w:val="4"/>
        </w:numPr>
        <w:spacing w:line="600" w:lineRule="exact"/>
        <w:rPr>
          <w:rFonts w:asciiTheme="minorEastAsia" w:eastAsiaTheme="minorEastAsia" w:hAnsiTheme="minorEastAsia"/>
          <w:bCs/>
          <w:sz w:val="24"/>
        </w:rPr>
      </w:pPr>
      <w:r w:rsidRPr="00E32715">
        <w:rPr>
          <w:rFonts w:asciiTheme="minorEastAsia" w:eastAsiaTheme="minorEastAsia" w:hAnsiTheme="minorEastAsia" w:hint="eastAsia"/>
          <w:bCs/>
          <w:sz w:val="24"/>
        </w:rPr>
        <w:t>基本支出</w:t>
      </w:r>
      <w:r>
        <w:rPr>
          <w:rFonts w:asciiTheme="minorEastAsia" w:eastAsiaTheme="minorEastAsia" w:hAnsiTheme="minorEastAsia" w:hint="eastAsia"/>
          <w:bCs/>
          <w:sz w:val="24"/>
        </w:rPr>
        <w:t>情况</w:t>
      </w:r>
    </w:p>
    <w:p w:rsidR="00362D66" w:rsidP="00492A3A">
      <w:pPr>
        <w:spacing w:line="600" w:lineRule="exact"/>
        <w:ind w:firstLine="480" w:firstLineChars="200"/>
        <w:rPr>
          <w:rFonts w:asciiTheme="minorEastAsia" w:eastAsiaTheme="minorEastAsia" w:hAnsiTheme="minorEastAsia"/>
          <w:bCs/>
          <w:sz w:val="24"/>
        </w:rPr>
      </w:pPr>
      <w:r w:rsidRPr="00492A3A">
        <w:rPr>
          <w:rFonts w:asciiTheme="minorEastAsia" w:eastAsiaTheme="minorEastAsia" w:hAnsiTheme="minorEastAsia" w:hint="eastAsia"/>
          <w:bCs/>
          <w:sz w:val="24"/>
        </w:rPr>
        <w:t>2017年度用于保障</w:t>
      </w:r>
      <w:r w:rsidR="001B62C2">
        <w:rPr>
          <w:rFonts w:asciiTheme="minorEastAsia" w:eastAsiaTheme="minorEastAsia" w:hAnsiTheme="minorEastAsia" w:hint="eastAsia"/>
          <w:bCs/>
          <w:sz w:val="24"/>
        </w:rPr>
        <w:t>区</w:t>
      </w:r>
      <w:r w:rsidRPr="00492A3A">
        <w:rPr>
          <w:rFonts w:asciiTheme="minorEastAsia" w:eastAsiaTheme="minorEastAsia" w:hAnsiTheme="minorEastAsia" w:hint="eastAsia"/>
          <w:bCs/>
          <w:sz w:val="24"/>
        </w:rPr>
        <w:t>新闻中心正常运转的日常支出182.3万元。</w:t>
      </w:r>
      <w:r w:rsidR="001B62C2">
        <w:rPr>
          <w:rFonts w:asciiTheme="minorEastAsia" w:eastAsiaTheme="minorEastAsia" w:hAnsiTheme="minorEastAsia" w:hint="eastAsia"/>
          <w:bCs/>
          <w:sz w:val="24"/>
        </w:rPr>
        <w:t>与上年相比有所增加，主要原因是新闻采访任务加重，基本支出中公务用车运行维护费增加。</w:t>
      </w:r>
      <w:r w:rsidRPr="00E32715" w:rsidR="0021641B">
        <w:rPr>
          <w:rFonts w:asciiTheme="minorEastAsia" w:eastAsiaTheme="minorEastAsia" w:hAnsiTheme="minorEastAsia" w:hint="eastAsia"/>
          <w:bCs/>
          <w:sz w:val="24"/>
        </w:rPr>
        <w:t>其中人员支出1</w:t>
      </w:r>
      <w:r w:rsidRPr="00E32715" w:rsidR="006643CA">
        <w:rPr>
          <w:rFonts w:asciiTheme="minorEastAsia" w:eastAsiaTheme="minorEastAsia" w:hAnsiTheme="minorEastAsia" w:hint="eastAsia"/>
          <w:bCs/>
          <w:sz w:val="24"/>
        </w:rPr>
        <w:t>4</w:t>
      </w:r>
      <w:r w:rsidRPr="00E32715" w:rsidR="0021641B">
        <w:rPr>
          <w:rFonts w:asciiTheme="minorEastAsia" w:eastAsiaTheme="minorEastAsia" w:hAnsiTheme="minorEastAsia" w:hint="eastAsia"/>
          <w:bCs/>
          <w:sz w:val="24"/>
        </w:rPr>
        <w:t>8万元，公用支出34万元。</w:t>
      </w:r>
      <w:r w:rsidRPr="00F6676E" w:rsidR="00F6676E">
        <w:rPr>
          <w:rFonts w:asciiTheme="minorEastAsia" w:eastAsiaTheme="minorEastAsia" w:hAnsiTheme="minorEastAsia" w:hint="eastAsia"/>
          <w:bCs/>
          <w:sz w:val="24"/>
        </w:rPr>
        <w:t>包括基本工资、津贴补贴等人员经费支出占基本支出的</w:t>
      </w:r>
      <w:r w:rsidR="00F6676E">
        <w:rPr>
          <w:rFonts w:asciiTheme="minorEastAsia" w:eastAsiaTheme="minorEastAsia" w:hAnsiTheme="minorEastAsia" w:hint="eastAsia"/>
          <w:bCs/>
          <w:sz w:val="24"/>
        </w:rPr>
        <w:t>8</w:t>
      </w:r>
      <w:r>
        <w:rPr>
          <w:rFonts w:asciiTheme="minorEastAsia" w:eastAsiaTheme="minorEastAsia" w:hAnsiTheme="minorEastAsia" w:hint="eastAsia"/>
          <w:bCs/>
          <w:sz w:val="24"/>
        </w:rPr>
        <w:t>1</w:t>
      </w:r>
      <w:r w:rsidRPr="00F6676E" w:rsidR="00F6676E">
        <w:rPr>
          <w:rFonts w:asciiTheme="minorEastAsia" w:eastAsiaTheme="minorEastAsia" w:hAnsiTheme="minorEastAsia" w:hint="eastAsia"/>
          <w:bCs/>
          <w:sz w:val="24"/>
        </w:rPr>
        <w:t>％；办公费、印刷费、水电费、办公设备购置等日常公用经费占基本支出</w:t>
      </w:r>
      <w:r w:rsidRPr="00F6676E" w:rsidR="00F6676E">
        <w:rPr>
          <w:rFonts w:asciiTheme="minorEastAsia" w:eastAsiaTheme="minorEastAsia" w:hAnsiTheme="minorEastAsia" w:hint="eastAsia"/>
          <w:bCs/>
          <w:sz w:val="24"/>
        </w:rPr>
        <w:t>的</w:t>
      </w:r>
      <w:r w:rsidR="00F6676E">
        <w:rPr>
          <w:rFonts w:asciiTheme="minorEastAsia" w:eastAsiaTheme="minorEastAsia" w:hAnsiTheme="minorEastAsia" w:hint="eastAsia"/>
          <w:bCs/>
          <w:sz w:val="24"/>
        </w:rPr>
        <w:t>1</w:t>
      </w:r>
      <w:r>
        <w:rPr>
          <w:rFonts w:asciiTheme="minorEastAsia" w:eastAsiaTheme="minorEastAsia" w:hAnsiTheme="minorEastAsia" w:hint="eastAsia"/>
          <w:bCs/>
          <w:sz w:val="24"/>
        </w:rPr>
        <w:t>9</w:t>
      </w:r>
      <w:r w:rsidRPr="00F6676E" w:rsidR="00F6676E">
        <w:rPr>
          <w:rFonts w:asciiTheme="minorEastAsia" w:eastAsiaTheme="minorEastAsia" w:hAnsiTheme="minorEastAsia" w:hint="eastAsia"/>
          <w:bCs/>
          <w:sz w:val="24"/>
        </w:rPr>
        <w:t>％。</w:t>
      </w:r>
    </w:p>
    <w:p w:rsidR="001B62C2" w:rsidRPr="001B62C2" w:rsidP="001B62C2">
      <w:pPr>
        <w:numPr>
          <w:ilvl w:val="0"/>
          <w:numId w:val="4"/>
        </w:numPr>
        <w:spacing w:line="600" w:lineRule="exact"/>
        <w:rPr>
          <w:rFonts w:asciiTheme="minorEastAsia" w:eastAsiaTheme="minorEastAsia" w:hAnsiTheme="minorEastAsia"/>
          <w:bCs/>
          <w:sz w:val="24"/>
        </w:rPr>
      </w:pPr>
      <w:r w:rsidRPr="00E32715">
        <w:rPr>
          <w:rFonts w:asciiTheme="minorEastAsia" w:eastAsiaTheme="minorEastAsia" w:hAnsiTheme="minorEastAsia" w:hint="eastAsia"/>
          <w:bCs/>
          <w:sz w:val="24"/>
        </w:rPr>
        <w:t>项目支出</w:t>
      </w:r>
      <w:r>
        <w:rPr>
          <w:rFonts w:asciiTheme="minorEastAsia" w:eastAsiaTheme="minorEastAsia" w:hAnsiTheme="minorEastAsia" w:hint="eastAsia"/>
          <w:bCs/>
          <w:sz w:val="24"/>
        </w:rPr>
        <w:t>情况</w:t>
      </w:r>
    </w:p>
    <w:p w:rsidR="0021641B" w:rsidRPr="00E32715" w:rsidP="00492A3A">
      <w:pPr>
        <w:spacing w:line="600" w:lineRule="exact"/>
        <w:ind w:firstLine="480" w:firstLineChars="200"/>
        <w:rPr>
          <w:rFonts w:asciiTheme="minorEastAsia" w:eastAsiaTheme="minorEastAsia" w:hAnsiTheme="minorEastAsia"/>
          <w:bCs/>
          <w:sz w:val="24"/>
        </w:rPr>
      </w:pPr>
      <w:r>
        <w:rPr>
          <w:rFonts w:asciiTheme="minorEastAsia" w:eastAsiaTheme="minorEastAsia" w:hAnsiTheme="minorEastAsia" w:hint="eastAsia"/>
          <w:bCs/>
          <w:sz w:val="24"/>
        </w:rPr>
        <w:t>2017</w:t>
      </w:r>
      <w:r w:rsidRPr="00492A3A">
        <w:rPr>
          <w:rFonts w:asciiTheme="minorEastAsia" w:eastAsiaTheme="minorEastAsia" w:hAnsiTheme="minorEastAsia" w:hint="eastAsia"/>
          <w:bCs/>
          <w:sz w:val="24"/>
        </w:rPr>
        <w:t>年度用于保障</w:t>
      </w:r>
      <w:r>
        <w:rPr>
          <w:rFonts w:asciiTheme="minorEastAsia" w:eastAsiaTheme="minorEastAsia" w:hAnsiTheme="minorEastAsia" w:hint="eastAsia"/>
          <w:bCs/>
          <w:sz w:val="24"/>
        </w:rPr>
        <w:t>区新闻中心</w:t>
      </w:r>
      <w:r w:rsidRPr="00492A3A">
        <w:rPr>
          <w:rFonts w:asciiTheme="minorEastAsia" w:eastAsiaTheme="minorEastAsia" w:hAnsiTheme="minorEastAsia" w:hint="eastAsia"/>
          <w:bCs/>
          <w:sz w:val="24"/>
        </w:rPr>
        <w:t>为完成特定的行政工作任务或事业发展目标，用于专项业务工作的经费支出</w:t>
      </w:r>
      <w:r>
        <w:rPr>
          <w:rFonts w:asciiTheme="minorEastAsia" w:eastAsiaTheme="minorEastAsia" w:hAnsiTheme="minorEastAsia" w:hint="eastAsia"/>
          <w:bCs/>
          <w:sz w:val="24"/>
        </w:rPr>
        <w:t>581</w:t>
      </w:r>
      <w:r w:rsidRPr="00492A3A">
        <w:rPr>
          <w:rFonts w:asciiTheme="minorEastAsia" w:eastAsiaTheme="minorEastAsia" w:hAnsiTheme="minorEastAsia" w:hint="eastAsia"/>
          <w:bCs/>
          <w:sz w:val="24"/>
        </w:rPr>
        <w:t>万元。与上年对比</w:t>
      </w:r>
      <w:r>
        <w:rPr>
          <w:rFonts w:asciiTheme="minorEastAsia" w:eastAsiaTheme="minorEastAsia" w:hAnsiTheme="minorEastAsia" w:hint="eastAsia"/>
          <w:bCs/>
          <w:sz w:val="24"/>
        </w:rPr>
        <w:t>有所增加</w:t>
      </w:r>
      <w:r w:rsidRPr="00492A3A">
        <w:rPr>
          <w:rFonts w:asciiTheme="minorEastAsia" w:eastAsiaTheme="minorEastAsia" w:hAnsiTheme="minorEastAsia" w:hint="eastAsia"/>
          <w:bCs/>
          <w:sz w:val="24"/>
        </w:rPr>
        <w:t>,主要原因</w:t>
      </w:r>
      <w:r>
        <w:rPr>
          <w:rFonts w:asciiTheme="minorEastAsia" w:eastAsiaTheme="minorEastAsia" w:hAnsiTheme="minorEastAsia" w:hint="eastAsia"/>
          <w:bCs/>
          <w:sz w:val="24"/>
        </w:rPr>
        <w:t>是编外人员经费增加，宣传工作任务加重，</w:t>
      </w:r>
      <w:r w:rsidRPr="00E32715">
        <w:rPr>
          <w:rFonts w:asciiTheme="minorEastAsia" w:eastAsiaTheme="minorEastAsia" w:hAnsiTheme="minorEastAsia" w:hint="eastAsia"/>
          <w:bCs/>
          <w:sz w:val="24"/>
        </w:rPr>
        <w:t>全部来源于区级财政资金。</w:t>
      </w:r>
      <w:r w:rsidRPr="00492A3A">
        <w:rPr>
          <w:rFonts w:asciiTheme="minorEastAsia" w:eastAsiaTheme="minorEastAsia" w:hAnsiTheme="minorEastAsia" w:hint="eastAsia"/>
          <w:bCs/>
          <w:sz w:val="24"/>
        </w:rPr>
        <w:t>具体项目开支及开展工作情况</w:t>
      </w:r>
      <w:r>
        <w:rPr>
          <w:rFonts w:asciiTheme="minorEastAsia" w:eastAsiaTheme="minorEastAsia" w:hAnsiTheme="minorEastAsia" w:hint="eastAsia"/>
          <w:bCs/>
          <w:sz w:val="24"/>
        </w:rPr>
        <w:t>：</w:t>
      </w:r>
      <w:r w:rsidRPr="00E32715">
        <w:rPr>
          <w:rFonts w:asciiTheme="minorEastAsia" w:eastAsiaTheme="minorEastAsia" w:hAnsiTheme="minorEastAsia" w:hint="eastAsia"/>
          <w:bCs/>
          <w:sz w:val="24"/>
        </w:rPr>
        <w:t>其中10万元为网络外宣经费，用于网络外宣建设等方面；5万元为手机快讯经费，用于手机报运营维护建设方面；54万元为9名编外人员劳务费，支出数为45.9万元；500万元为外宣经费，用于对外宣传支出；追加新闻采访设备购置经费19万元；结转2016年村村通工程维护费5000元；3万元为接待费，支出数为0。</w:t>
      </w:r>
    </w:p>
    <w:p w:rsidR="00A77723" w:rsidP="00362D66">
      <w:pPr>
        <w:spacing w:line="600" w:lineRule="exact"/>
        <w:ind w:firstLine="480" w:firstLineChars="200"/>
        <w:rPr>
          <w:rFonts w:asciiTheme="minorEastAsia" w:eastAsiaTheme="minorEastAsia" w:hAnsiTheme="minorEastAsia"/>
          <w:b/>
          <w:bCs/>
          <w:sz w:val="24"/>
        </w:rPr>
      </w:pPr>
      <w:r w:rsidRPr="00362D66">
        <w:rPr>
          <w:rFonts w:asciiTheme="minorEastAsia" w:eastAsiaTheme="minorEastAsia" w:hAnsiTheme="minorEastAsia" w:hint="eastAsia"/>
          <w:b/>
          <w:bCs/>
          <w:sz w:val="24"/>
        </w:rPr>
        <w:t>三、一般公共预算财政拨款支出决算情况说明</w:t>
      </w:r>
    </w:p>
    <w:p w:rsidR="005A4941" w:rsidRPr="005A4941" w:rsidP="005A4941">
      <w:pPr>
        <w:spacing w:line="600" w:lineRule="exact"/>
        <w:ind w:firstLine="480" w:firstLineChars="200"/>
        <w:rPr>
          <w:rFonts w:asciiTheme="minorEastAsia" w:eastAsiaTheme="minorEastAsia" w:hAnsiTheme="minorEastAsia"/>
          <w:bCs/>
          <w:sz w:val="24"/>
        </w:rPr>
      </w:pPr>
      <w:r w:rsidRPr="005A4941">
        <w:rPr>
          <w:rFonts w:asciiTheme="minorEastAsia" w:eastAsiaTheme="minorEastAsia" w:hAnsiTheme="minorEastAsia" w:hint="eastAsia"/>
          <w:bCs/>
          <w:sz w:val="24"/>
        </w:rPr>
        <w:t>（一）一般公共预算财政拨款支出决算总体情况</w:t>
      </w:r>
    </w:p>
    <w:p w:rsidR="005A4941" w:rsidRPr="005A4941" w:rsidP="005A4941">
      <w:pPr>
        <w:spacing w:line="600" w:lineRule="exact"/>
        <w:ind w:firstLine="480" w:firstLineChars="200"/>
        <w:rPr>
          <w:rFonts w:asciiTheme="minorEastAsia" w:eastAsiaTheme="minorEastAsia" w:hAnsiTheme="minorEastAsia"/>
          <w:bCs/>
          <w:sz w:val="24"/>
        </w:rPr>
      </w:pPr>
      <w:r>
        <w:rPr>
          <w:rFonts w:asciiTheme="minorEastAsia" w:eastAsiaTheme="minorEastAsia" w:hAnsiTheme="minorEastAsia" w:hint="eastAsia"/>
          <w:bCs/>
          <w:sz w:val="24"/>
        </w:rPr>
        <w:t>新闻宣传中心2017</w:t>
      </w:r>
      <w:r w:rsidRPr="005A4941">
        <w:rPr>
          <w:rFonts w:asciiTheme="minorEastAsia" w:eastAsiaTheme="minorEastAsia" w:hAnsiTheme="minorEastAsia" w:hint="eastAsia"/>
          <w:bCs/>
          <w:sz w:val="24"/>
        </w:rPr>
        <w:t>年度一般公共预算财政拨款支出</w:t>
      </w:r>
      <w:r>
        <w:rPr>
          <w:rFonts w:asciiTheme="minorEastAsia" w:eastAsiaTheme="minorEastAsia" w:hAnsiTheme="minorEastAsia" w:hint="eastAsia"/>
          <w:bCs/>
          <w:sz w:val="24"/>
        </w:rPr>
        <w:t>763.29</w:t>
      </w:r>
      <w:r w:rsidRPr="005A4941">
        <w:rPr>
          <w:rFonts w:asciiTheme="minorEastAsia" w:eastAsiaTheme="minorEastAsia" w:hAnsiTheme="minorEastAsia" w:hint="eastAsia"/>
          <w:bCs/>
          <w:sz w:val="24"/>
        </w:rPr>
        <w:t>万元,占本年支出合计的</w:t>
      </w:r>
      <w:r>
        <w:rPr>
          <w:rFonts w:asciiTheme="minorEastAsia" w:eastAsiaTheme="minorEastAsia" w:hAnsiTheme="minorEastAsia" w:hint="eastAsia"/>
          <w:bCs/>
          <w:sz w:val="24"/>
        </w:rPr>
        <w:t>100</w:t>
      </w:r>
      <w:r w:rsidRPr="005A4941">
        <w:rPr>
          <w:rFonts w:asciiTheme="minorEastAsia" w:eastAsiaTheme="minorEastAsia" w:hAnsiTheme="minorEastAsia" w:hint="eastAsia"/>
          <w:bCs/>
          <w:sz w:val="24"/>
        </w:rPr>
        <w:t>%。与上年对比</w:t>
      </w:r>
      <w:r>
        <w:rPr>
          <w:rFonts w:asciiTheme="minorEastAsia" w:eastAsiaTheme="minorEastAsia" w:hAnsiTheme="minorEastAsia" w:hint="eastAsia"/>
          <w:bCs/>
          <w:sz w:val="24"/>
        </w:rPr>
        <w:t>有所增加</w:t>
      </w:r>
      <w:r w:rsidRPr="005A4941">
        <w:rPr>
          <w:rFonts w:asciiTheme="minorEastAsia" w:eastAsiaTheme="minorEastAsia" w:hAnsiTheme="minorEastAsia" w:hint="eastAsia"/>
          <w:bCs/>
          <w:sz w:val="24"/>
        </w:rPr>
        <w:t>,主要原因</w:t>
      </w:r>
      <w:r>
        <w:rPr>
          <w:rFonts w:asciiTheme="minorEastAsia" w:eastAsiaTheme="minorEastAsia" w:hAnsiTheme="minorEastAsia" w:hint="eastAsia"/>
          <w:bCs/>
          <w:sz w:val="24"/>
        </w:rPr>
        <w:t>是项目支出增加</w:t>
      </w:r>
      <w:r w:rsidRPr="005A4941">
        <w:rPr>
          <w:rFonts w:asciiTheme="minorEastAsia" w:eastAsiaTheme="minorEastAsia" w:hAnsiTheme="minorEastAsia" w:hint="eastAsia"/>
          <w:bCs/>
          <w:sz w:val="24"/>
        </w:rPr>
        <w:t>。</w:t>
      </w:r>
    </w:p>
    <w:p w:rsidR="005A4941" w:rsidRPr="005A4941" w:rsidP="005A4941">
      <w:pPr>
        <w:spacing w:line="600" w:lineRule="exact"/>
        <w:ind w:firstLine="480" w:firstLineChars="200"/>
        <w:rPr>
          <w:rFonts w:asciiTheme="minorEastAsia" w:eastAsiaTheme="minorEastAsia" w:hAnsiTheme="minorEastAsia"/>
          <w:bCs/>
          <w:sz w:val="24"/>
        </w:rPr>
      </w:pPr>
      <w:r w:rsidRPr="005A4941">
        <w:rPr>
          <w:rFonts w:asciiTheme="minorEastAsia" w:eastAsiaTheme="minorEastAsia" w:hAnsiTheme="minorEastAsia" w:hint="eastAsia"/>
          <w:bCs/>
          <w:sz w:val="24"/>
        </w:rPr>
        <w:t>（二）一般公共预算财政拨款支出决算具体情况</w:t>
      </w:r>
      <w:r w:rsidRPr="005A4941">
        <w:rPr>
          <w:rFonts w:asciiTheme="minorEastAsia" w:eastAsiaTheme="minorEastAsia" w:hAnsiTheme="minorEastAsia" w:hint="eastAsia"/>
          <w:bCs/>
          <w:sz w:val="24"/>
        </w:rPr>
        <w:tab/>
      </w:r>
      <w:r w:rsidRPr="005A4941">
        <w:rPr>
          <w:rFonts w:asciiTheme="minorEastAsia" w:eastAsiaTheme="minorEastAsia" w:hAnsiTheme="minorEastAsia" w:hint="eastAsia"/>
          <w:bCs/>
          <w:sz w:val="24"/>
        </w:rPr>
        <w:tab/>
      </w:r>
      <w:r w:rsidRPr="005A4941">
        <w:rPr>
          <w:rFonts w:asciiTheme="minorEastAsia" w:eastAsiaTheme="minorEastAsia" w:hAnsiTheme="minorEastAsia" w:hint="eastAsia"/>
          <w:bCs/>
          <w:sz w:val="24"/>
        </w:rPr>
        <w:tab/>
      </w:r>
    </w:p>
    <w:p w:rsidR="005A4941" w:rsidRPr="005A4941" w:rsidP="005A4941">
      <w:pPr>
        <w:spacing w:line="600" w:lineRule="exact"/>
        <w:ind w:firstLine="480" w:firstLineChars="200"/>
        <w:rPr>
          <w:rFonts w:asciiTheme="minorEastAsia" w:eastAsiaTheme="minorEastAsia" w:hAnsiTheme="minorEastAsia"/>
          <w:bCs/>
          <w:sz w:val="24"/>
        </w:rPr>
      </w:pPr>
      <w:r w:rsidRPr="005A4941">
        <w:rPr>
          <w:rFonts w:asciiTheme="minorEastAsia" w:eastAsiaTheme="minorEastAsia" w:hAnsiTheme="minorEastAsia" w:hint="eastAsia"/>
          <w:bCs/>
          <w:sz w:val="24"/>
        </w:rPr>
        <w:t>1.一般公共服务（类）支出</w:t>
      </w:r>
      <w:r>
        <w:rPr>
          <w:rFonts w:asciiTheme="minorEastAsia" w:eastAsiaTheme="minorEastAsia" w:hAnsiTheme="minorEastAsia" w:hint="eastAsia"/>
          <w:bCs/>
          <w:sz w:val="24"/>
        </w:rPr>
        <w:t>763.29</w:t>
      </w:r>
      <w:r w:rsidRPr="005A4941">
        <w:rPr>
          <w:rFonts w:asciiTheme="minorEastAsia" w:eastAsiaTheme="minorEastAsia" w:hAnsiTheme="minorEastAsia" w:hint="eastAsia"/>
          <w:bCs/>
          <w:sz w:val="24"/>
        </w:rPr>
        <w:t>万元，占一般公共预算财政拨款总支出的</w:t>
      </w:r>
      <w:r>
        <w:rPr>
          <w:rFonts w:asciiTheme="minorEastAsia" w:eastAsiaTheme="minorEastAsia" w:hAnsiTheme="minorEastAsia" w:hint="eastAsia"/>
          <w:bCs/>
          <w:sz w:val="24"/>
        </w:rPr>
        <w:t>100</w:t>
      </w:r>
      <w:r w:rsidRPr="005A4941">
        <w:rPr>
          <w:rFonts w:asciiTheme="minorEastAsia" w:eastAsiaTheme="minorEastAsia" w:hAnsiTheme="minorEastAsia" w:hint="eastAsia"/>
          <w:bCs/>
          <w:sz w:val="24"/>
        </w:rPr>
        <w:t>%。主要用于</w:t>
      </w:r>
      <w:r w:rsidR="0030606F">
        <w:rPr>
          <w:rFonts w:asciiTheme="minorEastAsia" w:eastAsiaTheme="minorEastAsia" w:hAnsiTheme="minorEastAsia" w:hint="eastAsia"/>
          <w:bCs/>
          <w:sz w:val="24"/>
        </w:rPr>
        <w:t>新闻出版广播影视支出。具体为基本支出和项目支出，项目支出中有外宣传经费支出492万元、手机报宣传经费5万元、网络宣传经费10万元、9名编外人员经费54万元。</w:t>
      </w:r>
    </w:p>
    <w:p w:rsidR="006643CA"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bCs/>
          <w:sz w:val="24"/>
        </w:rPr>
        <w:t>2017</w:t>
      </w:r>
      <w:r w:rsidRPr="00E32715">
        <w:rPr>
          <w:rFonts w:asciiTheme="minorEastAsia" w:eastAsiaTheme="minorEastAsia" w:hAnsiTheme="minorEastAsia" w:hint="eastAsia"/>
          <w:bCs/>
          <w:sz w:val="24"/>
        </w:rPr>
        <w:t>年度一般公共预算财政拨款年初结转和结余</w:t>
      </w:r>
      <w:r w:rsidRPr="00E32715">
        <w:rPr>
          <w:rFonts w:asciiTheme="minorEastAsia" w:eastAsiaTheme="minorEastAsia" w:hAnsiTheme="minorEastAsia"/>
          <w:bCs/>
          <w:sz w:val="24"/>
        </w:rPr>
        <w:t>5,000</w:t>
      </w:r>
      <w:r w:rsidRPr="00E32715">
        <w:rPr>
          <w:rFonts w:asciiTheme="minorEastAsia" w:eastAsiaTheme="minorEastAsia" w:hAnsiTheme="minorEastAsia" w:hint="eastAsia"/>
          <w:bCs/>
          <w:sz w:val="24"/>
        </w:rPr>
        <w:t>元，本年收入</w:t>
      </w:r>
      <w:r w:rsidRPr="00E32715">
        <w:rPr>
          <w:rFonts w:asciiTheme="minorEastAsia" w:eastAsiaTheme="minorEastAsia" w:hAnsiTheme="minorEastAsia"/>
          <w:bCs/>
          <w:sz w:val="24"/>
        </w:rPr>
        <w:t>7,817,911.29</w:t>
      </w:r>
      <w:r w:rsidRPr="00E32715">
        <w:rPr>
          <w:rFonts w:asciiTheme="minorEastAsia" w:eastAsiaTheme="minorEastAsia" w:hAnsiTheme="minorEastAsia" w:hint="eastAsia"/>
          <w:bCs/>
          <w:sz w:val="24"/>
        </w:rPr>
        <w:t>元，本年支出</w:t>
      </w:r>
      <w:r w:rsidRPr="00E32715">
        <w:rPr>
          <w:rFonts w:asciiTheme="minorEastAsia" w:eastAsiaTheme="minorEastAsia" w:hAnsiTheme="minorEastAsia"/>
          <w:bCs/>
          <w:sz w:val="24"/>
        </w:rPr>
        <w:t>7,632,911.29</w:t>
      </w:r>
      <w:r w:rsidRPr="00E32715">
        <w:rPr>
          <w:rFonts w:asciiTheme="minorEastAsia" w:eastAsiaTheme="minorEastAsia" w:hAnsiTheme="minorEastAsia" w:hint="eastAsia"/>
          <w:bCs/>
          <w:sz w:val="24"/>
        </w:rPr>
        <w:t>元，年末结转和结余</w:t>
      </w:r>
      <w:r w:rsidRPr="00E32715">
        <w:rPr>
          <w:rFonts w:asciiTheme="minorEastAsia" w:eastAsiaTheme="minorEastAsia" w:hAnsiTheme="minorEastAsia"/>
          <w:bCs/>
          <w:sz w:val="24"/>
        </w:rPr>
        <w:t>190,000</w:t>
      </w:r>
      <w:r w:rsidRPr="00E32715">
        <w:rPr>
          <w:rFonts w:asciiTheme="minorEastAsia" w:eastAsiaTheme="minorEastAsia" w:hAnsiTheme="minorEastAsia" w:hint="eastAsia"/>
          <w:bCs/>
          <w:sz w:val="24"/>
        </w:rPr>
        <w:t>元。主要用于</w:t>
      </w:r>
      <w:r w:rsidR="00362D66">
        <w:rPr>
          <w:rFonts w:asciiTheme="minorEastAsia" w:eastAsiaTheme="minorEastAsia" w:hAnsiTheme="minorEastAsia" w:hint="eastAsia"/>
          <w:bCs/>
          <w:sz w:val="24"/>
        </w:rPr>
        <w:t>新闻宣传</w:t>
      </w:r>
      <w:r w:rsidR="00C13553">
        <w:rPr>
          <w:rFonts w:asciiTheme="minorEastAsia" w:eastAsiaTheme="minorEastAsia" w:hAnsiTheme="minorEastAsia" w:hint="eastAsia"/>
          <w:bCs/>
          <w:sz w:val="24"/>
        </w:rPr>
        <w:t>支出。</w:t>
      </w:r>
    </w:p>
    <w:p w:rsidR="00A77723" w:rsidRPr="00C13553" w:rsidP="00C13553">
      <w:pPr>
        <w:spacing w:line="600" w:lineRule="exact"/>
        <w:ind w:firstLine="480" w:firstLineChars="200"/>
        <w:rPr>
          <w:rFonts w:asciiTheme="minorEastAsia" w:eastAsiaTheme="minorEastAsia" w:hAnsiTheme="minorEastAsia"/>
          <w:b/>
          <w:bCs/>
          <w:sz w:val="24"/>
        </w:rPr>
      </w:pPr>
      <w:r w:rsidRPr="00C13553">
        <w:rPr>
          <w:rFonts w:asciiTheme="minorEastAsia" w:eastAsiaTheme="minorEastAsia" w:hAnsiTheme="minorEastAsia" w:hint="eastAsia"/>
          <w:b/>
          <w:bCs/>
          <w:sz w:val="24"/>
        </w:rPr>
        <w:t>四、一般公共预算财政拨款“三公”经费支出决算情况说明</w:t>
      </w:r>
    </w:p>
    <w:p w:rsidR="00A77723"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(一) 一般公共预算财政拨款“三公”经费支出决算总体情况</w:t>
      </w:r>
    </w:p>
    <w:p w:rsidR="00C13553" w:rsidP="00C13553">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“三公”经费支出5.88万元，支出项目为公务车辆运行维护费，其它项目无支出。</w:t>
      </w:r>
      <w:r>
        <w:rPr>
          <w:rFonts w:asciiTheme="minorEastAsia" w:eastAsiaTheme="minorEastAsia" w:hAnsiTheme="minorEastAsia" w:hint="eastAsia"/>
          <w:bCs/>
          <w:sz w:val="24"/>
        </w:rPr>
        <w:t>2017</w:t>
      </w:r>
      <w:r w:rsidRPr="00E32715" w:rsidR="008D7002">
        <w:rPr>
          <w:rFonts w:asciiTheme="minorEastAsia" w:eastAsiaTheme="minorEastAsia" w:hAnsiTheme="minorEastAsia" w:hint="eastAsia"/>
          <w:bCs/>
          <w:sz w:val="24"/>
        </w:rPr>
        <w:t>年度一般公共预算财政拨款“三公”经费支出预算为</w:t>
      </w:r>
      <w:r w:rsidR="00942402">
        <w:rPr>
          <w:rFonts w:asciiTheme="minorEastAsia" w:eastAsiaTheme="minorEastAsia" w:hAnsiTheme="minorEastAsia" w:hint="eastAsia"/>
          <w:bCs/>
          <w:sz w:val="24"/>
        </w:rPr>
        <w:t>16.08</w:t>
      </w:r>
      <w:r w:rsidRPr="00E32715" w:rsidR="008D7002">
        <w:rPr>
          <w:rFonts w:asciiTheme="minorEastAsia" w:eastAsiaTheme="minorEastAsia" w:hAnsiTheme="minorEastAsia" w:hint="eastAsia"/>
          <w:bCs/>
          <w:sz w:val="24"/>
        </w:rPr>
        <w:t>万元，支出决算为</w:t>
      </w:r>
      <w:r>
        <w:rPr>
          <w:rFonts w:asciiTheme="minorEastAsia" w:eastAsiaTheme="minorEastAsia" w:hAnsiTheme="minorEastAsia" w:hint="eastAsia"/>
          <w:bCs/>
          <w:sz w:val="24"/>
        </w:rPr>
        <w:t>5.88</w:t>
      </w:r>
      <w:r w:rsidRPr="00E32715" w:rsidR="008D7002">
        <w:rPr>
          <w:rFonts w:asciiTheme="minorEastAsia" w:eastAsiaTheme="minorEastAsia" w:hAnsiTheme="minorEastAsia" w:hint="eastAsia"/>
          <w:bCs/>
          <w:sz w:val="24"/>
        </w:rPr>
        <w:t>万元，完成预算的</w:t>
      </w:r>
      <w:r w:rsidR="00942402">
        <w:rPr>
          <w:rFonts w:asciiTheme="minorEastAsia" w:eastAsiaTheme="minorEastAsia" w:hAnsiTheme="minorEastAsia" w:hint="eastAsia"/>
          <w:bCs/>
          <w:sz w:val="24"/>
        </w:rPr>
        <w:t>37</w:t>
      </w:r>
      <w:r w:rsidRPr="00E32715" w:rsidR="008D7002">
        <w:rPr>
          <w:rFonts w:asciiTheme="minorEastAsia" w:eastAsiaTheme="minorEastAsia" w:hAnsiTheme="minorEastAsia" w:hint="eastAsia"/>
          <w:bCs/>
          <w:sz w:val="24"/>
        </w:rPr>
        <w:t>%。</w:t>
      </w:r>
    </w:p>
    <w:p w:rsidR="00A77723"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 xml:space="preserve"> </w:t>
      </w:r>
      <w:r w:rsidRPr="00E32715" w:rsidR="008D7002">
        <w:rPr>
          <w:rFonts w:asciiTheme="minorEastAsia" w:eastAsiaTheme="minorEastAsia" w:hAnsiTheme="minorEastAsia" w:hint="eastAsia"/>
          <w:bCs/>
          <w:sz w:val="24"/>
        </w:rPr>
        <w:t>(二) 一般公共预算财政拨款“三公”经费支出决算具体情况</w:t>
      </w:r>
    </w:p>
    <w:p w:rsidR="00A77723"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公务用车运行维护支出</w:t>
      </w:r>
      <w:r w:rsidR="00C13553">
        <w:rPr>
          <w:rFonts w:asciiTheme="minorEastAsia" w:eastAsiaTheme="minorEastAsia" w:hAnsiTheme="minorEastAsia" w:hint="eastAsia"/>
          <w:bCs/>
          <w:sz w:val="24"/>
        </w:rPr>
        <w:t>5.88</w:t>
      </w:r>
      <w:r w:rsidRPr="00E32715">
        <w:rPr>
          <w:rFonts w:asciiTheme="minorEastAsia" w:eastAsiaTheme="minorEastAsia" w:hAnsiTheme="minorEastAsia" w:hint="eastAsia"/>
          <w:bCs/>
          <w:sz w:val="24"/>
        </w:rPr>
        <w:t>万元，开支一般公共预算财政拨款的公务用车保有量为</w:t>
      </w:r>
      <w:r w:rsidR="00C13553">
        <w:rPr>
          <w:rFonts w:asciiTheme="minorEastAsia" w:eastAsiaTheme="minorEastAsia" w:hAnsiTheme="minorEastAsia" w:hint="eastAsia"/>
          <w:bCs/>
          <w:sz w:val="24"/>
        </w:rPr>
        <w:t>3</w:t>
      </w:r>
      <w:r w:rsidRPr="00E32715">
        <w:rPr>
          <w:rFonts w:asciiTheme="minorEastAsia" w:eastAsiaTheme="minorEastAsia" w:hAnsiTheme="minorEastAsia" w:hint="eastAsia"/>
          <w:bCs/>
          <w:sz w:val="24"/>
        </w:rPr>
        <w:t>辆。主要用于</w:t>
      </w:r>
      <w:r w:rsidR="00C13553">
        <w:rPr>
          <w:rFonts w:asciiTheme="minorEastAsia" w:eastAsiaTheme="minorEastAsia" w:hAnsiTheme="minorEastAsia" w:hint="eastAsia"/>
          <w:bCs/>
          <w:sz w:val="24"/>
        </w:rPr>
        <w:t>盘龙区新闻采访</w:t>
      </w:r>
      <w:r w:rsidRPr="00E32715">
        <w:rPr>
          <w:rFonts w:asciiTheme="minorEastAsia" w:eastAsiaTheme="minorEastAsia" w:hAnsiTheme="minorEastAsia" w:hint="eastAsia"/>
          <w:bCs/>
          <w:sz w:val="24"/>
        </w:rPr>
        <w:t>所需车辆燃料费、维修费、过路过桥费、保险费等。</w:t>
      </w:r>
    </w:p>
    <w:p w:rsidR="00D33EF9" w:rsidP="00D33EF9">
      <w:pPr>
        <w:widowControl/>
        <w:snapToGrid w:val="0"/>
        <w:spacing w:before="100" w:after="100" w:line="360" w:lineRule="auto"/>
        <w:ind w:firstLine="600" w:firstLineChars="200"/>
        <w:jc w:val="left"/>
        <w:rPr>
          <w:rFonts w:ascii="仿宋_GB2312" w:eastAsia="仿宋_GB2312"/>
          <w:sz w:val="30"/>
          <w:szCs w:val="30"/>
        </w:rPr>
      </w:pPr>
      <w:r>
        <w:rPr>
          <w:rFonts w:ascii="黑体" w:eastAsia="黑体" w:hAnsi="黑体" w:hint="eastAsia"/>
          <w:sz w:val="30"/>
          <w:szCs w:val="30"/>
        </w:rPr>
        <w:t>五、其他重要事项及相关口径情况说明</w:t>
      </w:r>
    </w:p>
    <w:p w:rsidR="00D33EF9" w:rsidP="00D33EF9">
      <w:pPr>
        <w:ind w:firstLine="600" w:firstLineChars="200"/>
        <w:jc w:val="left"/>
        <w:rPr>
          <w:rFonts w:ascii="楷体_GB2312" w:eastAsia="楷体_GB2312" w:hAnsi="黑体" w:cs="方正小标宋简体"/>
          <w:sz w:val="30"/>
          <w:szCs w:val="30"/>
        </w:rPr>
      </w:pPr>
      <w:r>
        <w:rPr>
          <w:rFonts w:ascii="楷体_GB2312" w:eastAsia="楷体_GB2312" w:hAnsi="黑体" w:cs="方正小标宋简体" w:hint="eastAsia"/>
          <w:sz w:val="30"/>
          <w:szCs w:val="30"/>
        </w:rPr>
        <w:t>(一)机关运行经费支出情况</w:t>
      </w:r>
    </w:p>
    <w:p w:rsidR="00D33EF9" w:rsidRPr="00E32715" w:rsidP="00D33EF9">
      <w:pPr>
        <w:spacing w:line="600" w:lineRule="exact"/>
        <w:ind w:firstLine="600" w:firstLineChars="200"/>
        <w:rPr>
          <w:rFonts w:asciiTheme="minorEastAsia" w:eastAsiaTheme="minorEastAsia" w:hAnsiTheme="minorEastAsia"/>
          <w:bCs/>
          <w:sz w:val="24"/>
        </w:rPr>
      </w:pPr>
      <w:r>
        <w:rPr>
          <w:rFonts w:ascii="仿宋_GB2312" w:eastAsia="仿宋_GB2312" w:hAnsi="黑体" w:cs="方正小标宋简体" w:hint="eastAsia"/>
          <w:sz w:val="30"/>
          <w:szCs w:val="30"/>
        </w:rPr>
        <w:t>区新闻宣传中心2017年机关运行经费支出33.6万元，与上年对比有所增加,主要原因是新闻采访任务加重，新闻采访公务用车较多。部门运行经费主要用于办公费、公务用车运行维护费、劳务费等。</w:t>
      </w:r>
    </w:p>
    <w:p w:rsidR="00D33EF9" w:rsidRP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（二）国有资产占用情况</w:t>
      </w:r>
    </w:p>
    <w:p w:rsidR="00A77723" w:rsidRPr="00E32715" w:rsidP="00E32715">
      <w:pPr>
        <w:spacing w:line="600" w:lineRule="exact"/>
        <w:ind w:firstLine="480" w:firstLineChars="200"/>
        <w:rPr>
          <w:rFonts w:asciiTheme="minorEastAsia" w:eastAsiaTheme="minorEastAsia" w:hAnsiTheme="minorEastAsia"/>
          <w:bCs/>
          <w:sz w:val="24"/>
        </w:rPr>
      </w:pPr>
      <w:r w:rsidRPr="00E32715">
        <w:rPr>
          <w:rFonts w:asciiTheme="minorEastAsia" w:eastAsiaTheme="minorEastAsia" w:hAnsiTheme="minorEastAsia" w:hint="eastAsia"/>
          <w:bCs/>
          <w:sz w:val="24"/>
        </w:rPr>
        <w:t>截至2017年12月31日</w:t>
      </w:r>
      <w:r w:rsidR="001E7F7C">
        <w:rPr>
          <w:rFonts w:asciiTheme="minorEastAsia" w:eastAsiaTheme="minorEastAsia" w:hAnsiTheme="minorEastAsia" w:hint="eastAsia"/>
          <w:bCs/>
          <w:sz w:val="24"/>
        </w:rPr>
        <w:t>区新闻宣传中心</w:t>
      </w:r>
      <w:r w:rsidRPr="00E32715">
        <w:rPr>
          <w:rFonts w:asciiTheme="minorEastAsia" w:eastAsiaTheme="minorEastAsia" w:hAnsiTheme="minorEastAsia" w:hint="eastAsia"/>
          <w:bCs/>
          <w:sz w:val="24"/>
        </w:rPr>
        <w:t>资产总额</w:t>
      </w:r>
      <w:r w:rsidR="001E7F7C">
        <w:rPr>
          <w:rFonts w:asciiTheme="minorEastAsia" w:eastAsiaTheme="minorEastAsia" w:hAnsiTheme="minorEastAsia" w:hint="eastAsia"/>
          <w:bCs/>
          <w:sz w:val="24"/>
        </w:rPr>
        <w:t>324</w:t>
      </w:r>
      <w:r w:rsidRPr="00E32715">
        <w:rPr>
          <w:rFonts w:asciiTheme="minorEastAsia" w:eastAsiaTheme="minorEastAsia" w:hAnsiTheme="minorEastAsia" w:hint="eastAsia"/>
          <w:bCs/>
          <w:sz w:val="24"/>
        </w:rPr>
        <w:t>万元，其中，流动资产</w:t>
      </w:r>
      <w:r w:rsidR="001E7F7C">
        <w:rPr>
          <w:rFonts w:asciiTheme="minorEastAsia" w:eastAsiaTheme="minorEastAsia" w:hAnsiTheme="minorEastAsia" w:hint="eastAsia"/>
          <w:bCs/>
          <w:sz w:val="24"/>
        </w:rPr>
        <w:t>63</w:t>
      </w:r>
      <w:r w:rsidRPr="00E32715">
        <w:rPr>
          <w:rFonts w:asciiTheme="minorEastAsia" w:eastAsiaTheme="minorEastAsia" w:hAnsiTheme="minorEastAsia" w:hint="eastAsia"/>
          <w:bCs/>
          <w:sz w:val="24"/>
        </w:rPr>
        <w:t>万元，固定资产</w:t>
      </w:r>
      <w:r w:rsidR="001E7F7C">
        <w:rPr>
          <w:rFonts w:asciiTheme="minorEastAsia" w:eastAsiaTheme="minorEastAsia" w:hAnsiTheme="minorEastAsia" w:hint="eastAsia"/>
          <w:bCs/>
          <w:sz w:val="24"/>
        </w:rPr>
        <w:t>261万元</w:t>
      </w:r>
      <w:r w:rsidRPr="00E32715">
        <w:rPr>
          <w:rFonts w:asciiTheme="minorEastAsia" w:eastAsiaTheme="minorEastAsia" w:hAnsiTheme="minorEastAsia" w:hint="eastAsia"/>
          <w:bCs/>
          <w:sz w:val="24"/>
        </w:rPr>
        <w:t>。与上年相比，本年资产总额</w:t>
      </w:r>
      <w:r w:rsidR="001E7F7C">
        <w:rPr>
          <w:rFonts w:asciiTheme="minorEastAsia" w:eastAsiaTheme="minorEastAsia" w:hAnsiTheme="minorEastAsia" w:hint="eastAsia"/>
          <w:bCs/>
          <w:sz w:val="24"/>
        </w:rPr>
        <w:t>无变化</w:t>
      </w:r>
      <w:r w:rsidRPr="00E32715">
        <w:rPr>
          <w:rFonts w:asciiTheme="minorEastAsia" w:eastAsiaTheme="minorEastAsia" w:hAnsiTheme="minorEastAsia" w:hint="eastAsia"/>
          <w:bCs/>
          <w:sz w:val="24"/>
        </w:rPr>
        <w:t>。</w:t>
      </w:r>
    </w:p>
    <w:p w:rsidR="00A77723" w:rsidRPr="00E32715" w:rsidP="00C13553">
      <w:pPr>
        <w:jc w:val="left"/>
        <w:rPr>
          <w:rFonts w:asciiTheme="minorEastAsia" w:eastAsiaTheme="minorEastAsia" w:hAnsiTheme="minorEastAsia" w:cs="方正小标宋简体"/>
          <w:sz w:val="24"/>
        </w:rPr>
      </w:pPr>
    </w:p>
    <w:tbl>
      <w:tblPr>
        <w:tblpPr w:leftFromText="180" w:rightFromText="180" w:topFromText="100" w:bottomFromText="100" w:vertAnchor="text" w:horzAnchor="page" w:tblpX="534" w:tblpY="490"/>
        <w:tblOverlap w:val="never"/>
        <w:tblW w:w="10770" w:type="dxa"/>
        <w:tblLayout w:type="fixed"/>
        <w:tblCellMar>
          <w:left w:w="0" w:type="dxa"/>
          <w:right w:w="0" w:type="dxa"/>
        </w:tblCellMar>
        <w:tblLook w:val="0000"/>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618"/>
      </w:tblGrid>
      <w:tr w:rsidTr="00D33EF9">
        <w:tblPrEx>
          <w:tblW w:w="10770" w:type="dxa"/>
          <w:tblLayout w:type="fixed"/>
          <w:tblCellMar>
            <w:left w:w="0" w:type="dxa"/>
            <w:right w:w="0" w:type="dxa"/>
          </w:tblCellMar>
          <w:tblLook w:val="0000"/>
        </w:tblPrEx>
        <w:trPr>
          <w:trHeight w:val="495"/>
        </w:trPr>
        <w:tc>
          <w:tcPr>
            <w:tcW w:w="10770" w:type="dxa"/>
            <w:gridSpan w:val="19"/>
            <w:tcBorders>
              <w:top w:val="nil"/>
              <w:left w:val="nil"/>
              <w:bottom w:val="nil"/>
              <w:right w:val="nil"/>
            </w:tcBorders>
            <w:shd w:val="clear" w:color="auto" w:fill="FFFFFF"/>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方正小标宋_GBK" w:hint="eastAsia"/>
                <w:b/>
                <w:color w:val="000000"/>
                <w:kern w:val="0"/>
                <w:sz w:val="24"/>
              </w:rPr>
              <w:t>国有资产占有使用情况表</w:t>
            </w:r>
          </w:p>
        </w:tc>
      </w:tr>
      <w:tr w:rsidTr="00D33EF9">
        <w:tblPrEx>
          <w:tblW w:w="10770" w:type="dxa"/>
          <w:tblLayout w:type="fixed"/>
          <w:tblCellMar>
            <w:left w:w="0" w:type="dxa"/>
            <w:right w:w="0" w:type="dxa"/>
          </w:tblCellMar>
          <w:tblLook w:val="0000"/>
        </w:tblPrEx>
        <w:trPr>
          <w:trHeight w:val="347"/>
        </w:trPr>
        <w:tc>
          <w:tcPr>
            <w:tcW w:w="4680" w:type="dxa"/>
            <w:gridSpan w:val="8"/>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left"/>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865"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974" w:type="dxa"/>
            <w:gridSpan w:val="2"/>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196"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978"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979" w:type="dxa"/>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2098" w:type="dxa"/>
            <w:gridSpan w:val="5"/>
            <w:tcBorders>
              <w:top w:val="nil"/>
              <w:left w:val="nil"/>
              <w:bottom w:val="single" w:sz="4" w:space="0" w:color="808080"/>
              <w:right w:val="nil"/>
            </w:tcBorders>
            <w:shd w:val="clear" w:color="auto" w:fill="FFFFFF"/>
            <w:tcMar>
              <w:top w:w="15" w:type="dxa"/>
              <w:left w:w="15" w:type="dxa"/>
              <w:bottom w:w="15" w:type="dxa"/>
              <w:right w:w="15" w:type="dxa"/>
            </w:tcMar>
            <w:vAlign w:val="center"/>
          </w:tcPr>
          <w:p w:rsidR="00A77723" w:rsidRPr="00E32715">
            <w:pPr>
              <w:widowControl/>
              <w:jc w:val="right"/>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单位：万元</w:t>
            </w:r>
          </w:p>
        </w:tc>
      </w:tr>
      <w:tr w:rsidTr="00D33EF9">
        <w:tblPrEx>
          <w:tblW w:w="10770" w:type="dxa"/>
          <w:tblLayout w:type="fixed"/>
          <w:tblCellMar>
            <w:left w:w="0" w:type="dxa"/>
            <w:right w:w="0" w:type="dxa"/>
          </w:tblCellMar>
          <w:tblLook w:val="0000"/>
        </w:tblPrEx>
        <w:trPr>
          <w:trHeight w:val="415"/>
        </w:trPr>
        <w:tc>
          <w:tcPr>
            <w:tcW w:w="7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项目</w:t>
            </w:r>
          </w:p>
        </w:tc>
        <w:tc>
          <w:tcPr>
            <w:tcW w:w="54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行次</w:t>
            </w:r>
          </w:p>
        </w:tc>
        <w:tc>
          <w:tcPr>
            <w:tcW w:w="70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资产总额</w:t>
            </w:r>
          </w:p>
        </w:tc>
        <w:tc>
          <w:tcPr>
            <w:tcW w:w="68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流动资产</w:t>
            </w:r>
          </w:p>
        </w:tc>
        <w:tc>
          <w:tcPr>
            <w:tcW w:w="407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固定资产</w:t>
            </w:r>
          </w:p>
        </w:tc>
        <w:tc>
          <w:tcPr>
            <w:tcW w:w="97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对外投资/有价证券</w:t>
            </w:r>
          </w:p>
        </w:tc>
        <w:tc>
          <w:tcPr>
            <w:tcW w:w="97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在建工程</w:t>
            </w:r>
          </w:p>
        </w:tc>
        <w:tc>
          <w:tcPr>
            <w:tcW w:w="978" w:type="dxa"/>
            <w:gridSpan w:val="2"/>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无形资产</w:t>
            </w:r>
          </w:p>
        </w:tc>
        <w:tc>
          <w:tcPr>
            <w:tcW w:w="1120" w:type="dxa"/>
            <w:gridSpan w:val="3"/>
            <w:vMerge w:val="restart"/>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其他资产</w:t>
            </w:r>
          </w:p>
        </w:tc>
      </w:tr>
      <w:tr w:rsidTr="00D33EF9">
        <w:tblPrEx>
          <w:tblW w:w="10770" w:type="dxa"/>
          <w:tblLayout w:type="fixed"/>
          <w:tblCellMar>
            <w:left w:w="0" w:type="dxa"/>
            <w:right w:w="0" w:type="dxa"/>
          </w:tblCellMar>
          <w:tblLook w:val="0000"/>
        </w:tblPrEx>
        <w:trPr>
          <w:trHeight w:val="345"/>
        </w:trPr>
        <w:tc>
          <w:tcPr>
            <w:tcW w:w="715"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47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小计</w:t>
            </w:r>
          </w:p>
        </w:tc>
        <w:tc>
          <w:tcPr>
            <w:tcW w:w="72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房屋构筑物</w:t>
            </w:r>
          </w:p>
        </w:tc>
        <w:tc>
          <w:tcPr>
            <w:tcW w:w="76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车辆</w:t>
            </w:r>
          </w:p>
        </w:tc>
        <w:tc>
          <w:tcPr>
            <w:tcW w:w="1263" w:type="dxa"/>
            <w:gridSpan w:val="3"/>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单价200万以上大型设备</w:t>
            </w:r>
          </w:p>
        </w:tc>
        <w:tc>
          <w:tcPr>
            <w:tcW w:w="83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其他固定资产</w:t>
            </w:r>
          </w:p>
        </w:tc>
        <w:tc>
          <w:tcPr>
            <w:tcW w:w="978"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978" w:type="dxa"/>
            <w:gridSpan w:val="2"/>
            <w:vMerge/>
            <w:tcBorders>
              <w:top w:val="nil"/>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1120" w:type="dxa"/>
            <w:gridSpan w:val="3"/>
            <w:vMerge/>
            <w:tcBorders>
              <w:top w:val="nil"/>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r>
      <w:tr w:rsidTr="00D33EF9">
        <w:tblPrEx>
          <w:tblW w:w="10770" w:type="dxa"/>
          <w:tblLayout w:type="fixed"/>
          <w:tblCellMar>
            <w:left w:w="0" w:type="dxa"/>
            <w:right w:w="0" w:type="dxa"/>
          </w:tblCellMar>
          <w:tblLook w:val="0000"/>
        </w:tblPrEx>
        <w:trPr>
          <w:trHeight w:val="395"/>
        </w:trPr>
        <w:tc>
          <w:tcPr>
            <w:tcW w:w="715"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546"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700"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684"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725"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769"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1263" w:type="dxa"/>
            <w:gridSpan w:val="3"/>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839" w:type="dxa"/>
            <w:gridSpan w:val="2"/>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978"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978" w:type="dxa"/>
            <w:gridSpan w:val="2"/>
            <w:vMerge/>
            <w:tcBorders>
              <w:top w:val="nil"/>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c>
          <w:tcPr>
            <w:tcW w:w="1120" w:type="dxa"/>
            <w:gridSpan w:val="3"/>
            <w:vMerge/>
            <w:tcBorders>
              <w:top w:val="nil"/>
              <w:left w:val="single" w:sz="4" w:space="0" w:color="000000"/>
              <w:bottom w:val="single" w:sz="4" w:space="0" w:color="000000"/>
              <w:right w:val="single" w:sz="4" w:space="0" w:color="000000"/>
            </w:tcBorders>
            <w:vAlign w:val="center"/>
          </w:tcPr>
          <w:p w:rsidR="00A77723" w:rsidRPr="00E32715">
            <w:pPr>
              <w:widowControl/>
              <w:jc w:val="left"/>
              <w:rPr>
                <w:rFonts w:asciiTheme="minorEastAsia" w:eastAsiaTheme="minorEastAsia" w:hAnsiTheme="minorEastAsia" w:cs="宋体"/>
                <w:color w:val="000000"/>
                <w:kern w:val="0"/>
                <w:sz w:val="24"/>
              </w:rPr>
            </w:pPr>
          </w:p>
        </w:tc>
      </w:tr>
      <w:tr w:rsidTr="00D33EF9">
        <w:tblPrEx>
          <w:tblW w:w="10770" w:type="dxa"/>
          <w:tblLayout w:type="fixed"/>
          <w:tblCellMar>
            <w:left w:w="0" w:type="dxa"/>
            <w:right w:w="0" w:type="dxa"/>
          </w:tblCellMar>
          <w:tblLook w:val="0000"/>
        </w:tblPrEx>
        <w:trPr>
          <w:trHeight w:val="358"/>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栏次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left"/>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 </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2</w:t>
            </w:r>
          </w:p>
        </w:tc>
        <w:tc>
          <w:tcPr>
            <w:tcW w:w="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3</w:t>
            </w:r>
          </w:p>
        </w:tc>
        <w:tc>
          <w:tcPr>
            <w:tcW w:w="7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4</w:t>
            </w:r>
          </w:p>
        </w:tc>
        <w:tc>
          <w:tcPr>
            <w:tcW w:w="7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5</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6</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7</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8</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9</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10</w:t>
            </w:r>
          </w:p>
        </w:tc>
        <w:tc>
          <w:tcPr>
            <w:tcW w:w="112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11</w:t>
            </w:r>
          </w:p>
        </w:tc>
      </w:tr>
      <w:tr w:rsidTr="00D33EF9">
        <w:tblPrEx>
          <w:tblW w:w="10770" w:type="dxa"/>
          <w:tblLayout w:type="fixed"/>
          <w:tblCellMar>
            <w:left w:w="0" w:type="dxa"/>
            <w:right w:w="0" w:type="dxa"/>
          </w:tblCellMar>
          <w:tblLook w:val="0000"/>
        </w:tblPrEx>
        <w:trPr>
          <w:trHeight w:val="563"/>
        </w:trPr>
        <w:tc>
          <w:tcPr>
            <w:tcW w:w="7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合计</w:t>
            </w:r>
          </w:p>
        </w:tc>
        <w:tc>
          <w:tcPr>
            <w:tcW w:w="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center"/>
              <w:textAlignment w:val="center"/>
              <w:rPr>
                <w:rFonts w:asciiTheme="minorEastAsia" w:eastAsiaTheme="minorEastAsia" w:hAnsiTheme="minorEastAsia" w:cs="宋体"/>
                <w:color w:val="000000"/>
                <w:kern w:val="0"/>
                <w:sz w:val="24"/>
              </w:rPr>
            </w:pPr>
            <w:r w:rsidRPr="00E32715">
              <w:rPr>
                <w:rFonts w:asciiTheme="minorEastAsia" w:eastAsiaTheme="minorEastAsia" w:hAnsiTheme="minorEastAsia" w:cs="宋体" w:hint="eastAsia"/>
                <w:color w:val="000000"/>
                <w:kern w:val="0"/>
                <w:sz w:val="24"/>
              </w:rPr>
              <w:t>1</w:t>
            </w:r>
          </w:p>
        </w:tc>
        <w:tc>
          <w:tcPr>
            <w:tcW w:w="7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324</w:t>
            </w:r>
            <w:r w:rsidRPr="00E32715" w:rsidR="008D7002">
              <w:rPr>
                <w:rFonts w:asciiTheme="minorEastAsia" w:eastAsiaTheme="minorEastAsia" w:hAnsiTheme="minorEastAsia" w:cs="宋体" w:hint="eastAsia"/>
                <w:color w:val="000000"/>
                <w:kern w:val="0"/>
                <w:sz w:val="24"/>
              </w:rPr>
              <w:t> </w:t>
            </w:r>
          </w:p>
        </w:tc>
        <w:tc>
          <w:tcPr>
            <w:tcW w:w="6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P="00421C1F">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63</w:t>
            </w:r>
            <w:r w:rsidRPr="00E32715" w:rsidR="008D7002">
              <w:rPr>
                <w:rFonts w:asciiTheme="minorEastAsia" w:eastAsiaTheme="minorEastAsia" w:hAnsiTheme="minorEastAsia" w:cs="宋体" w:hint="eastAsia"/>
                <w:color w:val="000000"/>
                <w:kern w:val="0"/>
                <w:sz w:val="24"/>
              </w:rPr>
              <w:t> </w:t>
            </w:r>
          </w:p>
        </w:tc>
        <w:tc>
          <w:tcPr>
            <w:tcW w:w="4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261</w:t>
            </w:r>
            <w:r w:rsidRPr="00E32715" w:rsidR="008D7002">
              <w:rPr>
                <w:rFonts w:asciiTheme="minorEastAsia" w:eastAsiaTheme="minorEastAsia" w:hAnsiTheme="minorEastAsia" w:cs="宋体" w:hint="eastAsia"/>
                <w:color w:val="000000"/>
                <w:kern w:val="0"/>
                <w:sz w:val="24"/>
              </w:rPr>
              <w:t> </w:t>
            </w:r>
          </w:p>
        </w:tc>
        <w:tc>
          <w:tcPr>
            <w:tcW w:w="72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211</w:t>
            </w:r>
            <w:r w:rsidRPr="00E32715" w:rsidR="008D7002">
              <w:rPr>
                <w:rFonts w:asciiTheme="minorEastAsia" w:eastAsiaTheme="minorEastAsia" w:hAnsiTheme="minorEastAsia" w:cs="宋体" w:hint="eastAsia"/>
                <w:color w:val="000000"/>
                <w:kern w:val="0"/>
                <w:sz w:val="24"/>
              </w:rPr>
              <w:t> </w:t>
            </w:r>
          </w:p>
        </w:tc>
        <w:tc>
          <w:tcPr>
            <w:tcW w:w="7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15</w:t>
            </w:r>
            <w:r w:rsidRPr="00E32715" w:rsidR="008D7002">
              <w:rPr>
                <w:rFonts w:asciiTheme="minorEastAsia" w:eastAsiaTheme="minorEastAsia" w:hAnsiTheme="minorEastAsia" w:cs="宋体" w:hint="eastAsia"/>
                <w:color w:val="000000"/>
                <w:kern w:val="0"/>
                <w:sz w:val="24"/>
              </w:rPr>
              <w:t> </w:t>
            </w:r>
          </w:p>
        </w:tc>
        <w:tc>
          <w:tcPr>
            <w:tcW w:w="1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Pr="00E32715" w:rsidR="008D7002">
              <w:rPr>
                <w:rFonts w:asciiTheme="minorEastAsia" w:eastAsiaTheme="minorEastAsia" w:hAnsiTheme="minorEastAsia" w:cs="宋体" w:hint="eastAsia"/>
                <w:color w:val="000000"/>
                <w:kern w:val="0"/>
                <w:sz w:val="24"/>
              </w:rPr>
              <w:t> </w:t>
            </w:r>
          </w:p>
        </w:tc>
        <w:tc>
          <w:tcPr>
            <w:tcW w:w="83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rsidP="00421C1F">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35</w:t>
            </w:r>
            <w:r w:rsidRPr="00E32715" w:rsidR="008D7002">
              <w:rPr>
                <w:rFonts w:asciiTheme="minorEastAsia" w:eastAsiaTheme="minorEastAsia" w:hAnsiTheme="minorEastAsia" w:cs="宋体" w:hint="eastAsia"/>
                <w:color w:val="000000"/>
                <w:kern w:val="0"/>
                <w:sz w:val="24"/>
              </w:rPr>
              <w:t> </w:t>
            </w:r>
          </w:p>
        </w:tc>
        <w:tc>
          <w:tcPr>
            <w:tcW w:w="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Pr="00E32715" w:rsidR="008D7002">
              <w:rPr>
                <w:rFonts w:asciiTheme="minorEastAsia" w:eastAsiaTheme="minorEastAsia" w:hAnsiTheme="minorEastAsia" w:cs="宋体" w:hint="eastAsia"/>
                <w:color w:val="000000"/>
                <w:kern w:val="0"/>
                <w:sz w:val="24"/>
              </w:rPr>
              <w:t> </w:t>
            </w:r>
          </w:p>
        </w:tc>
        <w:tc>
          <w:tcPr>
            <w:tcW w:w="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Pr="00E32715" w:rsidR="008D7002">
              <w:rPr>
                <w:rFonts w:asciiTheme="minorEastAsia" w:eastAsiaTheme="minorEastAsia" w:hAnsiTheme="minorEastAsia" w:cs="宋体" w:hint="eastAsia"/>
                <w:color w:val="000000"/>
                <w:kern w:val="0"/>
                <w:sz w:val="24"/>
              </w:rPr>
              <w:t> </w:t>
            </w:r>
          </w:p>
        </w:tc>
        <w:tc>
          <w:tcPr>
            <w:tcW w:w="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Pr="00E32715" w:rsidR="008D7002">
              <w:rPr>
                <w:rFonts w:asciiTheme="minorEastAsia" w:eastAsiaTheme="minorEastAsia" w:hAnsiTheme="minorEastAsia" w:cs="宋体" w:hint="eastAsia"/>
                <w:color w:val="000000"/>
                <w:kern w:val="0"/>
                <w:sz w:val="24"/>
              </w:rPr>
              <w:t> </w:t>
            </w:r>
          </w:p>
        </w:tc>
        <w:tc>
          <w:tcPr>
            <w:tcW w:w="112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77723" w:rsidRPr="00E32715">
            <w:pPr>
              <w:widowControl/>
              <w:jc w:val="right"/>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0</w:t>
            </w:r>
            <w:r w:rsidRPr="00E32715" w:rsidR="008D7002">
              <w:rPr>
                <w:rFonts w:asciiTheme="minorEastAsia" w:eastAsiaTheme="minorEastAsia" w:hAnsiTheme="minorEastAsia" w:cs="宋体" w:hint="eastAsia"/>
                <w:color w:val="000000"/>
                <w:kern w:val="0"/>
                <w:sz w:val="24"/>
              </w:rPr>
              <w:t> </w:t>
            </w:r>
          </w:p>
        </w:tc>
      </w:tr>
      <w:tr w:rsidTr="00D33EF9">
        <w:tblPrEx>
          <w:tblW w:w="10770" w:type="dxa"/>
          <w:tblLayout w:type="fixed"/>
          <w:tblCellMar>
            <w:left w:w="0" w:type="dxa"/>
            <w:right w:w="0" w:type="dxa"/>
          </w:tblCellMar>
          <w:tblLook w:val="0000"/>
        </w:tblPrEx>
        <w:trPr>
          <w:gridAfter w:val="1"/>
          <w:wAfter w:w="618" w:type="dxa"/>
          <w:trHeight w:val="259"/>
        </w:trPr>
        <w:tc>
          <w:tcPr>
            <w:tcW w:w="8672" w:type="dxa"/>
            <w:gridSpan w:val="14"/>
            <w:tcBorders>
              <w:top w:val="nil"/>
              <w:left w:val="nil"/>
              <w:bottom w:val="nil"/>
              <w:right w:val="nil"/>
            </w:tcBorders>
            <w:tcMar>
              <w:top w:w="15" w:type="dxa"/>
              <w:left w:w="15" w:type="dxa"/>
              <w:bottom w:w="15" w:type="dxa"/>
              <w:right w:w="15" w:type="dxa"/>
            </w:tcMar>
            <w:vAlign w:val="bottom"/>
          </w:tcPr>
          <w:p w:rsidR="00A77723" w:rsidRPr="00E32715">
            <w:pPr>
              <w:widowControl/>
              <w:rPr>
                <w:rFonts w:asciiTheme="minorEastAsia" w:eastAsiaTheme="minorEastAsia" w:hAnsiTheme="minorEastAsia" w:cs="宋体"/>
                <w:color w:val="000000"/>
                <w:kern w:val="0"/>
                <w:sz w:val="24"/>
              </w:rPr>
            </w:pPr>
          </w:p>
        </w:tc>
        <w:tc>
          <w:tcPr>
            <w:tcW w:w="360" w:type="dxa"/>
            <w:tcBorders>
              <w:top w:val="nil"/>
              <w:left w:val="nil"/>
              <w:bottom w:val="nil"/>
              <w:right w:val="nil"/>
            </w:tcBorders>
            <w:tcMar>
              <w:top w:w="15" w:type="dxa"/>
              <w:left w:w="15" w:type="dxa"/>
              <w:bottom w:w="15" w:type="dxa"/>
              <w:right w:w="15" w:type="dxa"/>
            </w:tcMar>
            <w:vAlign w:val="bottom"/>
          </w:tcPr>
          <w:p w:rsidR="00A77723" w:rsidRPr="00E32715">
            <w:pPr>
              <w:widowControl/>
              <w:rPr>
                <w:rFonts w:asciiTheme="minorEastAsia" w:eastAsiaTheme="minorEastAsia" w:hAnsiTheme="minorEastAsia" w:cs="宋体"/>
                <w:color w:val="000000"/>
                <w:kern w:val="0"/>
                <w:sz w:val="24"/>
              </w:rPr>
            </w:pPr>
          </w:p>
        </w:tc>
        <w:tc>
          <w:tcPr>
            <w:tcW w:w="978" w:type="dxa"/>
            <w:gridSpan w:val="2"/>
            <w:tcBorders>
              <w:top w:val="nil"/>
              <w:left w:val="nil"/>
              <w:bottom w:val="nil"/>
              <w:right w:val="nil"/>
            </w:tcBorders>
            <w:tcMar>
              <w:top w:w="15" w:type="dxa"/>
              <w:left w:w="15" w:type="dxa"/>
              <w:bottom w:w="15" w:type="dxa"/>
              <w:right w:w="15" w:type="dxa"/>
            </w:tcMar>
            <w:vAlign w:val="bottom"/>
          </w:tcPr>
          <w:p w:rsidR="00A77723" w:rsidRPr="00E32715">
            <w:pPr>
              <w:widowControl/>
              <w:jc w:val="left"/>
              <w:rPr>
                <w:rFonts w:asciiTheme="minorEastAsia" w:eastAsiaTheme="minorEastAsia" w:hAnsiTheme="minorEastAsia" w:cs="宋体"/>
                <w:color w:val="000000"/>
                <w:kern w:val="0"/>
                <w:sz w:val="24"/>
              </w:rPr>
            </w:pPr>
          </w:p>
        </w:tc>
        <w:tc>
          <w:tcPr>
            <w:tcW w:w="142" w:type="dxa"/>
            <w:tcBorders>
              <w:top w:val="nil"/>
              <w:left w:val="nil"/>
              <w:bottom w:val="nil"/>
              <w:right w:val="nil"/>
            </w:tcBorders>
            <w:vAlign w:val="center"/>
          </w:tcPr>
          <w:p w:rsidR="00A77723" w:rsidRPr="00E32715">
            <w:pPr>
              <w:widowControl/>
              <w:jc w:val="left"/>
              <w:rPr>
                <w:rFonts w:asciiTheme="minorEastAsia" w:eastAsiaTheme="minorEastAsia" w:hAnsiTheme="minorEastAsia" w:cs="宋体"/>
                <w:color w:val="000000"/>
                <w:kern w:val="0"/>
                <w:sz w:val="24"/>
              </w:rPr>
            </w:pPr>
          </w:p>
        </w:tc>
      </w:tr>
      <w:tr w:rsidTr="00D33EF9">
        <w:tblPrEx>
          <w:tblW w:w="10770" w:type="dxa"/>
          <w:tblLayout w:type="fixed"/>
          <w:tblCellMar>
            <w:left w:w="0" w:type="dxa"/>
            <w:right w:w="0" w:type="dxa"/>
          </w:tblCellMar>
          <w:tblLook w:val="0000"/>
        </w:tblPrEx>
        <w:trPr>
          <w:trHeight w:val="495"/>
        </w:trPr>
        <w:tc>
          <w:tcPr>
            <w:tcW w:w="9650" w:type="dxa"/>
            <w:gridSpan w:val="16"/>
            <w:tcBorders>
              <w:top w:val="nil"/>
              <w:left w:val="nil"/>
              <w:bottom w:val="nil"/>
              <w:right w:val="nil"/>
            </w:tcBorders>
            <w:tcMar>
              <w:top w:w="15" w:type="dxa"/>
              <w:left w:w="15" w:type="dxa"/>
              <w:bottom w:w="15" w:type="dxa"/>
              <w:right w:w="15" w:type="dxa"/>
            </w:tcMar>
            <w:vAlign w:val="bottom"/>
          </w:tcPr>
          <w:p w:rsidR="00A77723" w:rsidRPr="00D33EF9" w:rsidP="00D33EF9">
            <w:pPr>
              <w:spacing w:line="600" w:lineRule="exact"/>
              <w:ind w:firstLine="600" w:firstLineChars="2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填报说明：1.资产总额＝流动资产＋固定资产＋对外投资／有价证券＋在建工程＋无形资产＋其他资产</w:t>
            </w:r>
          </w:p>
          <w:p w:rsidR="00A77723" w:rsidRPr="00D33EF9" w:rsidP="00D33EF9">
            <w:pPr>
              <w:spacing w:line="600" w:lineRule="exact"/>
              <w:ind w:firstLine="600" w:firstLineChars="2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2.固定资产＝房屋构筑物＋车辆＋单价200万元以上大型设备＋其他固定资产</w:t>
            </w:r>
          </w:p>
        </w:tc>
        <w:tc>
          <w:tcPr>
            <w:tcW w:w="1120" w:type="dxa"/>
            <w:gridSpan w:val="3"/>
            <w:tcBorders>
              <w:top w:val="nil"/>
              <w:left w:val="nil"/>
              <w:bottom w:val="nil"/>
              <w:right w:val="nil"/>
            </w:tcBorders>
            <w:tcMar>
              <w:top w:w="15" w:type="dxa"/>
              <w:left w:w="15" w:type="dxa"/>
              <w:bottom w:w="15" w:type="dxa"/>
              <w:right w:w="15" w:type="dxa"/>
            </w:tcMar>
            <w:vAlign w:val="bottom"/>
          </w:tcPr>
          <w:p w:rsidR="00A77723" w:rsidRPr="00D33EF9" w:rsidP="00D33EF9">
            <w:pPr>
              <w:spacing w:line="600" w:lineRule="exact"/>
              <w:ind w:firstLine="600" w:firstLineChars="200"/>
              <w:rPr>
                <w:rFonts w:ascii="仿宋_GB2312" w:eastAsia="仿宋_GB2312" w:hAnsi="黑体" w:cs="方正小标宋简体"/>
                <w:sz w:val="30"/>
                <w:szCs w:val="30"/>
              </w:rPr>
            </w:pPr>
            <w:r w:rsidRPr="00D33EF9">
              <w:rPr>
                <w:rFonts w:ascii="仿宋_GB2312" w:eastAsia="仿宋_GB2312" w:hAnsi="黑体" w:cs="方正小标宋简体"/>
                <w:sz w:val="30"/>
                <w:szCs w:val="30"/>
              </w:rPr>
              <w:t> </w:t>
            </w:r>
          </w:p>
        </w:tc>
      </w:tr>
    </w:tbl>
    <w:p w:rsidR="00D33EF9" w:rsidRPr="00D33EF9" w:rsidP="00D33EF9">
      <w:pPr>
        <w:spacing w:line="600" w:lineRule="exact"/>
        <w:ind w:firstLine="600" w:firstLineChars="2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(三)政府采购支出情况</w:t>
      </w:r>
    </w:p>
    <w:p w:rsidR="00D33EF9" w:rsidRPr="00D33EF9" w:rsidP="00D33EF9">
      <w:pPr>
        <w:spacing w:line="600" w:lineRule="exact"/>
        <w:ind w:firstLine="600" w:firstLineChars="200"/>
        <w:rPr>
          <w:rFonts w:ascii="仿宋_GB2312" w:eastAsia="仿宋_GB2312" w:hAnsi="黑体" w:cs="方正小标宋简体"/>
          <w:sz w:val="30"/>
          <w:szCs w:val="30"/>
        </w:rPr>
      </w:pPr>
      <w:r w:rsidRPr="00D33EF9">
        <w:rPr>
          <w:rFonts w:ascii="仿宋_GB2312" w:eastAsia="仿宋_GB2312" w:hAnsi="黑体" w:cs="方正小标宋简体" w:hint="eastAsia"/>
          <w:sz w:val="30"/>
          <w:szCs w:val="30"/>
        </w:rPr>
        <w:t>2017年度，区新闻宣传中心政府采购支出总额0元，其中：政府采购货物支出0元；政府采购工程支出0元；政府采购服务支出0元。授予中小企业合同金0元。</w:t>
      </w:r>
    </w:p>
    <w:p w:rsidR="00A77723" w:rsidRPr="00D33EF9" w:rsidP="00E32715">
      <w:pPr>
        <w:ind w:firstLine="480" w:firstLineChars="200"/>
        <w:rPr>
          <w:rFonts w:asciiTheme="minorEastAsia" w:eastAsiaTheme="minorEastAsia" w:hAnsiTheme="minorEastAsia" w:cs="仿宋_GB2312"/>
          <w:sz w:val="24"/>
        </w:rPr>
      </w:pPr>
    </w:p>
    <w:p w:rsidR="00A77723" w:rsidRPr="0021229B" w:rsidP="0021229B">
      <w:pPr>
        <w:spacing w:line="600" w:lineRule="exact"/>
        <w:ind w:firstLine="480" w:firstLineChars="200"/>
        <w:rPr>
          <w:rFonts w:asciiTheme="minorEastAsia" w:eastAsiaTheme="minorEastAsia" w:hAnsiTheme="minorEastAsia"/>
          <w:bCs/>
          <w:sz w:val="24"/>
        </w:rPr>
      </w:pPr>
      <w:r w:rsidRPr="0021229B">
        <w:rPr>
          <w:rFonts w:asciiTheme="minorEastAsia" w:eastAsiaTheme="minorEastAsia" w:hAnsiTheme="minorEastAsia" w:hint="eastAsia"/>
          <w:bCs/>
          <w:sz w:val="24"/>
        </w:rPr>
        <w:t>(四)绩效自评信息情况</w:t>
      </w:r>
    </w:p>
    <w:p w:rsidR="0021229B" w:rsidRPr="0021229B" w:rsidP="0021229B">
      <w:pPr>
        <w:spacing w:line="600" w:lineRule="exact"/>
        <w:ind w:firstLine="480" w:firstLineChars="200"/>
        <w:rPr>
          <w:rFonts w:asciiTheme="minorEastAsia" w:eastAsiaTheme="minorEastAsia" w:hAnsiTheme="minorEastAsia"/>
          <w:bCs/>
          <w:sz w:val="24"/>
        </w:rPr>
      </w:pPr>
      <w:r w:rsidRPr="0021229B">
        <w:rPr>
          <w:rFonts w:asciiTheme="minorEastAsia" w:eastAsiaTheme="minorEastAsia" w:hAnsiTheme="minorEastAsia" w:hint="eastAsia"/>
          <w:bCs/>
          <w:sz w:val="24"/>
        </w:rPr>
        <w:t>数量指标达标：争取中央媒体发稿80条，省级媒体发稿2200条以上，市级媒体每周推出专题报道，主题宣传策划不少于15次，网络宣传策划不少于15次，新闻发布会不少于6次。指标值：中央媒体80条、省级媒体2200条以上，其他任务按要求完成。质量指标达标：在全市对外宣传考核工作中取得中央媒体、省级媒体发稿前三。时效性指标达标：按照区委、区政府各项工作开展进度做好宣传工作。成本指标达标：做好全区对外宣传工作，加强同各级各类媒体的合作，完成市级考核任务。经济效益指标达标：推动全区经济社会发展。社会效益指标达标：为全区建设区域性国际中心</w:t>
      </w:r>
      <w:r w:rsidRPr="0021229B">
        <w:rPr>
          <w:rFonts w:asciiTheme="minorEastAsia" w:eastAsiaTheme="minorEastAsia" w:hAnsiTheme="minorEastAsia" w:hint="eastAsia"/>
          <w:bCs/>
          <w:sz w:val="24"/>
        </w:rPr>
        <w:t>城市核心城区营造良好舆论氛围。可持续影响指标达标：为全区经济社会发展营造良好舆论氛围。服务对象满意度指标达标：干部、职工、群众满意度大幅提升。</w:t>
      </w:r>
    </w:p>
    <w:p w:rsidR="0021229B" w:rsidRPr="0021229B" w:rsidP="0021229B">
      <w:pPr>
        <w:spacing w:line="600" w:lineRule="exact"/>
        <w:ind w:firstLine="480" w:firstLineChars="200"/>
        <w:rPr>
          <w:rFonts w:asciiTheme="minorEastAsia" w:eastAsiaTheme="minorEastAsia" w:hAnsiTheme="minorEastAsia"/>
          <w:bCs/>
          <w:sz w:val="24"/>
        </w:rPr>
      </w:pPr>
      <w:r w:rsidRPr="0021229B">
        <w:rPr>
          <w:rFonts w:asciiTheme="minorEastAsia" w:eastAsiaTheme="minorEastAsia" w:hAnsiTheme="minorEastAsia" w:hint="eastAsia"/>
          <w:bCs/>
          <w:sz w:val="24"/>
        </w:rPr>
        <w:t>中心在2017年资金安排和使用过程中存在支出滞后的情况，主要是因为与相关媒体签订协议在前，媒体完成宣传报道在后，所以支出时间有延迟，多挤压在年末考核后支付。下一步，中心将严格按照财政规定时序按时按量完成资金使用，避免提前或滞后支出情况。</w:t>
      </w:r>
    </w:p>
    <w:p w:rsid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（四）其他重要事项情况说明</w:t>
      </w:r>
    </w:p>
    <w:p w:rsidR="00D33EF9" w:rsidRPr="00D33EF9" w:rsidP="00D33EF9">
      <w:pPr>
        <w:spacing w:line="600" w:lineRule="exact"/>
        <w:ind w:firstLine="480" w:firstLineChars="200"/>
        <w:rPr>
          <w:rFonts w:asciiTheme="minorEastAsia" w:eastAsiaTheme="minorEastAsia" w:hAnsiTheme="minorEastAsia"/>
          <w:bCs/>
          <w:sz w:val="24"/>
        </w:rPr>
      </w:pPr>
      <w:r>
        <w:rPr>
          <w:rFonts w:asciiTheme="minorEastAsia" w:eastAsiaTheme="minorEastAsia" w:hAnsiTheme="minorEastAsia" w:hint="eastAsia"/>
          <w:bCs/>
          <w:sz w:val="24"/>
        </w:rPr>
        <w:t>区新闻宣传中心2017年部门决算无其他重要事项情况说明。</w:t>
      </w:r>
    </w:p>
    <w:p w:rsidR="00D33EF9" w:rsidRP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（五）相关口径说明</w:t>
      </w:r>
    </w:p>
    <w:p w:rsidR="00D33EF9" w:rsidRP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1．基本支出中人员经费包括工资福利支出和对个人和家庭的补助，日常公用支出包括商品和服务支出、其他资本性支出等人员经费以外的支出。</w:t>
      </w:r>
    </w:p>
    <w:p w:rsidR="00D33EF9" w:rsidRP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2．机关运行经费指行政单位和参照公务员法管理的事业单位使用一般公共预算财政拨款安排的除人员经费以外的基本支出。</w:t>
      </w:r>
    </w:p>
    <w:p w:rsidR="00D33EF9" w:rsidRP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3．按照党中央、国务院有关文件及部门预算管理有关规定，“三公”经费包括因公出国（境）费、公务用车购置及运行维护费、公务接待费。其中：因公出国（境）费，指单位工作人员公务出国（境）的国际旅费、国外城市间交通费、住宿费、伙食费、培训费、公杂费等支出；公务用车购置费，指单位公务用车车辆购置支出（含车辆购置税）；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rsidR="00D33EF9" w:rsidRPr="00D33EF9" w:rsidP="00D33EF9">
      <w:pPr>
        <w:spacing w:line="600" w:lineRule="exact"/>
        <w:ind w:firstLine="480" w:firstLineChars="200"/>
        <w:rPr>
          <w:rFonts w:asciiTheme="minorEastAsia" w:eastAsiaTheme="minorEastAsia" w:hAnsiTheme="minorEastAsia"/>
          <w:bCs/>
          <w:sz w:val="24"/>
        </w:rPr>
      </w:pPr>
      <w:r w:rsidRPr="00D33EF9">
        <w:rPr>
          <w:rFonts w:asciiTheme="minorEastAsia" w:eastAsiaTheme="minorEastAsia" w:hAnsiTheme="minorEastAsia" w:hint="eastAsia"/>
          <w:bCs/>
          <w:sz w:val="24"/>
        </w:rPr>
        <w:t>4.“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rsidR="00421C1F" w:rsidRPr="00D33EF9" w:rsidP="0021229B">
      <w:pPr>
        <w:spacing w:line="600" w:lineRule="exact"/>
        <w:ind w:firstLine="480" w:firstLineChars="200"/>
        <w:rPr>
          <w:rFonts w:asciiTheme="minorEastAsia" w:eastAsiaTheme="minorEastAsia" w:hAnsiTheme="minorEastAsia"/>
          <w:bCs/>
          <w:sz w:val="24"/>
        </w:rPr>
      </w:pPr>
    </w:p>
    <w:p w:rsidR="008D7002" w:rsidRPr="00E32715" w:rsidP="00E32715">
      <w:pPr>
        <w:ind w:firstLine="480" w:firstLineChars="200"/>
        <w:jc w:val="left"/>
        <w:rPr>
          <w:rFonts w:asciiTheme="minorEastAsia" w:eastAsiaTheme="minorEastAsia" w:hAnsiTheme="minorEastAsia" w:cs="方正小标宋简体"/>
          <w:sz w:val="24"/>
        </w:rPr>
      </w:pPr>
    </w:p>
    <w:p>
      <w:pPr>
        <w:rPr>
          <w:rFonts w:ascii="Arial" w:eastAsia="Arial" w:hAnsi="Arial" w:cs="Arial"/>
          <w:b/>
          <w:sz w:val="36"/>
        </w:rPr>
      </w:pPr>
      <w:r>
        <w:rPr>
          <w:rFonts w:ascii="Arial" w:eastAsia="Arial" w:hAnsi="Arial" w:cs="Arial"/>
          <w:b/>
          <w:sz w:val="36"/>
        </w:rPr>
        <w:t>监督索引号53010300122301111</w:t>
      </w:r>
    </w:p>
    <w:sectPr w:rsidSect="00A77723">
      <w:headerReference w:type="default" r:id="rId5"/>
      <w:footerReference w:type="even" r:id="rId6"/>
      <w:footerReference w:type="default" r:id="rId7"/>
      <w:pgSz w:w="11906" w:h="16838"/>
      <w:pgMar w:top="2098" w:right="1418" w:bottom="1588" w:left="1644"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23">
    <w:pPr>
      <w:pStyle w:val="Footer"/>
      <w:framePr w:wrap="around" w:vAnchor="text" w:hAnchor="margin" w:xAlign="center" w:y="1"/>
      <w:rPr>
        <w:rStyle w:val="PageNumber"/>
      </w:rPr>
    </w:pPr>
    <w:r>
      <w:fldChar w:fldCharType="begin"/>
    </w:r>
    <w:r w:rsidR="008D7002">
      <w:rPr>
        <w:rStyle w:val="PageNumber"/>
      </w:rPr>
      <w:instrText xml:space="preserve">PAGE  </w:instrText>
    </w:r>
    <w:r>
      <w:fldChar w:fldCharType="separate"/>
    </w:r>
    <w:r>
      <w:fldChar w:fldCharType="end"/>
    </w:r>
  </w:p>
  <w:p w:rsidR="00A7772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23">
    <w:pPr>
      <w:pStyle w:val="Footer"/>
      <w:framePr w:wrap="around" w:vAnchor="text" w:hAnchor="margin" w:xAlign="center" w:y="1"/>
      <w:rPr>
        <w:rStyle w:val="PageNumber"/>
      </w:rPr>
    </w:pPr>
    <w:r>
      <w:fldChar w:fldCharType="begin"/>
    </w:r>
    <w:r w:rsidR="008D7002">
      <w:rPr>
        <w:rStyle w:val="PageNumber"/>
      </w:rPr>
      <w:instrText xml:space="preserve">PAGE  </w:instrText>
    </w:r>
    <w:r>
      <w:fldChar w:fldCharType="separate"/>
    </w:r>
    <w:r w:rsidR="001B62C2">
      <w:rPr>
        <w:rStyle w:val="PageNumber"/>
        <w:noProof/>
      </w:rPr>
      <w:t>4</w:t>
    </w:r>
    <w:r>
      <w:fldChar w:fldCharType="end"/>
    </w:r>
  </w:p>
  <w:p w:rsidR="00A7772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23">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3BEC"/>
    <w:multiLevelType w:val="hybridMultilevel"/>
    <w:tmpl w:val="D046B054"/>
    <w:lvl w:ilvl="0">
      <w:start w:val="1"/>
      <w:numFmt w:val="japaneseCounting"/>
      <w:lvlText w:val="（%1）"/>
      <w:lvlJc w:val="left"/>
      <w:pPr>
        <w:ind w:left="1200" w:hanging="720"/>
      </w:pPr>
      <w:rPr>
        <w:rFonts w:hint="default"/>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1">
    <w:nsid w:val="1F0C4B32"/>
    <w:multiLevelType w:val="hybridMultilevel"/>
    <w:tmpl w:val="EC00673A"/>
    <w:lvl w:ilvl="0">
      <w:start w:val="1"/>
      <w:numFmt w:val="japaneseCounting"/>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2">
    <w:nsid w:val="29513D68"/>
    <w:multiLevelType w:val="hybridMultilevel"/>
    <w:tmpl w:val="3DA0B668"/>
    <w:lvl w:ilvl="0">
      <w:start w:val="1"/>
      <w:numFmt w:val="japaneseCounting"/>
      <w:lvlText w:val="%1、"/>
      <w:lvlJc w:val="left"/>
      <w:pPr>
        <w:ind w:left="720" w:hanging="720"/>
      </w:pPr>
      <w:rPr>
        <w:rFonts w:hint="default"/>
        <w:lang w:val="en-US"/>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
    <w:nsid w:val="7151037B"/>
    <w:multiLevelType w:val="hybridMultilevel"/>
    <w:tmpl w:val="9956E00E"/>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1258E"/>
    <w:rsid w:val="00014033"/>
    <w:rsid w:val="00015917"/>
    <w:rsid w:val="0003511E"/>
    <w:rsid w:val="00071836"/>
    <w:rsid w:val="00090761"/>
    <w:rsid w:val="000913E4"/>
    <w:rsid w:val="00096FD6"/>
    <w:rsid w:val="000A6010"/>
    <w:rsid w:val="000C3242"/>
    <w:rsid w:val="000E1FB4"/>
    <w:rsid w:val="000F1483"/>
    <w:rsid w:val="0010004D"/>
    <w:rsid w:val="001263DA"/>
    <w:rsid w:val="001374A6"/>
    <w:rsid w:val="001536A4"/>
    <w:rsid w:val="00154575"/>
    <w:rsid w:val="00172A27"/>
    <w:rsid w:val="001749E4"/>
    <w:rsid w:val="00182815"/>
    <w:rsid w:val="001A0E45"/>
    <w:rsid w:val="001A3A9F"/>
    <w:rsid w:val="001B62C2"/>
    <w:rsid w:val="001C2096"/>
    <w:rsid w:val="001C6512"/>
    <w:rsid w:val="001E7F7C"/>
    <w:rsid w:val="002010C0"/>
    <w:rsid w:val="0021229B"/>
    <w:rsid w:val="0021641B"/>
    <w:rsid w:val="00224AF2"/>
    <w:rsid w:val="002360A6"/>
    <w:rsid w:val="002718E1"/>
    <w:rsid w:val="0029065D"/>
    <w:rsid w:val="002A35DC"/>
    <w:rsid w:val="002B295A"/>
    <w:rsid w:val="002D0360"/>
    <w:rsid w:val="002E1618"/>
    <w:rsid w:val="0030606F"/>
    <w:rsid w:val="00310284"/>
    <w:rsid w:val="00362D66"/>
    <w:rsid w:val="003663D2"/>
    <w:rsid w:val="00371195"/>
    <w:rsid w:val="00392FEE"/>
    <w:rsid w:val="00393375"/>
    <w:rsid w:val="003938CD"/>
    <w:rsid w:val="003A263E"/>
    <w:rsid w:val="003C233F"/>
    <w:rsid w:val="003E167F"/>
    <w:rsid w:val="003F462A"/>
    <w:rsid w:val="0040467A"/>
    <w:rsid w:val="00421C1F"/>
    <w:rsid w:val="00430657"/>
    <w:rsid w:val="004375EE"/>
    <w:rsid w:val="0045007E"/>
    <w:rsid w:val="004636A8"/>
    <w:rsid w:val="0048090A"/>
    <w:rsid w:val="00492A3A"/>
    <w:rsid w:val="0049341E"/>
    <w:rsid w:val="004D1694"/>
    <w:rsid w:val="004D51BE"/>
    <w:rsid w:val="004D5A12"/>
    <w:rsid w:val="004E71D9"/>
    <w:rsid w:val="0050289F"/>
    <w:rsid w:val="005144D0"/>
    <w:rsid w:val="0052295E"/>
    <w:rsid w:val="00550133"/>
    <w:rsid w:val="0055230D"/>
    <w:rsid w:val="005545C8"/>
    <w:rsid w:val="00557069"/>
    <w:rsid w:val="00575AC5"/>
    <w:rsid w:val="0057690C"/>
    <w:rsid w:val="00577096"/>
    <w:rsid w:val="005A1A61"/>
    <w:rsid w:val="005A4941"/>
    <w:rsid w:val="005B558B"/>
    <w:rsid w:val="005C5BF9"/>
    <w:rsid w:val="005D3F26"/>
    <w:rsid w:val="005E4A61"/>
    <w:rsid w:val="0060151B"/>
    <w:rsid w:val="006021EC"/>
    <w:rsid w:val="00607AF7"/>
    <w:rsid w:val="006219B9"/>
    <w:rsid w:val="0062634D"/>
    <w:rsid w:val="00640B67"/>
    <w:rsid w:val="00651567"/>
    <w:rsid w:val="006546F4"/>
    <w:rsid w:val="0066092E"/>
    <w:rsid w:val="006643CA"/>
    <w:rsid w:val="00680F7A"/>
    <w:rsid w:val="00697350"/>
    <w:rsid w:val="006A112F"/>
    <w:rsid w:val="006C4F21"/>
    <w:rsid w:val="006D02F7"/>
    <w:rsid w:val="006E45B7"/>
    <w:rsid w:val="006E7A1A"/>
    <w:rsid w:val="007249B2"/>
    <w:rsid w:val="00734A8A"/>
    <w:rsid w:val="007627A1"/>
    <w:rsid w:val="0076459B"/>
    <w:rsid w:val="00776986"/>
    <w:rsid w:val="00783A0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C6076"/>
    <w:rsid w:val="008D7002"/>
    <w:rsid w:val="008D757B"/>
    <w:rsid w:val="008E399D"/>
    <w:rsid w:val="008F39D5"/>
    <w:rsid w:val="00905397"/>
    <w:rsid w:val="00906D1D"/>
    <w:rsid w:val="0090773A"/>
    <w:rsid w:val="00942402"/>
    <w:rsid w:val="00944AE2"/>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723"/>
    <w:rsid w:val="00A77BF1"/>
    <w:rsid w:val="00A86C65"/>
    <w:rsid w:val="00A94999"/>
    <w:rsid w:val="00A96DEB"/>
    <w:rsid w:val="00AC573F"/>
    <w:rsid w:val="00B07829"/>
    <w:rsid w:val="00B115F4"/>
    <w:rsid w:val="00B4333E"/>
    <w:rsid w:val="00B5366F"/>
    <w:rsid w:val="00B80AAC"/>
    <w:rsid w:val="00B81D10"/>
    <w:rsid w:val="00B9604E"/>
    <w:rsid w:val="00BA3948"/>
    <w:rsid w:val="00BB3509"/>
    <w:rsid w:val="00BC73ED"/>
    <w:rsid w:val="00BE3E47"/>
    <w:rsid w:val="00BE7B81"/>
    <w:rsid w:val="00BF0A0B"/>
    <w:rsid w:val="00BF2842"/>
    <w:rsid w:val="00BF7CE7"/>
    <w:rsid w:val="00C0360F"/>
    <w:rsid w:val="00C13553"/>
    <w:rsid w:val="00C236BC"/>
    <w:rsid w:val="00C3042C"/>
    <w:rsid w:val="00C35F72"/>
    <w:rsid w:val="00C37B42"/>
    <w:rsid w:val="00C430D2"/>
    <w:rsid w:val="00C4706B"/>
    <w:rsid w:val="00C53096"/>
    <w:rsid w:val="00C61925"/>
    <w:rsid w:val="00C94711"/>
    <w:rsid w:val="00CC1CE8"/>
    <w:rsid w:val="00CD4CE9"/>
    <w:rsid w:val="00D11ECE"/>
    <w:rsid w:val="00D1253E"/>
    <w:rsid w:val="00D2484E"/>
    <w:rsid w:val="00D33EF9"/>
    <w:rsid w:val="00DA0649"/>
    <w:rsid w:val="00DB4697"/>
    <w:rsid w:val="00DB67A4"/>
    <w:rsid w:val="00DC77E2"/>
    <w:rsid w:val="00DD261E"/>
    <w:rsid w:val="00DF1053"/>
    <w:rsid w:val="00DF1BEC"/>
    <w:rsid w:val="00E32715"/>
    <w:rsid w:val="00E36604"/>
    <w:rsid w:val="00E662AA"/>
    <w:rsid w:val="00E769E8"/>
    <w:rsid w:val="00E80B36"/>
    <w:rsid w:val="00E9395C"/>
    <w:rsid w:val="00EA2124"/>
    <w:rsid w:val="00EC24BF"/>
    <w:rsid w:val="00ED7654"/>
    <w:rsid w:val="00EE750D"/>
    <w:rsid w:val="00F37401"/>
    <w:rsid w:val="00F44882"/>
    <w:rsid w:val="00F6676E"/>
    <w:rsid w:val="00F73DAF"/>
    <w:rsid w:val="00F74193"/>
    <w:rsid w:val="00F9286C"/>
    <w:rsid w:val="00F94DB0"/>
    <w:rsid w:val="00FA48DF"/>
    <w:rsid w:val="00FF6A71"/>
    <w:rsid w:val="091601D5"/>
  </w:rsids>
  <m:mathPr>
    <m:mathFont m:val="Cambria Math"/>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7723"/>
    <w:pPr>
      <w:widowControl w:val="0"/>
      <w:jc w:val="both"/>
    </w:pPr>
    <w:rPr>
      <w:kern w:val="2"/>
      <w:sz w:val="2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01">
    <w:name w:val="font01"/>
    <w:basedOn w:val="DefaultParagraphFont"/>
    <w:rsid w:val="00A77723"/>
    <w:rPr>
      <w:rFonts w:ascii="Arial" w:hAnsi="Arial" w:cs="Arial" w:hint="default"/>
      <w:color w:val="000000"/>
      <w:sz w:val="20"/>
      <w:szCs w:val="20"/>
      <w:u w:val="none"/>
    </w:rPr>
  </w:style>
  <w:style w:type="character" w:customStyle="1" w:styleId="font11">
    <w:name w:val="font11"/>
    <w:basedOn w:val="DefaultParagraphFont"/>
    <w:rsid w:val="00A77723"/>
    <w:rPr>
      <w:rFonts w:ascii="宋体" w:eastAsia="宋体" w:hAnsi="宋体" w:cs="宋体" w:hint="eastAsia"/>
      <w:color w:val="000000"/>
      <w:sz w:val="20"/>
      <w:szCs w:val="20"/>
      <w:u w:val="none"/>
    </w:rPr>
  </w:style>
  <w:style w:type="character" w:styleId="PageNumber">
    <w:name w:val="page number"/>
    <w:basedOn w:val="DefaultParagraphFont"/>
    <w:rsid w:val="00A77723"/>
  </w:style>
  <w:style w:type="paragraph" w:styleId="BodyText">
    <w:name w:val="Body Text"/>
    <w:basedOn w:val="Normal"/>
    <w:rsid w:val="00A77723"/>
    <w:pPr>
      <w:spacing w:beforeLines="30"/>
    </w:pPr>
    <w:rPr>
      <w:rFonts w:ascii="仿宋_GB2312" w:eastAsia="仿宋_GB2312"/>
      <w:sz w:val="30"/>
    </w:rPr>
  </w:style>
  <w:style w:type="paragraph" w:styleId="BalloonText">
    <w:name w:val="Balloon Text"/>
    <w:basedOn w:val="Normal"/>
    <w:semiHidden/>
    <w:rsid w:val="00A77723"/>
    <w:rPr>
      <w:sz w:val="18"/>
      <w:szCs w:val="18"/>
    </w:rPr>
  </w:style>
  <w:style w:type="paragraph" w:styleId="Header">
    <w:name w:val="header"/>
    <w:basedOn w:val="Normal"/>
    <w:rsid w:val="00A77723"/>
    <w:pPr>
      <w:pBdr>
        <w:bottom w:val="single" w:sz="6" w:space="1" w:color="auto"/>
      </w:pBdr>
      <w:tabs>
        <w:tab w:val="center" w:pos="4153"/>
        <w:tab w:val="right" w:pos="8306"/>
      </w:tabs>
      <w:snapToGrid w:val="0"/>
      <w:jc w:val="center"/>
    </w:pPr>
    <w:rPr>
      <w:sz w:val="18"/>
      <w:szCs w:val="18"/>
    </w:rPr>
  </w:style>
  <w:style w:type="paragraph" w:styleId="Footer">
    <w:name w:val="footer"/>
    <w:basedOn w:val="Normal"/>
    <w:rsid w:val="00A77723"/>
    <w:pPr>
      <w:tabs>
        <w:tab w:val="center" w:pos="4153"/>
        <w:tab w:val="right" w:pos="8306"/>
      </w:tabs>
      <w:snapToGrid w:val="0"/>
      <w:jc w:val="left"/>
    </w:pPr>
    <w:rPr>
      <w:sz w:val="18"/>
      <w:szCs w:val="18"/>
    </w:rPr>
  </w:style>
  <w:style w:type="paragraph" w:styleId="ListParagraph">
    <w:name w:val="List Paragraph"/>
    <w:basedOn w:val="Normal"/>
    <w:uiPriority w:val="99"/>
    <w:qFormat/>
    <w:rsid w:val="00D11ECE"/>
    <w:pPr>
      <w:ind w:firstLine="420" w:firstLineChars="200"/>
    </w:p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7C3D2-AEDA-4BCA-8AEF-5F531648B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632</Words>
  <Characters>3604</Characters>
  <Application>Microsoft Office Word</Application>
  <DocSecurity>0</DocSecurity>
  <Lines>30</Lines>
  <Paragraphs>8</Paragraphs>
  <ScaleCrop>false</ScaleCrop>
  <Company>微软中国</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四川省财政厅2011年部门预算编制说明</dc:title>
  <dc:creator>赵树子</dc:creator>
  <cp:lastModifiedBy>Windows 用户</cp:lastModifiedBy>
  <cp:revision>11</cp:revision>
  <cp:lastPrinted>2013-05-12T07:06:00Z</cp:lastPrinted>
  <dcterms:created xsi:type="dcterms:W3CDTF">2018-10-10T06:10:00Z</dcterms:created>
  <dcterms:modified xsi:type="dcterms:W3CDTF">2018-10-11T08:56:00Z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