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hint="eastAsia" w:ascii="方正小标宋简体" w:eastAsia="方正小标宋简体"/>
          <w:kern w:val="0"/>
          <w:sz w:val="36"/>
          <w:szCs w:val="36"/>
          <w:lang w:eastAsia="zh-CN"/>
        </w:rPr>
      </w:pPr>
    </w:p>
    <w:p>
      <w:pPr>
        <w:widowControl/>
        <w:jc w:val="center"/>
        <w:rPr>
          <w:rFonts w:hint="eastAsia" w:ascii="方正小标宋简体" w:eastAsia="方正小标宋简体"/>
          <w:kern w:val="0"/>
          <w:sz w:val="36"/>
          <w:szCs w:val="36"/>
        </w:rPr>
      </w:pPr>
      <w:r>
        <w:rPr>
          <w:rFonts w:hint="eastAsia" w:ascii="方正小标宋简体" w:eastAsia="方正小标宋简体"/>
          <w:kern w:val="0"/>
          <w:sz w:val="36"/>
          <w:szCs w:val="36"/>
          <w:lang w:eastAsia="zh-CN"/>
        </w:rPr>
        <w:t>盘龙区信访局</w:t>
      </w:r>
      <w:r>
        <w:rPr>
          <w:rFonts w:hint="eastAsia" w:ascii="方正小标宋简体" w:eastAsia="方正小标宋简体"/>
          <w:kern w:val="0"/>
          <w:sz w:val="36"/>
          <w:szCs w:val="36"/>
          <w:lang w:val="en-US" w:eastAsia="zh-CN"/>
        </w:rPr>
        <w:t>2019</w:t>
      </w:r>
      <w:r>
        <w:rPr>
          <w:rFonts w:hint="eastAsia" w:ascii="方正小标宋简体" w:eastAsia="方正小标宋简体"/>
          <w:kern w:val="0"/>
          <w:sz w:val="36"/>
          <w:szCs w:val="36"/>
        </w:rPr>
        <w:t>年预算编制说明</w:t>
      </w:r>
    </w:p>
    <w:p>
      <w:pPr>
        <w:jc w:val="both"/>
        <w:rPr>
          <w:rFonts w:hint="eastAsia" w:ascii="方正小标宋简体" w:hAnsi="方正小标宋简体" w:eastAsia="方正小标宋简体" w:cs="方正小标宋简体"/>
          <w:sz w:val="36"/>
          <w:szCs w:val="36"/>
          <w:lang w:eastAsia="zh-CN"/>
        </w:rPr>
      </w:pPr>
    </w:p>
    <w:p>
      <w:pPr>
        <w:jc w:val="both"/>
        <w:rPr>
          <w:rFonts w:hint="eastAsia" w:ascii="方正小标宋简体" w:eastAsia="方正小标宋简体"/>
          <w:kern w:val="0"/>
          <w:sz w:val="36"/>
          <w:szCs w:val="36"/>
        </w:rPr>
      </w:pPr>
      <w:r>
        <w:rPr>
          <w:rFonts w:hint="eastAsia" w:ascii="方正小标宋简体" w:hAnsi="方正小标宋简体" w:eastAsia="方正小标宋简体" w:cs="方正小标宋简体"/>
          <w:sz w:val="36"/>
          <w:szCs w:val="36"/>
          <w:lang w:eastAsia="zh-CN"/>
        </w:rPr>
        <w:t>盘龙区信访局</w:t>
      </w:r>
      <w:r>
        <w:rPr>
          <w:rFonts w:hint="eastAsia" w:ascii="方正小标宋简体" w:hAnsi="方正小标宋简体" w:eastAsia="方正小标宋简体" w:cs="方正小标宋简体"/>
          <w:sz w:val="36"/>
          <w:szCs w:val="36"/>
          <w:lang w:val="en-US" w:eastAsia="zh-CN"/>
        </w:rPr>
        <w:t>2019</w:t>
      </w:r>
      <w:r>
        <w:rPr>
          <w:rFonts w:hint="eastAsia" w:ascii="方正小标宋简体" w:hAnsi="方正小标宋简体" w:eastAsia="方正小标宋简体" w:cs="方正小标宋简体"/>
          <w:sz w:val="36"/>
          <w:szCs w:val="36"/>
        </w:rPr>
        <w:t>年预算</w:t>
      </w:r>
      <w:r>
        <w:rPr>
          <w:rFonts w:hint="eastAsia" w:ascii="方正小标宋简体" w:hAnsi="方正小标宋简体" w:eastAsia="方正小标宋简体" w:cs="方正小标宋简体"/>
          <w:sz w:val="36"/>
          <w:szCs w:val="36"/>
          <w:lang w:eastAsia="zh-CN"/>
        </w:rPr>
        <w:t>公开</w:t>
      </w:r>
      <w:r>
        <w:rPr>
          <w:rFonts w:hint="eastAsia" w:ascii="方正小标宋简体" w:hAnsi="Calibri" w:eastAsia="方正小标宋简体"/>
          <w:sz w:val="36"/>
          <w:szCs w:val="36"/>
        </w:rPr>
        <w:t>目录</w:t>
      </w:r>
    </w:p>
    <w:p>
      <w:pPr>
        <w:jc w:val="left"/>
        <w:rPr>
          <w:rFonts w:hint="eastAsia" w:ascii="黑体" w:hAnsi="黑体" w:eastAsia="黑体"/>
          <w:sz w:val="30"/>
          <w:szCs w:val="30"/>
        </w:rPr>
      </w:pPr>
      <w:r>
        <w:rPr>
          <w:rFonts w:hint="eastAsia" w:ascii="黑体" w:hAnsi="黑体" w:eastAsia="黑体"/>
          <w:sz w:val="30"/>
          <w:szCs w:val="30"/>
        </w:rPr>
        <w:t xml:space="preserve">第一部分 </w:t>
      </w:r>
      <w:r>
        <w:rPr>
          <w:rFonts w:hint="eastAsia" w:ascii="黑体" w:hAnsi="黑体" w:eastAsia="黑体"/>
          <w:sz w:val="30"/>
          <w:szCs w:val="30"/>
          <w:lang w:eastAsia="zh-CN"/>
        </w:rPr>
        <w:t>盘龙区信访局</w:t>
      </w:r>
      <w:r>
        <w:rPr>
          <w:rFonts w:hint="eastAsia" w:ascii="黑体" w:hAnsi="黑体" w:eastAsia="黑体"/>
          <w:sz w:val="30"/>
          <w:szCs w:val="30"/>
          <w:lang w:val="en-US" w:eastAsia="zh-CN"/>
        </w:rPr>
        <w:t>2019年</w:t>
      </w:r>
      <w:r>
        <w:rPr>
          <w:rFonts w:hint="eastAsia" w:ascii="黑体" w:hAnsi="黑体" w:eastAsia="黑体"/>
          <w:sz w:val="30"/>
          <w:szCs w:val="30"/>
        </w:rPr>
        <w:t>预算编制说明</w:t>
      </w:r>
    </w:p>
    <w:p>
      <w:pPr>
        <w:jc w:val="left"/>
        <w:rPr>
          <w:rFonts w:hint="eastAsia" w:ascii="黑体" w:hAnsi="黑体" w:eastAsia="黑体"/>
          <w:sz w:val="30"/>
          <w:szCs w:val="30"/>
        </w:rPr>
      </w:pPr>
      <w:r>
        <w:rPr>
          <w:rFonts w:hint="eastAsia" w:ascii="黑体" w:hAnsi="黑体" w:eastAsia="黑体"/>
          <w:sz w:val="30"/>
          <w:szCs w:val="30"/>
        </w:rPr>
        <w:t xml:space="preserve">第二部分 </w:t>
      </w:r>
      <w:r>
        <w:rPr>
          <w:rFonts w:hint="eastAsia" w:ascii="黑体" w:hAnsi="黑体" w:eastAsia="黑体"/>
          <w:sz w:val="30"/>
          <w:szCs w:val="30"/>
          <w:lang w:eastAsia="zh-CN"/>
        </w:rPr>
        <w:t>盘龙区信访局</w:t>
      </w:r>
      <w:r>
        <w:rPr>
          <w:rFonts w:hint="eastAsia" w:ascii="黑体" w:hAnsi="黑体" w:eastAsia="黑体"/>
          <w:sz w:val="30"/>
          <w:szCs w:val="30"/>
        </w:rPr>
        <w:t>预算表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一、部门财务收支总体情况表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二、部门收入总体情况表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三、部门支出总体情况表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四、部门财政拨款收支总体情况表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五、部门一般公共预算本级财力安排支出情况表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六、部门基本支出情况表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七、部门政府性基金预算支出情况表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八、财政拨款支出明细表（按经济科目分类）</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九、部门一般公共预算“三公”经费支出情况表</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十、省本级项目支出绩效目标表（本次下达）</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十一、省本级项目支出绩效目标表（另文下达）</w:t>
      </w:r>
    </w:p>
    <w:p>
      <w:pPr>
        <w:jc w:val="left"/>
        <w:rPr>
          <w:rFonts w:hint="eastAsia" w:ascii="Times New Roman" w:hAnsi="Times New Roman" w:eastAsia="仿宋_GB2312"/>
          <w:sz w:val="30"/>
          <w:szCs w:val="30"/>
        </w:rPr>
      </w:pPr>
      <w:r>
        <w:rPr>
          <w:rFonts w:hint="eastAsia" w:ascii="Times New Roman" w:hAnsi="Times New Roman" w:eastAsia="仿宋_GB2312"/>
          <w:sz w:val="30"/>
          <w:szCs w:val="30"/>
        </w:rPr>
        <w:t>十二、省对下转移支付绩效目标表</w:t>
      </w:r>
    </w:p>
    <w:p>
      <w:pPr>
        <w:jc w:val="left"/>
        <w:rPr>
          <w:rFonts w:ascii="Times New Roman" w:hAnsi="Times New Roman" w:eastAsia="仿宋_GB2312"/>
          <w:sz w:val="30"/>
          <w:szCs w:val="30"/>
        </w:rPr>
      </w:pPr>
      <w:r>
        <w:rPr>
          <w:rFonts w:hint="eastAsia" w:ascii="Times New Roman" w:hAnsi="Times New Roman" w:eastAsia="仿宋_GB2312"/>
          <w:sz w:val="30"/>
          <w:szCs w:val="30"/>
        </w:rPr>
        <w:t>十三、部门政府采购情况表</w:t>
      </w:r>
    </w:p>
    <w:p>
      <w:pPr>
        <w:jc w:val="left"/>
        <w:rPr>
          <w:rFonts w:ascii="Times New Roman" w:hAnsi="Times New Roman" w:eastAsia="仿宋_GB2312"/>
          <w:sz w:val="30"/>
          <w:szCs w:val="30"/>
        </w:rPr>
      </w:pP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hint="eastAsia" w:ascii="楷体_GB2312" w:eastAsia="楷体_GB2312"/>
          <w:kern w:val="0"/>
          <w:sz w:val="30"/>
          <w:szCs w:val="30"/>
        </w:rPr>
      </w:pPr>
      <w:r>
        <w:rPr>
          <w:rFonts w:hint="eastAsia" w:ascii="楷体_GB2312" w:eastAsia="楷体_GB2312"/>
          <w:kern w:val="0"/>
          <w:sz w:val="30"/>
          <w:szCs w:val="30"/>
        </w:rPr>
        <w:t>（一）部门主要职责</w:t>
      </w:r>
    </w:p>
    <w:p>
      <w:pPr>
        <w:widowControl/>
        <w:ind w:firstLine="300" w:firstLineChars="100"/>
        <w:jc w:val="left"/>
        <w:rPr>
          <w:rFonts w:hint="eastAsia" w:ascii="楷体_GB2312" w:eastAsia="楷体_GB2312"/>
          <w:kern w:val="0"/>
          <w:sz w:val="30"/>
          <w:szCs w:val="30"/>
        </w:rPr>
      </w:pPr>
      <w:r>
        <w:rPr>
          <w:rFonts w:hint="eastAsia" w:ascii="楷体_GB2312" w:eastAsia="楷体_GB2312"/>
          <w:kern w:val="0"/>
          <w:sz w:val="30"/>
          <w:szCs w:val="30"/>
        </w:rPr>
        <w:t>1、负责接待和办理辖区范围内群众、法人及其他组织向区委、区政府及领导的来信来访事项，为群众排忧解难，提供政策、法律咨询服务，保证信访渠道畅通。2、负责拟定全区信访工作的有关政策和规章；布置、检查、协调和指导全区信访工作。3、承办区委、区政府领导和上级机关批转及交办的重要信访事项，并负责督促检查办理情况。4、负责处理群众来电、来信、接待群众来访、及时向区委、区政府报告人民群众来电来信来访中提出的重要建议和反映的重大问题，调查研究社情民意和信访突出问题，及时分析提供信访信息，为领导决策服务；负责向区属部门交办信访案件，直接调查、处理或参与信访事项。5、依法处置化解疏导辖区范围内群众进京、赴省、到市的上访和突出信访问题，协调处理突发性信访事件，及时督促责任单位化解处理各类社会矛盾与纠纷，维护社会稳定；参与处理跨地区、跨部门的重要信访问题。6、承担昆明市盘龙区处理信访突出问题及群体性事件联席会议办公室的工作。7、负责全区信访工作调查研究、分析形势、报告情况、部署工作，协调指导监督检查、考核奖惩等；加强信访队伍建设，统计上报信访工作情况和信息简报。8、承办区委、区政府和上级机关交办的其他事项。</w:t>
      </w:r>
    </w:p>
    <w:p>
      <w:pPr>
        <w:widowControl/>
        <w:ind w:firstLine="300" w:firstLineChars="100"/>
        <w:jc w:val="left"/>
        <w:rPr>
          <w:rFonts w:hint="eastAsia" w:ascii="楷体_GB2312" w:eastAsia="楷体_GB2312"/>
          <w:kern w:val="0"/>
          <w:sz w:val="30"/>
          <w:szCs w:val="30"/>
        </w:rPr>
      </w:pPr>
      <w:r>
        <w:rPr>
          <w:rFonts w:hint="eastAsia" w:ascii="楷体_GB2312" w:eastAsia="楷体_GB2312"/>
          <w:kern w:val="0"/>
          <w:sz w:val="30"/>
          <w:szCs w:val="30"/>
        </w:rPr>
        <w:t>（二）机构设置情况</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盘龙区信访局设3个内设机构：</w:t>
      </w:r>
    </w:p>
    <w:p>
      <w:pPr>
        <w:widowControl/>
        <w:ind w:firstLine="300" w:firstLineChars="100"/>
        <w:jc w:val="left"/>
        <w:rPr>
          <w:rFonts w:hint="eastAsia" w:ascii="楷体_GB2312" w:eastAsia="楷体_GB2312"/>
          <w:kern w:val="0"/>
          <w:sz w:val="30"/>
          <w:szCs w:val="30"/>
        </w:rPr>
      </w:pPr>
      <w:r>
        <w:rPr>
          <w:rFonts w:hint="eastAsia" w:ascii="楷体_GB2312" w:eastAsia="楷体_GB2312"/>
          <w:kern w:val="0"/>
          <w:sz w:val="30"/>
          <w:szCs w:val="30"/>
        </w:rPr>
        <w:t>（一）办公室。负责文电、会务、机要、档案等日常运转和综合协调工作；承担信息、保密、安全保卫、后勤、财务和资产管理等工作；负责党务、组织人事、机构编制、教育培训，指导工、青、妇开展各项工作；承担退休人员服务工作。</w:t>
      </w:r>
    </w:p>
    <w:p>
      <w:pPr>
        <w:widowControl/>
        <w:ind w:firstLine="300" w:firstLineChars="100"/>
        <w:jc w:val="left"/>
        <w:rPr>
          <w:rFonts w:hint="eastAsia" w:ascii="楷体_GB2312" w:eastAsia="楷体_GB2312"/>
          <w:kern w:val="0"/>
          <w:sz w:val="30"/>
          <w:szCs w:val="30"/>
        </w:rPr>
      </w:pPr>
      <w:r>
        <w:rPr>
          <w:rFonts w:hint="eastAsia" w:ascii="楷体_GB2312" w:eastAsia="楷体_GB2312"/>
          <w:kern w:val="0"/>
          <w:sz w:val="30"/>
          <w:szCs w:val="30"/>
        </w:rPr>
        <w:t>（二）接访科（中共昆明市盘龙区委、昆明市盘龙区人民政府人民群众来访接待室）。负责群众来信来访接待工作和通过网络途径提出的信访事项，转办、交办来信来访重要事项；承担指导检查区委书记、区长人民网网民留言办理工作；负责指导检查全区群众来信和网络信访事项办理工作；负责协调指导全区信访信息系统建设和应用工作，承担“云南省信访信息系统”、“云南省视频接访系统”、信访局门户网站及微信、微博的建设和运维工作；负责信访数据统计和信访形势综合分析工作。</w:t>
      </w:r>
    </w:p>
    <w:p>
      <w:pPr>
        <w:widowControl/>
        <w:ind w:firstLine="300" w:firstLineChars="100"/>
        <w:jc w:val="left"/>
        <w:rPr>
          <w:rFonts w:hint="eastAsia" w:ascii="楷体_GB2312" w:eastAsia="楷体_GB2312"/>
          <w:kern w:val="0"/>
          <w:sz w:val="30"/>
          <w:szCs w:val="30"/>
        </w:rPr>
      </w:pPr>
      <w:r>
        <w:rPr>
          <w:rFonts w:hint="eastAsia" w:ascii="楷体_GB2312" w:eastAsia="楷体_GB2312"/>
          <w:kern w:val="0"/>
          <w:sz w:val="30"/>
          <w:szCs w:val="30"/>
        </w:rPr>
        <w:t>（三）督查督办科。指导检查全区信访事项督查督办、复查复核和信访积案化解工作；统一受理区一级的信访事项复查、复核及听证申请；负责信访工作制度改革、信访法治化建设、依法分类处理信访诉求、综合文稿起草、对外宣传、政务公开和人民建议征集工作，提出加强和改进信访工作的建议；承担区委信访工作联席会议办公室日常工作；提出改进工作、完善政策、给予处分和违反信访工作纪律实施责任追究的建议。</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要把开展信访矛盾化解攻坚作为今年信访工作的重中之重、纳入年度考核重点。紧紧围绕中央和省、市、区党委政府部署开展的防范化解重大风险、精准脱贫、污染防治三大攻坚战，聚集群众反映强烈、矛盾问题集中的领域，坚决打好重点领域、重点群体、重点问题、重点人员信访矛盾化解四大攻坚战，下大力气解决信访突出问题、化解重大风险隐患。要加强组织领导，制定工作方案、明确工作措施，压实工作责任，务求精心组织、精准施策、精准发力、精准化解，确保取得实效。</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我部门编制201</w:t>
      </w:r>
      <w:r>
        <w:rPr>
          <w:rFonts w:hint="eastAsia" w:ascii="楷体_GB2312" w:eastAsia="楷体_GB2312"/>
          <w:kern w:val="0"/>
          <w:sz w:val="30"/>
          <w:szCs w:val="30"/>
          <w:lang w:val="en-US" w:eastAsia="zh-CN"/>
        </w:rPr>
        <w:t>9</w:t>
      </w:r>
      <w:r>
        <w:rPr>
          <w:rFonts w:hint="eastAsia" w:ascii="楷体_GB2312" w:eastAsia="楷体_GB2312"/>
          <w:kern w:val="0"/>
          <w:sz w:val="30"/>
          <w:szCs w:val="30"/>
        </w:rPr>
        <w:t>年部门预算单位共1个, 分别是盘龙区人民政府信访局。其中：财政全供给单位1个。截止201</w:t>
      </w:r>
      <w:r>
        <w:rPr>
          <w:rFonts w:hint="eastAsia" w:ascii="楷体_GB2312" w:eastAsia="楷体_GB2312"/>
          <w:kern w:val="0"/>
          <w:sz w:val="30"/>
          <w:szCs w:val="30"/>
          <w:lang w:val="en-US" w:eastAsia="zh-CN"/>
        </w:rPr>
        <w:t>9</w:t>
      </w:r>
      <w:r>
        <w:rPr>
          <w:rFonts w:hint="eastAsia" w:ascii="楷体_GB2312" w:eastAsia="楷体_GB2312"/>
          <w:kern w:val="0"/>
          <w:sz w:val="30"/>
          <w:szCs w:val="30"/>
        </w:rPr>
        <w:t>年</w:t>
      </w:r>
      <w:r>
        <w:rPr>
          <w:rFonts w:hint="eastAsia" w:ascii="楷体_GB2312" w:eastAsia="楷体_GB2312"/>
          <w:kern w:val="0"/>
          <w:sz w:val="30"/>
          <w:szCs w:val="30"/>
          <w:lang w:val="en-US" w:eastAsia="zh-CN"/>
        </w:rPr>
        <w:t>4</w:t>
      </w:r>
      <w:r>
        <w:rPr>
          <w:rFonts w:hint="eastAsia" w:ascii="楷体_GB2312" w:eastAsia="楷体_GB2312"/>
          <w:kern w:val="0"/>
          <w:sz w:val="30"/>
          <w:szCs w:val="30"/>
        </w:rPr>
        <w:t>月统计，部门基本情况如下：</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在职人员编制7人，其中：行政编制 7人,其中： 财政全供养 7人。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离退休人员 1人，其中：退休 1人。</w:t>
      </w:r>
    </w:p>
    <w:p>
      <w:pPr>
        <w:widowControl/>
        <w:ind w:firstLine="600" w:firstLineChars="200"/>
        <w:jc w:val="left"/>
        <w:rPr>
          <w:rFonts w:hint="eastAsia" w:ascii="楷体_GB2312" w:eastAsia="楷体_GB2312"/>
          <w:kern w:val="0"/>
          <w:sz w:val="30"/>
          <w:szCs w:val="30"/>
        </w:rPr>
      </w:pPr>
      <w:r>
        <w:rPr>
          <w:rFonts w:hint="eastAsia" w:ascii="楷体_GB2312" w:eastAsia="楷体_GB2312"/>
          <w:kern w:val="0"/>
          <w:sz w:val="30"/>
          <w:szCs w:val="30"/>
        </w:rPr>
        <w:t>车辆编制1辆，实有车辆1辆。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pStyle w:val="6"/>
        <w:keepNext w:val="0"/>
        <w:keepLines w:val="0"/>
        <w:widowControl/>
        <w:suppressLineNumbers w:val="0"/>
        <w:ind w:left="0" w:firstLine="480"/>
      </w:pPr>
      <w:r>
        <w:rPr>
          <w:rFonts w:hint="eastAsia" w:ascii="宋体" w:hAnsi="宋体" w:eastAsia="宋体" w:cs="宋体"/>
          <w:sz w:val="31"/>
          <w:szCs w:val="31"/>
        </w:rPr>
        <w:t>（一）部门财务收入情况</w:t>
      </w:r>
    </w:p>
    <w:p>
      <w:pPr>
        <w:pStyle w:val="6"/>
        <w:keepNext w:val="0"/>
        <w:keepLines w:val="0"/>
        <w:widowControl/>
        <w:suppressLineNumbers w:val="0"/>
        <w:ind w:firstLine="620" w:firstLineChars="200"/>
      </w:pPr>
      <w:r>
        <w:rPr>
          <w:rFonts w:hint="eastAsia" w:ascii="宋体" w:hAnsi="宋体" w:eastAsia="宋体" w:cs="宋体"/>
          <w:sz w:val="31"/>
          <w:szCs w:val="31"/>
        </w:rPr>
        <w:t>2018年部门财务总收入265.51万元，其中：一般公共预算265.51万元，政府性基金0万元，国有资本经营收益0万元，事业收入0万元，事业单位经营收入0万元，其他收入0万元。</w:t>
      </w:r>
    </w:p>
    <w:p>
      <w:pPr>
        <w:pStyle w:val="6"/>
        <w:keepNext w:val="0"/>
        <w:keepLines w:val="0"/>
        <w:widowControl/>
        <w:suppressLineNumbers w:val="0"/>
        <w:ind w:left="0" w:firstLine="480"/>
      </w:pPr>
      <w:r>
        <w:rPr>
          <w:rFonts w:hint="eastAsia" w:ascii="宋体" w:hAnsi="宋体" w:eastAsia="宋体" w:cs="宋体"/>
          <w:sz w:val="31"/>
          <w:szCs w:val="31"/>
        </w:rPr>
        <w:t>（二）财政拨款收入情况</w:t>
      </w:r>
    </w:p>
    <w:p>
      <w:pPr>
        <w:pStyle w:val="6"/>
        <w:keepNext w:val="0"/>
        <w:keepLines w:val="0"/>
        <w:widowControl/>
        <w:suppressLineNumbers w:val="0"/>
        <w:ind w:firstLine="620" w:firstLineChars="200"/>
      </w:pPr>
      <w:r>
        <w:rPr>
          <w:rFonts w:hint="eastAsia" w:ascii="宋体" w:hAnsi="宋体" w:eastAsia="宋体" w:cs="宋体"/>
          <w:sz w:val="31"/>
          <w:szCs w:val="31"/>
        </w:rPr>
        <w:t>201</w:t>
      </w:r>
      <w:r>
        <w:rPr>
          <w:rFonts w:hint="eastAsia" w:ascii="宋体" w:hAnsi="宋体" w:cs="宋体"/>
          <w:sz w:val="31"/>
          <w:szCs w:val="31"/>
          <w:lang w:val="en-US" w:eastAsia="zh-CN"/>
        </w:rPr>
        <w:t>9</w:t>
      </w:r>
      <w:r>
        <w:rPr>
          <w:rFonts w:hint="eastAsia" w:ascii="宋体" w:hAnsi="宋体" w:eastAsia="宋体" w:cs="宋体"/>
          <w:sz w:val="31"/>
          <w:szCs w:val="31"/>
        </w:rPr>
        <w:t>年部门财政拨款收入265.51万元，其中:本年收入265.51万元，上年结转收入0万元。本年收入中，一般公共预算财政拨款265.51万元（本级财力265.51万元，专项收入0万元，执法办案补助0万元，收费成本补偿0万元，财政专户管理的收入0万元，国有资源（资产）有偿使用收入0万元），政府性基金财政拨款0万元，国有资本经营收益财政拨款0万元。</w:t>
      </w:r>
    </w:p>
    <w:p>
      <w:pPr>
        <w:widowControl/>
        <w:numPr>
          <w:ilvl w:val="0"/>
          <w:numId w:val="1"/>
        </w:numPr>
        <w:ind w:firstLine="600" w:firstLineChars="200"/>
        <w:jc w:val="left"/>
        <w:rPr>
          <w:rFonts w:ascii="黑体" w:hAnsi="黑体" w:eastAsia="黑体"/>
          <w:kern w:val="0"/>
          <w:sz w:val="30"/>
          <w:szCs w:val="30"/>
        </w:rPr>
      </w:pPr>
      <w:r>
        <w:rPr>
          <w:rFonts w:ascii="黑体" w:hAnsi="黑体" w:eastAsia="黑体"/>
          <w:kern w:val="0"/>
          <w:sz w:val="30"/>
          <w:szCs w:val="30"/>
        </w:rPr>
        <w:t>预算单位支出情况</w:t>
      </w:r>
    </w:p>
    <w:p>
      <w:pPr>
        <w:pStyle w:val="6"/>
        <w:keepNext w:val="0"/>
        <w:keepLines w:val="0"/>
        <w:widowControl/>
        <w:suppressLineNumbers w:val="0"/>
        <w:ind w:left="0" w:firstLine="645"/>
      </w:pPr>
      <w:r>
        <w:rPr>
          <w:rFonts w:hint="eastAsia" w:ascii="宋体" w:hAnsi="宋体" w:eastAsia="宋体" w:cs="宋体"/>
          <w:sz w:val="31"/>
          <w:szCs w:val="31"/>
        </w:rPr>
        <w:t>201</w:t>
      </w:r>
      <w:r>
        <w:rPr>
          <w:rFonts w:hint="eastAsia" w:ascii="宋体" w:hAnsi="宋体" w:cs="宋体"/>
          <w:sz w:val="31"/>
          <w:szCs w:val="31"/>
          <w:lang w:val="en-US" w:eastAsia="zh-CN"/>
        </w:rPr>
        <w:t>9</w:t>
      </w:r>
      <w:r>
        <w:rPr>
          <w:rFonts w:hint="eastAsia" w:ascii="宋体" w:hAnsi="宋体" w:eastAsia="宋体" w:cs="宋体"/>
          <w:sz w:val="31"/>
          <w:szCs w:val="31"/>
        </w:rPr>
        <w:t>年部门预算总支出265.51万元。本级财力安排支出265.51万元，其中，基本支出130.38 万元，项目支出135.13万元。</w:t>
      </w:r>
    </w:p>
    <w:p>
      <w:pPr>
        <w:pStyle w:val="6"/>
        <w:keepNext w:val="0"/>
        <w:keepLines w:val="0"/>
        <w:widowControl/>
        <w:suppressLineNumbers w:val="0"/>
        <w:ind w:left="0" w:firstLine="480"/>
      </w:pPr>
      <w:r>
        <w:rPr>
          <w:rFonts w:hint="eastAsia" w:ascii="宋体" w:hAnsi="宋体" w:eastAsia="宋体" w:cs="宋体"/>
          <w:sz w:val="31"/>
          <w:szCs w:val="31"/>
        </w:rPr>
        <w:t>（一）本级财力支出按功能科目分类情况</w:t>
      </w:r>
    </w:p>
    <w:p>
      <w:pPr>
        <w:pStyle w:val="6"/>
        <w:keepNext w:val="0"/>
        <w:keepLines w:val="0"/>
        <w:widowControl/>
        <w:suppressLineNumbers w:val="0"/>
        <w:ind w:left="0" w:firstLine="645"/>
      </w:pPr>
      <w:r>
        <w:rPr>
          <w:rFonts w:hint="eastAsia" w:ascii="宋体" w:hAnsi="宋体" w:eastAsia="宋体" w:cs="宋体"/>
          <w:sz w:val="31"/>
          <w:szCs w:val="31"/>
        </w:rPr>
        <w:t>1、按支出功能科目分类，支出类别为201－03，主要反映单位的一般公共服务支出，主要内容为：单位行政运行经费支出96.87万元；公共交通专项经费0.63万元</w:t>
      </w:r>
      <w:r>
        <w:rPr>
          <w:rFonts w:hint="eastAsia" w:ascii="宋体" w:hAnsi="宋体" w:eastAsia="宋体" w:cs="宋体"/>
          <w:color w:val="FF0000"/>
          <w:sz w:val="31"/>
          <w:szCs w:val="31"/>
        </w:rPr>
        <w:t>；</w:t>
      </w:r>
      <w:r>
        <w:rPr>
          <w:rFonts w:hint="eastAsia" w:ascii="宋体" w:hAnsi="宋体" w:eastAsia="宋体" w:cs="宋体"/>
          <w:sz w:val="31"/>
          <w:szCs w:val="31"/>
        </w:rPr>
        <w:t>信访处突经费100万元；解决特殊疑难信访问题专项资金20万元；律师参与涉法信访经费3万元；2名编外用工人员劳务经费8.5万元，接待费1万元，会议费2万元。</w:t>
      </w:r>
    </w:p>
    <w:p>
      <w:pPr>
        <w:pStyle w:val="6"/>
        <w:keepNext w:val="0"/>
        <w:keepLines w:val="0"/>
        <w:widowControl/>
        <w:suppressLineNumbers w:val="0"/>
        <w:ind w:left="0" w:firstLine="645"/>
      </w:pPr>
      <w:r>
        <w:rPr>
          <w:rFonts w:hint="eastAsia" w:ascii="宋体" w:hAnsi="宋体" w:eastAsia="宋体" w:cs="宋体"/>
          <w:sz w:val="31"/>
          <w:szCs w:val="31"/>
        </w:rPr>
        <w:t>2、按支出功能科目分类，支出类别为208－05，主要反映单位的社会保障和就业支出，主要内容为：机关事业单位基本养老保险缴费支出11.84万元。</w:t>
      </w:r>
    </w:p>
    <w:p>
      <w:pPr>
        <w:pStyle w:val="6"/>
        <w:keepNext w:val="0"/>
        <w:keepLines w:val="0"/>
        <w:widowControl/>
        <w:suppressLineNumbers w:val="0"/>
        <w:ind w:left="0" w:firstLine="645"/>
      </w:pPr>
      <w:r>
        <w:rPr>
          <w:rFonts w:hint="eastAsia" w:ascii="宋体" w:hAnsi="宋体" w:eastAsia="宋体" w:cs="宋体"/>
          <w:sz w:val="31"/>
          <w:szCs w:val="31"/>
        </w:rPr>
        <w:t>3、按支出功能科目分类，支出类别为210－11，主要反映单位的医疗卫生与计划生育支出9.5万元，主要内容为：行政事业单位医疗经费支出6.2万元；公务员医疗补助经费3.3万元。</w:t>
      </w:r>
    </w:p>
    <w:p>
      <w:pPr>
        <w:pStyle w:val="6"/>
        <w:keepNext w:val="0"/>
        <w:keepLines w:val="0"/>
        <w:widowControl/>
        <w:suppressLineNumbers w:val="0"/>
        <w:ind w:left="0" w:firstLine="645"/>
      </w:pPr>
      <w:r>
        <w:rPr>
          <w:rFonts w:hint="eastAsia" w:ascii="宋体" w:hAnsi="宋体" w:eastAsia="宋体" w:cs="宋体"/>
          <w:sz w:val="31"/>
          <w:szCs w:val="31"/>
        </w:rPr>
        <w:t>4、按支出功能科目分类，支出类别为221－02，主要反映单位住房保障支出经费-住房公积金单位缴存支出12.17万元。</w:t>
      </w:r>
    </w:p>
    <w:p>
      <w:pPr>
        <w:pStyle w:val="6"/>
        <w:keepNext w:val="0"/>
        <w:keepLines w:val="0"/>
        <w:widowControl/>
        <w:suppressLineNumbers w:val="0"/>
        <w:ind w:left="0" w:firstLine="480"/>
      </w:pPr>
      <w:r>
        <w:rPr>
          <w:rFonts w:hint="eastAsia" w:ascii="宋体" w:hAnsi="宋体" w:eastAsia="宋体" w:cs="宋体"/>
          <w:sz w:val="31"/>
          <w:szCs w:val="31"/>
        </w:rPr>
        <w:t>（二）本级财力支出按经济科目分类情况</w:t>
      </w:r>
    </w:p>
    <w:p>
      <w:pPr>
        <w:pStyle w:val="6"/>
        <w:keepNext w:val="0"/>
        <w:keepLines w:val="0"/>
        <w:widowControl/>
        <w:suppressLineNumbers w:val="0"/>
        <w:ind w:left="0" w:firstLine="645"/>
        <w:rPr>
          <w:rFonts w:hint="eastAsia" w:ascii="宋体" w:hAnsi="宋体" w:eastAsia="宋体" w:cs="宋体"/>
          <w:sz w:val="31"/>
          <w:szCs w:val="31"/>
        </w:rPr>
      </w:pPr>
      <w:r>
        <w:rPr>
          <w:rFonts w:hint="eastAsia" w:ascii="宋体" w:hAnsi="宋体" w:eastAsia="宋体" w:cs="宋体"/>
          <w:sz w:val="31"/>
          <w:szCs w:val="31"/>
        </w:rPr>
        <w:t>按支出经济分类科目分组（其中：基本支出130.38万元，项目支出135.13万元）。</w:t>
      </w:r>
    </w:p>
    <w:p>
      <w:pPr>
        <w:pStyle w:val="6"/>
        <w:keepNext w:val="0"/>
        <w:keepLines w:val="0"/>
        <w:widowControl/>
        <w:suppressLineNumbers w:val="0"/>
        <w:ind w:left="0" w:firstLine="645"/>
        <w:rPr>
          <w:rFonts w:hint="eastAsia" w:ascii="宋体" w:hAnsi="宋体" w:eastAsia="宋体" w:cs="宋体"/>
          <w:sz w:val="31"/>
          <w:szCs w:val="31"/>
        </w:rPr>
      </w:pPr>
    </w:p>
    <w:p>
      <w:pPr>
        <w:widowControl/>
        <w:numPr>
          <w:ilvl w:val="0"/>
          <w:numId w:val="0"/>
        </w:numPr>
        <w:ind w:firstLine="600" w:firstLineChars="200"/>
        <w:jc w:val="left"/>
        <w:rPr>
          <w:rFonts w:hint="eastAsia" w:ascii="仿宋_GB2312" w:hAnsi="仿宋_GB2312" w:eastAsia="仿宋_GB2312" w:cs="仿宋_GB2312"/>
          <w:kern w:val="0"/>
          <w:sz w:val="30"/>
          <w:szCs w:val="30"/>
          <w:lang w:val="en-US" w:eastAsia="zh-CN"/>
        </w:rPr>
      </w:pPr>
      <w:r>
        <w:rPr>
          <w:rFonts w:hint="eastAsia" w:ascii="黑体" w:hAnsi="黑体" w:eastAsia="黑体"/>
          <w:kern w:val="0"/>
          <w:sz w:val="30"/>
          <w:szCs w:val="30"/>
          <w:lang w:eastAsia="zh-CN"/>
        </w:rPr>
        <w:t>五、</w:t>
      </w:r>
      <w:r>
        <w:rPr>
          <w:rFonts w:hint="eastAsia" w:ascii="微软雅黑" w:hAnsi="微软雅黑" w:eastAsia="微软雅黑" w:cs="微软雅黑"/>
          <w:color w:val="000000"/>
          <w:sz w:val="18"/>
          <w:szCs w:val="18"/>
          <w:bdr w:val="none" w:color="auto" w:sz="0" w:space="0"/>
        </w:rPr>
        <w:t>【五、对下专项转移支付情况】段落 </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（一）列入对下专项转移支付项目清单项</w:t>
      </w:r>
      <w:bookmarkStart w:id="0" w:name="_GoBack"/>
      <w:bookmarkEnd w:id="0"/>
      <w:r>
        <w:rPr>
          <w:rFonts w:ascii="楷体_GB2312" w:eastAsia="楷体_GB2312"/>
          <w:kern w:val="0"/>
          <w:sz w:val="30"/>
          <w:szCs w:val="30"/>
        </w:rPr>
        <w:t>目情况</w:t>
      </w:r>
    </w:p>
    <w:p>
      <w:pPr>
        <w:widowControl/>
        <w:ind w:firstLine="450" w:firstLineChars="150"/>
        <w:jc w:val="left"/>
        <w:rPr>
          <w:rFonts w:hint="eastAsia" w:eastAsia="仿宋_GB2312"/>
          <w:kern w:val="0"/>
          <w:sz w:val="30"/>
          <w:szCs w:val="30"/>
          <w:lang w:eastAsia="zh-CN"/>
        </w:rPr>
      </w:pPr>
      <w:r>
        <w:rPr>
          <w:rFonts w:hint="eastAsia" w:eastAsia="仿宋_GB2312"/>
          <w:kern w:val="0"/>
          <w:sz w:val="30"/>
          <w:szCs w:val="30"/>
          <w:lang w:eastAsia="zh-CN"/>
        </w:rPr>
        <w:t>盘龙区信访局无对下项转移支付项目资金。</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盘龙区信访局无中央配套事项。</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盘龙区信访局无既定政策标准测算补助。</w:t>
      </w:r>
    </w:p>
    <w:p>
      <w:pPr>
        <w:widowControl/>
        <w:ind w:firstLine="600" w:firstLineChars="200"/>
        <w:jc w:val="left"/>
        <w:rPr>
          <w:rFonts w:hint="eastAsia" w:eastAsia="仿宋_GB2312"/>
          <w:kern w:val="0"/>
          <w:sz w:val="30"/>
          <w:szCs w:val="30"/>
          <w:lang w:eastAsia="zh-CN"/>
        </w:rPr>
      </w:pP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六、政府采购预算情况</w:t>
      </w:r>
    </w:p>
    <w:p>
      <w:pPr>
        <w:widowControl/>
        <w:ind w:firstLine="600"/>
        <w:jc w:val="left"/>
        <w:rPr>
          <w:rFonts w:eastAsia="仿宋_GB2312"/>
          <w:kern w:val="0"/>
          <w:sz w:val="30"/>
          <w:szCs w:val="30"/>
        </w:rPr>
      </w:pPr>
      <w:r>
        <w:rPr>
          <w:rFonts w:eastAsia="仿宋_GB2312"/>
          <w:kern w:val="0"/>
          <w:sz w:val="30"/>
          <w:szCs w:val="30"/>
        </w:rPr>
        <w:t>根据《中华人民共和国政府采购法》的有关规定，编制了政府采购预算，共涉及采购项目</w:t>
      </w:r>
      <w:r>
        <w:rPr>
          <w:rFonts w:hint="eastAsia" w:eastAsia="仿宋_GB2312"/>
          <w:kern w:val="0"/>
          <w:sz w:val="30"/>
          <w:szCs w:val="30"/>
          <w:lang w:val="en-US" w:eastAsia="zh-CN"/>
        </w:rPr>
        <w:t>0</w:t>
      </w:r>
      <w:r>
        <w:rPr>
          <w:rFonts w:eastAsia="仿宋_GB2312"/>
          <w:kern w:val="0"/>
          <w:sz w:val="30"/>
          <w:szCs w:val="30"/>
        </w:rPr>
        <w:t>个，采购预算资金</w:t>
      </w:r>
      <w:r>
        <w:rPr>
          <w:rFonts w:hint="eastAsia" w:eastAsia="仿宋_GB2312"/>
          <w:kern w:val="0"/>
          <w:sz w:val="30"/>
          <w:szCs w:val="30"/>
          <w:lang w:val="en-US" w:eastAsia="zh-CN"/>
        </w:rPr>
        <w:t>0</w:t>
      </w:r>
      <w:r>
        <w:rPr>
          <w:rFonts w:eastAsia="仿宋_GB2312"/>
          <w:kern w:val="0"/>
          <w:sz w:val="30"/>
          <w:szCs w:val="30"/>
        </w:rPr>
        <w:t>万元。</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七、预算收支增减变化情况说明</w:t>
      </w:r>
    </w:p>
    <w:p>
      <w:pPr>
        <w:widowControl/>
        <w:numPr>
          <w:ilvl w:val="0"/>
          <w:numId w:val="2"/>
        </w:numPr>
        <w:ind w:firstLine="600" w:firstLineChars="200"/>
        <w:jc w:val="left"/>
        <w:rPr>
          <w:rFonts w:hint="eastAsia" w:ascii="楷体_GB2312" w:eastAsia="楷体_GB2312"/>
          <w:kern w:val="0"/>
          <w:sz w:val="30"/>
          <w:szCs w:val="30"/>
          <w:lang w:eastAsia="zh-CN"/>
        </w:rPr>
      </w:pPr>
      <w:r>
        <w:rPr>
          <w:rFonts w:hint="eastAsia" w:ascii="楷体_GB2312" w:eastAsia="楷体_GB2312"/>
          <w:kern w:val="0"/>
          <w:sz w:val="30"/>
          <w:szCs w:val="30"/>
          <w:lang w:eastAsia="zh-CN"/>
        </w:rPr>
        <w:t>部门“三公”经费增减变化情况及原因说明</w:t>
      </w:r>
    </w:p>
    <w:p>
      <w:pPr>
        <w:widowControl/>
        <w:numPr>
          <w:ilvl w:val="0"/>
          <w:numId w:val="0"/>
        </w:numPr>
        <w:jc w:val="left"/>
        <w:rPr>
          <w:rFonts w:hint="default" w:ascii="楷体_GB2312" w:eastAsia="楷体_GB2312"/>
          <w:kern w:val="0"/>
          <w:sz w:val="30"/>
          <w:szCs w:val="30"/>
          <w:lang w:val="en-US" w:eastAsia="zh-CN"/>
        </w:rPr>
      </w:pPr>
      <w:r>
        <w:rPr>
          <w:rFonts w:hint="eastAsia" w:ascii="楷体_GB2312" w:eastAsia="楷体_GB2312"/>
          <w:kern w:val="0"/>
          <w:sz w:val="30"/>
          <w:szCs w:val="30"/>
          <w:lang w:val="en-US" w:eastAsia="zh-CN"/>
        </w:rPr>
        <w:t xml:space="preserve">     2018年公务用车购置及运行为2.2，2019年减少0.2。具体原因待说明。</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pStyle w:val="6"/>
        <w:keepNext w:val="0"/>
        <w:keepLines w:val="0"/>
        <w:widowControl/>
        <w:suppressLineNumbers w:val="0"/>
        <w:ind w:left="0" w:firstLine="645"/>
      </w:pPr>
      <w:r>
        <w:rPr>
          <w:rFonts w:hint="eastAsia" w:ascii="宋体" w:hAnsi="宋体" w:eastAsia="宋体" w:cs="宋体"/>
          <w:sz w:val="31"/>
          <w:szCs w:val="31"/>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pStyle w:val="6"/>
        <w:keepNext w:val="0"/>
        <w:keepLines w:val="0"/>
        <w:widowControl/>
        <w:suppressLineNumbers w:val="0"/>
        <w:ind w:firstLine="620" w:firstLineChars="200"/>
        <w:rPr>
          <w:rFonts w:eastAsia="仿宋_GB2312"/>
          <w:b/>
          <w:kern w:val="0"/>
          <w:sz w:val="30"/>
          <w:szCs w:val="30"/>
        </w:rPr>
      </w:pPr>
      <w:r>
        <w:rPr>
          <w:rFonts w:hint="eastAsia" w:ascii="宋体" w:hAnsi="宋体" w:eastAsia="宋体" w:cs="宋体"/>
          <w:sz w:val="31"/>
          <w:szCs w:val="31"/>
        </w:rPr>
        <w:t>201</w:t>
      </w:r>
      <w:r>
        <w:rPr>
          <w:rFonts w:hint="eastAsia" w:ascii="宋体" w:hAnsi="宋体" w:cs="宋体"/>
          <w:sz w:val="31"/>
          <w:szCs w:val="31"/>
          <w:lang w:val="en-US" w:eastAsia="zh-CN"/>
        </w:rPr>
        <w:t>9</w:t>
      </w:r>
      <w:r>
        <w:rPr>
          <w:rFonts w:hint="eastAsia" w:ascii="宋体" w:hAnsi="宋体" w:eastAsia="宋体" w:cs="宋体"/>
          <w:sz w:val="31"/>
          <w:szCs w:val="31"/>
        </w:rPr>
        <w:t>年本级财力安排中共昆明市盘龙区委昆明市盘龙区人民政府信访局部门机关运行经费16.97万元，主要用于办公经费、印刷费、水电费、汽燃费、办公设备购置等日常开支，以保证机构正常运转。</w:t>
      </w:r>
    </w:p>
    <w:p>
      <w:pPr>
        <w:widowControl/>
        <w:numPr>
          <w:ilvl w:val="0"/>
          <w:numId w:val="3"/>
        </w:numPr>
        <w:ind w:firstLine="600" w:firstLineChars="200"/>
        <w:jc w:val="left"/>
        <w:rPr>
          <w:rFonts w:hint="eastAsia" w:ascii="楷体_GB2312" w:eastAsia="楷体_GB2312"/>
          <w:kern w:val="0"/>
          <w:sz w:val="30"/>
          <w:szCs w:val="30"/>
          <w:lang w:eastAsia="zh-CN"/>
        </w:rPr>
      </w:pPr>
      <w:r>
        <w:rPr>
          <w:rFonts w:hint="eastAsia" w:ascii="楷体_GB2312" w:eastAsia="楷体_GB2312"/>
          <w:kern w:val="0"/>
          <w:sz w:val="30"/>
          <w:szCs w:val="30"/>
          <w:lang w:eastAsia="zh-CN"/>
        </w:rPr>
        <w:t>国有资产占用情况</w:t>
      </w:r>
    </w:p>
    <w:p>
      <w:pPr>
        <w:widowControl/>
        <w:numPr>
          <w:ilvl w:val="0"/>
          <w:numId w:val="0"/>
        </w:numPr>
        <w:jc w:val="left"/>
        <w:rPr>
          <w:rFonts w:hint="eastAsia" w:ascii="楷体_GB2312" w:eastAsia="楷体_GB2312"/>
          <w:kern w:val="0"/>
          <w:sz w:val="30"/>
          <w:szCs w:val="30"/>
          <w:lang w:val="en-US" w:eastAsia="zh-CN"/>
        </w:rPr>
      </w:pPr>
      <w:r>
        <w:rPr>
          <w:rFonts w:hint="eastAsia" w:ascii="楷体_GB2312" w:eastAsia="楷体_GB2312"/>
          <w:kern w:val="0"/>
          <w:sz w:val="30"/>
          <w:szCs w:val="30"/>
          <w:lang w:val="en-US" w:eastAsia="zh-CN"/>
        </w:rPr>
        <w:t xml:space="preserve">    鉴于截至2018年12月31日的国有资产占有使用情况需在完成2018年决算编制后才能统计汇总相关数据，因此，将在公开2018年度部门决算时一并公开部门截至2018年12月31日的国有资产占有使用情况。</w:t>
      </w:r>
    </w:p>
    <w:p>
      <w:pPr>
        <w:widowControl/>
        <w:numPr>
          <w:ilvl w:val="0"/>
          <w:numId w:val="3"/>
        </w:numPr>
        <w:ind w:firstLine="600" w:firstLineChars="200"/>
        <w:jc w:val="left"/>
        <w:rPr>
          <w:rFonts w:hint="eastAsia" w:eastAsia="仿宋_GB2312"/>
          <w:kern w:val="0"/>
          <w:sz w:val="30"/>
          <w:szCs w:val="30"/>
        </w:rPr>
      </w:pPr>
      <w:r>
        <w:rPr>
          <w:rFonts w:hint="eastAsia" w:ascii="楷体_GB2312" w:eastAsia="楷体_GB2312"/>
          <w:kern w:val="0"/>
          <w:sz w:val="30"/>
          <w:szCs w:val="30"/>
          <w:lang w:eastAsia="zh-CN"/>
        </w:rPr>
        <w:t>本部门预算绩效情况说明</w:t>
      </w:r>
    </w:p>
    <w:p>
      <w:pPr>
        <w:widowControl/>
        <w:ind w:firstLine="600" w:firstLineChars="200"/>
        <w:jc w:val="left"/>
        <w:rPr>
          <w:rFonts w:eastAsia="仿宋_GB2312"/>
          <w:kern w:val="0"/>
          <w:sz w:val="30"/>
          <w:szCs w:val="30"/>
        </w:rPr>
      </w:pPr>
      <w:r>
        <w:rPr>
          <w:rFonts w:hint="eastAsia" w:eastAsia="仿宋_GB2312"/>
          <w:kern w:val="0"/>
          <w:sz w:val="30"/>
          <w:szCs w:val="30"/>
        </w:rPr>
        <w:t>鉴于截至</w:t>
      </w:r>
      <w:r>
        <w:rPr>
          <w:rFonts w:hint="eastAsia" w:eastAsia="仿宋_GB2312"/>
          <w:kern w:val="0"/>
          <w:sz w:val="30"/>
          <w:szCs w:val="30"/>
          <w:lang w:val="en-US" w:eastAsia="zh-CN"/>
        </w:rPr>
        <w:t>2019</w:t>
      </w:r>
      <w:r>
        <w:rPr>
          <w:rFonts w:hint="eastAsia" w:eastAsia="仿宋_GB2312"/>
          <w:kern w:val="0"/>
          <w:sz w:val="30"/>
          <w:szCs w:val="30"/>
        </w:rPr>
        <w:t>年</w:t>
      </w:r>
      <w:r>
        <w:rPr>
          <w:rFonts w:hint="eastAsia" w:eastAsia="仿宋_GB2312"/>
          <w:kern w:val="0"/>
          <w:sz w:val="30"/>
          <w:szCs w:val="30"/>
          <w:lang w:val="en-US" w:eastAsia="zh-CN"/>
        </w:rPr>
        <w:t>4</w:t>
      </w:r>
      <w:r>
        <w:rPr>
          <w:rFonts w:hint="eastAsia" w:eastAsia="仿宋_GB2312"/>
          <w:kern w:val="0"/>
          <w:sz w:val="30"/>
          <w:szCs w:val="30"/>
        </w:rPr>
        <w:t>月1日的国有资产占有使用情况需在完成</w:t>
      </w:r>
      <w:r>
        <w:rPr>
          <w:rFonts w:hint="eastAsia" w:eastAsia="仿宋_GB2312"/>
          <w:kern w:val="0"/>
          <w:sz w:val="30"/>
          <w:szCs w:val="30"/>
          <w:lang w:val="en-US" w:eastAsia="zh-CN"/>
        </w:rPr>
        <w:t>2019</w:t>
      </w:r>
      <w:r>
        <w:rPr>
          <w:rFonts w:hint="eastAsia" w:eastAsia="仿宋_GB2312"/>
          <w:kern w:val="0"/>
          <w:sz w:val="30"/>
          <w:szCs w:val="30"/>
        </w:rPr>
        <w:t>年决算编制后才能统计汇总相关数据，因此，将在公开</w:t>
      </w:r>
      <w:r>
        <w:rPr>
          <w:rFonts w:hint="eastAsia" w:eastAsia="仿宋_GB2312"/>
          <w:kern w:val="0"/>
          <w:sz w:val="30"/>
          <w:szCs w:val="30"/>
          <w:lang w:val="en-US" w:eastAsia="zh-CN"/>
        </w:rPr>
        <w:t>2019</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2019</w:t>
      </w:r>
      <w:r>
        <w:rPr>
          <w:rFonts w:hint="eastAsia" w:eastAsia="仿宋_GB2312"/>
          <w:kern w:val="0"/>
          <w:sz w:val="30"/>
          <w:szCs w:val="30"/>
        </w:rPr>
        <w:t>年12月31日的国有资产占有使用情况。</w:t>
      </w: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FontAwesome">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3DA9B9"/>
    <w:multiLevelType w:val="singleLevel"/>
    <w:tmpl w:val="5C3DA9B9"/>
    <w:lvl w:ilvl="0" w:tentative="0">
      <w:start w:val="3"/>
      <w:numFmt w:val="chineseCounting"/>
      <w:suff w:val="nothing"/>
      <w:lvlText w:val="（%1）"/>
      <w:lvlJc w:val="left"/>
    </w:lvl>
  </w:abstractNum>
  <w:abstractNum w:abstractNumId="1">
    <w:nsid w:val="5C47DBBF"/>
    <w:multiLevelType w:val="singleLevel"/>
    <w:tmpl w:val="5C47DBBF"/>
    <w:lvl w:ilvl="0" w:tentative="0">
      <w:start w:val="4"/>
      <w:numFmt w:val="chineseCounting"/>
      <w:suff w:val="nothing"/>
      <w:lvlText w:val="%1、"/>
      <w:lvlJc w:val="left"/>
    </w:lvl>
  </w:abstractNum>
  <w:abstractNum w:abstractNumId="2">
    <w:nsid w:val="7D2D4FFE"/>
    <w:multiLevelType w:val="singleLevel"/>
    <w:tmpl w:val="7D2D4FFE"/>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4B5"/>
    <w:rsid w:val="00505533"/>
    <w:rsid w:val="00506344"/>
    <w:rsid w:val="005148D7"/>
    <w:rsid w:val="00521069"/>
    <w:rsid w:val="005248EA"/>
    <w:rsid w:val="0052572D"/>
    <w:rsid w:val="005431C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4E84"/>
    <w:rsid w:val="00A352B0"/>
    <w:rsid w:val="00A37886"/>
    <w:rsid w:val="00A472C6"/>
    <w:rsid w:val="00A51E78"/>
    <w:rsid w:val="00A570A1"/>
    <w:rsid w:val="00A60974"/>
    <w:rsid w:val="00A61DCD"/>
    <w:rsid w:val="00A65535"/>
    <w:rsid w:val="00A724CF"/>
    <w:rsid w:val="00A7532F"/>
    <w:rsid w:val="00A761CF"/>
    <w:rsid w:val="00A81682"/>
    <w:rsid w:val="00A84D92"/>
    <w:rsid w:val="00A84E65"/>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43B8"/>
    <w:rsid w:val="00FC4E58"/>
    <w:rsid w:val="00FC51C4"/>
    <w:rsid w:val="00FC7004"/>
    <w:rsid w:val="00FD06A0"/>
    <w:rsid w:val="00FD13FB"/>
    <w:rsid w:val="00FD228E"/>
    <w:rsid w:val="00FD4E9B"/>
    <w:rsid w:val="00FD7D5F"/>
    <w:rsid w:val="00FE1A2F"/>
    <w:rsid w:val="00FE5F50"/>
    <w:rsid w:val="00FF1B25"/>
    <w:rsid w:val="00FF7A85"/>
    <w:rsid w:val="025737A0"/>
    <w:rsid w:val="03F0214E"/>
    <w:rsid w:val="05875478"/>
    <w:rsid w:val="06325B44"/>
    <w:rsid w:val="07A81B30"/>
    <w:rsid w:val="08026EA4"/>
    <w:rsid w:val="0AB77A2F"/>
    <w:rsid w:val="0E2C2D1C"/>
    <w:rsid w:val="0F1C2EE4"/>
    <w:rsid w:val="147A0E9D"/>
    <w:rsid w:val="17DE5FEE"/>
    <w:rsid w:val="18320ECF"/>
    <w:rsid w:val="1A0B3DDD"/>
    <w:rsid w:val="1B5D5332"/>
    <w:rsid w:val="227A75F1"/>
    <w:rsid w:val="229F0085"/>
    <w:rsid w:val="237A5002"/>
    <w:rsid w:val="261E733C"/>
    <w:rsid w:val="27B74E64"/>
    <w:rsid w:val="285354C4"/>
    <w:rsid w:val="2C3A3FD2"/>
    <w:rsid w:val="37ED2CCD"/>
    <w:rsid w:val="37ED4E4F"/>
    <w:rsid w:val="38583801"/>
    <w:rsid w:val="39466C4F"/>
    <w:rsid w:val="39C03D63"/>
    <w:rsid w:val="3A447C91"/>
    <w:rsid w:val="3C5578F1"/>
    <w:rsid w:val="3C867253"/>
    <w:rsid w:val="3D265908"/>
    <w:rsid w:val="3D574AF9"/>
    <w:rsid w:val="3EC72995"/>
    <w:rsid w:val="448824B1"/>
    <w:rsid w:val="48F471D5"/>
    <w:rsid w:val="498B3772"/>
    <w:rsid w:val="4ED60BFA"/>
    <w:rsid w:val="569E25AF"/>
    <w:rsid w:val="5D5F34BE"/>
    <w:rsid w:val="62481D87"/>
    <w:rsid w:val="6485063A"/>
    <w:rsid w:val="671E5E44"/>
    <w:rsid w:val="69C50EB6"/>
    <w:rsid w:val="724A4A01"/>
    <w:rsid w:val="72E47CA1"/>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qFormat/>
    <w:uiPriority w:val="0"/>
    <w:pPr>
      <w:widowControl w:val="0"/>
      <w:spacing w:before="100" w:beforeAutospacing="1" w:after="100" w:afterAutospacing="1"/>
      <w:ind w:left="0" w:right="0"/>
      <w:jc w:val="left"/>
    </w:pPr>
    <w:rPr>
      <w:rFonts w:ascii="Calibri" w:hAnsi="Calibri" w:eastAsia="宋体" w:cs="Times New Roman"/>
      <w:kern w:val="0"/>
      <w:sz w:val="24"/>
      <w:szCs w:val="24"/>
      <w:lang w:val="en-US" w:eastAsia="zh-CN" w:bidi="ar"/>
    </w:rPr>
  </w:style>
  <w:style w:type="paragraph" w:styleId="7">
    <w:name w:val="annotation subject"/>
    <w:basedOn w:val="2"/>
    <w:next w:val="2"/>
    <w:semiHidden/>
    <w:qFormat/>
    <w:uiPriority w:val="0"/>
    <w:rPr>
      <w:b/>
      <w:bCs/>
    </w:rPr>
  </w:style>
  <w:style w:type="character" w:styleId="10">
    <w:name w:val="Strong"/>
    <w:basedOn w:val="9"/>
    <w:qFormat/>
    <w:uiPriority w:val="0"/>
    <w:rPr>
      <w:b/>
    </w:rPr>
  </w:style>
  <w:style w:type="character" w:styleId="11">
    <w:name w:val="FollowedHyperlink"/>
    <w:basedOn w:val="9"/>
    <w:semiHidden/>
    <w:unhideWhenUsed/>
    <w:uiPriority w:val="0"/>
    <w:rPr>
      <w:color w:val="000000"/>
      <w:u w:val="none"/>
    </w:rPr>
  </w:style>
  <w:style w:type="character" w:styleId="12">
    <w:name w:val="HTML Definition"/>
    <w:basedOn w:val="9"/>
    <w:semiHidden/>
    <w:unhideWhenUsed/>
    <w:uiPriority w:val="0"/>
    <w:rPr>
      <w:i/>
    </w:rPr>
  </w:style>
  <w:style w:type="character" w:styleId="13">
    <w:name w:val="Hyperlink"/>
    <w:basedOn w:val="9"/>
    <w:semiHidden/>
    <w:unhideWhenUsed/>
    <w:uiPriority w:val="0"/>
    <w:rPr>
      <w:color w:val="000000"/>
      <w:u w:val="none"/>
    </w:rPr>
  </w:style>
  <w:style w:type="character" w:styleId="14">
    <w:name w:val="HTML Code"/>
    <w:basedOn w:val="9"/>
    <w:semiHidden/>
    <w:unhideWhenUsed/>
    <w:uiPriority w:val="0"/>
    <w:rPr>
      <w:rFonts w:hint="default" w:ascii="Consolas" w:hAnsi="Consolas" w:eastAsia="Consolas" w:cs="Consolas"/>
      <w:color w:val="C7254E"/>
      <w:sz w:val="21"/>
      <w:szCs w:val="21"/>
      <w:bdr w:val="none" w:color="auto" w:sz="0" w:space="0"/>
      <w:shd w:val="clear" w:fill="F9F2F4"/>
    </w:rPr>
  </w:style>
  <w:style w:type="character" w:styleId="15">
    <w:name w:val="annotation reference"/>
    <w:semiHidden/>
    <w:qFormat/>
    <w:uiPriority w:val="0"/>
    <w:rPr>
      <w:sz w:val="21"/>
      <w:szCs w:val="21"/>
    </w:rPr>
  </w:style>
  <w:style w:type="character" w:styleId="16">
    <w:name w:val="HTML Keyboard"/>
    <w:basedOn w:val="9"/>
    <w:semiHidden/>
    <w:unhideWhenUsed/>
    <w:uiPriority w:val="0"/>
    <w:rPr>
      <w:rFonts w:hint="default" w:ascii="Consolas" w:hAnsi="Consolas" w:eastAsia="Consolas" w:cs="Consolas"/>
      <w:color w:val="FFFFFF"/>
      <w:sz w:val="21"/>
      <w:szCs w:val="21"/>
      <w:bdr w:val="none" w:color="auto" w:sz="0" w:space="0"/>
      <w:shd w:val="clear" w:fill="475059"/>
    </w:rPr>
  </w:style>
  <w:style w:type="character" w:styleId="17">
    <w:name w:val="HTML Sample"/>
    <w:basedOn w:val="9"/>
    <w:semiHidden/>
    <w:unhideWhenUsed/>
    <w:uiPriority w:val="0"/>
    <w:rPr>
      <w:rFonts w:ascii="Consolas" w:hAnsi="Consolas" w:eastAsia="Consolas" w:cs="Consolas"/>
      <w:sz w:val="21"/>
      <w:szCs w:val="21"/>
    </w:rPr>
  </w:style>
  <w:style w:type="paragraph" w:customStyle="1" w:styleId="18">
    <w:name w:val="Revision"/>
    <w:hidden/>
    <w:semiHidden/>
    <w:qFormat/>
    <w:uiPriority w:val="99"/>
    <w:rPr>
      <w:rFonts w:ascii="Times New Roman" w:hAnsi="Times New Roman" w:eastAsia="宋体" w:cs="Times New Roman"/>
      <w:kern w:val="2"/>
      <w:sz w:val="21"/>
      <w:szCs w:val="24"/>
      <w:lang w:val="en-US" w:eastAsia="zh-CN" w:bidi="ar-SA"/>
    </w:rPr>
  </w:style>
  <w:style w:type="character" w:customStyle="1" w:styleId="19">
    <w:name w:val="layui-layer-tabnow"/>
    <w:basedOn w:val="9"/>
    <w:uiPriority w:val="0"/>
    <w:rPr>
      <w:bdr w:val="single" w:color="CCCCCC" w:sz="6" w:space="0"/>
      <w:shd w:val="clear" w:fill="FFFFFF"/>
    </w:rPr>
  </w:style>
  <w:style w:type="character" w:customStyle="1" w:styleId="20">
    <w:name w:val="first-child"/>
    <w:basedOn w:val="9"/>
    <w:uiPriority w:val="0"/>
    <w:rPr>
      <w:bdr w:val="none" w:color="auto" w:sz="0" w:space="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zhlx</Company>
  <Pages>3</Pages>
  <Words>178</Words>
  <Characters>1020</Characters>
  <Lines>8</Lines>
  <Paragraphs>2</Paragraphs>
  <TotalTime>22</TotalTime>
  <ScaleCrop>false</ScaleCrop>
  <LinksUpToDate>false</LinksUpToDate>
  <CharactersWithSpaces>1196</CharactersWithSpaces>
  <Application>WPS Office_11.1.0.8582_F1E327BC-269C-435d-A152-05C5408002CA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胡</cp:lastModifiedBy>
  <cp:lastPrinted>2018-01-31T03:32:00Z</cp:lastPrinted>
  <dcterms:modified xsi:type="dcterms:W3CDTF">2019-04-01T09:21:58Z</dcterms:modified>
  <dc:title>年部门预算编制说明</dc:title>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2052-11.1.0.8582</vt:lpwstr>
  </property>
</Properties>
</file>