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FC" w:rsidRDefault="00254AFC" w:rsidP="00F523FE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F753D4" w:rsidRPr="00254AFC" w:rsidRDefault="00F523FE" w:rsidP="00F523FE">
      <w:pPr>
        <w:jc w:val="center"/>
        <w:rPr>
          <w:rFonts w:ascii="黑体" w:eastAsia="黑体" w:hAnsi="黑体" w:hint="eastAsia"/>
          <w:sz w:val="44"/>
          <w:szCs w:val="44"/>
        </w:rPr>
      </w:pPr>
      <w:r w:rsidRPr="00254AFC">
        <w:rPr>
          <w:rFonts w:ascii="黑体" w:eastAsia="黑体" w:hAnsi="黑体" w:hint="eastAsia"/>
          <w:sz w:val="44"/>
          <w:szCs w:val="44"/>
        </w:rPr>
        <w:t>“三公”经费口径说明</w:t>
      </w:r>
    </w:p>
    <w:p w:rsidR="00F523FE" w:rsidRPr="00F523FE" w:rsidRDefault="00F523FE" w:rsidP="00F523FE">
      <w:pPr>
        <w:jc w:val="center"/>
        <w:rPr>
          <w:rFonts w:ascii="仿宋" w:eastAsia="仿宋" w:hAnsi="仿宋" w:hint="eastAsia"/>
          <w:sz w:val="32"/>
          <w:szCs w:val="32"/>
        </w:rPr>
      </w:pPr>
    </w:p>
    <w:p w:rsidR="00F523FE" w:rsidRDefault="00F523FE" w:rsidP="00F523FE">
      <w:pPr>
        <w:ind w:firstLine="645"/>
        <w:rPr>
          <w:rFonts w:ascii="仿宋" w:eastAsia="仿宋" w:hAnsi="仿宋" w:hint="eastAsia"/>
          <w:sz w:val="32"/>
          <w:szCs w:val="32"/>
        </w:rPr>
      </w:pPr>
      <w:r w:rsidRPr="00F523FE">
        <w:rPr>
          <w:rFonts w:ascii="仿宋" w:eastAsia="仿宋" w:hAnsi="仿宋" w:hint="eastAsia"/>
          <w:sz w:val="32"/>
          <w:szCs w:val="32"/>
        </w:rPr>
        <w:t>按照党中央、国务院有关文件及部门预算管理有关规定</w:t>
      </w:r>
      <w:r>
        <w:rPr>
          <w:rFonts w:ascii="仿宋" w:eastAsia="仿宋" w:hAnsi="仿宋" w:hint="eastAsia"/>
          <w:sz w:val="32"/>
          <w:szCs w:val="32"/>
        </w:rPr>
        <w:t>，“三公”经费包括因公出国（境）费、公务用车购置及运行维护费和公务接待费。</w:t>
      </w:r>
    </w:p>
    <w:p w:rsidR="00F523FE" w:rsidRDefault="00F523FE" w:rsidP="00F523FE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1、因公出国（境）费，指单位公务出国（境）的国际旅费、国外城市间交通费、住宿费、伙食费、培训费、公杂费等支出。</w:t>
      </w:r>
    </w:p>
    <w:p w:rsidR="00F523FE" w:rsidRDefault="00F523FE" w:rsidP="00F523FE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2、公务用车购置费，指公务用车购置支出（</w:t>
      </w:r>
      <w:proofErr w:type="gramStart"/>
      <w:r>
        <w:rPr>
          <w:rFonts w:ascii="仿宋" w:eastAsia="仿宋" w:hAnsi="仿宋" w:hint="eastAsia"/>
          <w:sz w:val="32"/>
          <w:szCs w:val="32"/>
        </w:rPr>
        <w:t>含车辆</w:t>
      </w:r>
      <w:proofErr w:type="gramEnd"/>
      <w:r>
        <w:rPr>
          <w:rFonts w:ascii="仿宋" w:eastAsia="仿宋" w:hAnsi="仿宋" w:hint="eastAsia"/>
          <w:sz w:val="32"/>
          <w:szCs w:val="32"/>
        </w:rPr>
        <w:t>购置税、拍照费）；公务用车运行维护费，指单位按规定保留的公务用车燃料费、维修费、过路过桥费、保险费、安全奖励费用等支出。</w:t>
      </w:r>
    </w:p>
    <w:p w:rsidR="00F523FE" w:rsidRDefault="00F523FE" w:rsidP="00F523FE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3、公务接待费，指单位按规定开支的各类公务接待（含外宾接待）费用。</w:t>
      </w:r>
    </w:p>
    <w:p w:rsidR="00F523FE" w:rsidRPr="00F523FE" w:rsidRDefault="00F523FE" w:rsidP="00F523FE">
      <w:pPr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二、“三公”经费决算数：指各级各部门（含下属单位）用一般公共预算财政拨款（含上年结转结余和当年预算）安排的因公出国（境）费、公务用车购置及运行维护费和公务接待费支出数。</w:t>
      </w:r>
    </w:p>
    <w:sectPr w:rsidR="00F523FE" w:rsidRPr="00F523FE" w:rsidSect="00F75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3FE"/>
    <w:rsid w:val="00254AFC"/>
    <w:rsid w:val="009A1AAB"/>
    <w:rsid w:val="00F523FE"/>
    <w:rsid w:val="00F7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2019-10-23T07:37:00Z</dcterms:created>
  <dcterms:modified xsi:type="dcterms:W3CDTF">2019-10-23T07:47:00Z</dcterms:modified>
</cp:coreProperties>
</file>