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720" w:right="0" w:hanging="36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666666"/>
          <w:sz w:val="44"/>
          <w:szCs w:val="44"/>
          <w:bdr w:val="none" w:color="auto" w:sz="0" w:space="0"/>
        </w:rPr>
        <w:t>盘龙区信访局一般公共预算财政拨款“三公”经费支出决算情况说明</w:t>
      </w:r>
    </w:p>
    <w:p>
      <w:pPr>
        <w:spacing w:line="600" w:lineRule="exact"/>
        <w:rPr>
          <w:rFonts w:hint="eastAsia" w:ascii="黑体" w:hAnsi="黑体" w:eastAsia="黑体"/>
          <w:sz w:val="30"/>
          <w:szCs w:val="30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kern w:val="2"/>
          <w:sz w:val="30"/>
          <w:szCs w:val="30"/>
          <w:lang w:val="en-US" w:eastAsia="zh-CN" w:bidi="ar-SA"/>
        </w:rPr>
        <w:t>(一) 一般公共预算财政拨款“三公”经费支出决算总体情况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0000FF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kern w:val="2"/>
          <w:sz w:val="30"/>
          <w:szCs w:val="30"/>
          <w:lang w:val="en-US" w:eastAsia="zh-CN" w:bidi="ar-SA"/>
        </w:rPr>
        <w:t>昆明市盘龙区信访局2018年度一般公共预算财政拨款“三公”经费支出预算</w:t>
      </w:r>
      <w:r>
        <w:rPr>
          <w:rFonts w:hint="eastAsia" w:ascii="楷体" w:hAnsi="楷体" w:eastAsia="楷体"/>
          <w:color w:val="000000"/>
          <w:kern w:val="2"/>
          <w:sz w:val="30"/>
          <w:szCs w:val="30"/>
          <w:lang w:val="en-US" w:eastAsia="zh-CN" w:bidi="ar-SA"/>
        </w:rPr>
        <w:t>为2.2万</w:t>
      </w:r>
      <w:r>
        <w:rPr>
          <w:rFonts w:hint="eastAsia" w:ascii="楷体" w:hAnsi="楷体" w:eastAsia="楷体"/>
          <w:kern w:val="2"/>
          <w:sz w:val="30"/>
          <w:szCs w:val="30"/>
          <w:lang w:val="en-US" w:eastAsia="zh-CN" w:bidi="ar-SA"/>
        </w:rPr>
        <w:t>元，支出决算为20.96万元，完成预算的</w:t>
      </w:r>
      <w:r>
        <w:rPr>
          <w:rFonts w:hint="eastAsia" w:ascii="楷体" w:hAnsi="楷体" w:eastAsia="楷体"/>
          <w:color w:val="00000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楷体" w:hAnsi="楷体" w:eastAsia="楷体"/>
          <w:kern w:val="2"/>
          <w:sz w:val="30"/>
          <w:szCs w:val="30"/>
          <w:lang w:val="en-US" w:eastAsia="zh-CN" w:bidi="ar-SA"/>
        </w:rPr>
        <w:t>%。其中：因公出国（境）费支出决算为0万元，完成预算的0%；公务用车购置及运行费支出决算为20.96万元，完成预算的</w:t>
      </w:r>
      <w:r>
        <w:rPr>
          <w:rFonts w:hint="eastAsia" w:ascii="楷体" w:hAnsi="楷体" w:eastAsia="楷体"/>
          <w:color w:val="000000"/>
          <w:kern w:val="2"/>
          <w:sz w:val="30"/>
          <w:szCs w:val="30"/>
          <w:lang w:val="en-US" w:eastAsia="zh-CN" w:bidi="ar-SA"/>
        </w:rPr>
        <w:t>:100%</w:t>
      </w:r>
      <w:r>
        <w:rPr>
          <w:rFonts w:hint="eastAsia" w:ascii="楷体" w:hAnsi="楷体" w:eastAsia="楷体"/>
          <w:kern w:val="2"/>
          <w:sz w:val="30"/>
          <w:szCs w:val="30"/>
          <w:lang w:val="en-US" w:eastAsia="zh-CN" w:bidi="ar-SA"/>
        </w:rPr>
        <w:t>；公务接待费支出决算为0万元，完成预算的0%。2018年度一般公共预算财政拨款“三公”经费支出决算数大于预算数</w:t>
      </w:r>
      <w:r>
        <w:rPr>
          <w:rFonts w:hint="eastAsia" w:ascii="楷体" w:hAnsi="楷体" w:eastAsia="楷体"/>
          <w:color w:val="00000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2018年度一般公共预算财政拨款“三公”经费支出决算数比2017年增加18.24万元，增长1048.27%。其中：因公出国（境）费支出决算增加/减少0万元，增长/下降0%；公务用车购置及运行费支出决算增加18.24万元，增长/下降1048.27%；公务接待费支出决算增加/减少0万元，增长/下降0%。2018年度一般公共预算财政拨款“三公”经费支出决算增</w:t>
      </w:r>
      <w:r>
        <w:rPr>
          <w:rFonts w:hint="eastAsia" w:ascii="楷体" w:hAnsi="楷体" w:eastAsia="楷体"/>
          <w:color w:val="000000"/>
          <w:kern w:val="2"/>
          <w:sz w:val="30"/>
          <w:szCs w:val="30"/>
          <w:lang w:val="en-US" w:eastAsia="zh-CN" w:bidi="ar-SA"/>
        </w:rPr>
        <w:t>加的主要原因是购置车辆。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(二) 一般公共预算财政拨款“三公”经费支出决算具体情况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2018年度一般公共预算财政拨款“三公”经费支出决算中，因公出国（境）费支出0万元，占0%；公务用车购置及运行维护费支出20.96万元，占100%；公务接待费支出0万元，占0%。具体情况如下：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因公出国（境）费支出0万元，共安排因公出国（境）团组0个，累计0人次。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100" w:beforeAutospacing="0" w:after="100" w:afterAutospacing="0" w:line="360" w:lineRule="auto"/>
        <w:ind w:left="600" w:leftChars="0" w:right="0" w:rightChars="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2. 公务用车购置及运行维护费支出20.96万元。其中：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公务用车购置支出20.96万元，购置车辆1辆，在编车辆1辆。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3.公务接待费支出0万元。其中：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国内接待费支出0万元（其中：外事接待费支出0万元），共安排国内公务接待0批次（其中：外事接待0批次），接待人次0人（其中：外事接待人次0人）。主要用于0（相关工作，产生的接待批次及人次等）发生的接待支出。</w:t>
      </w:r>
    </w:p>
    <w:p>
      <w:pPr>
        <w:pStyle w:val="2"/>
        <w:keepNext w:val="0"/>
        <w:keepLines w:val="0"/>
        <w:widowControl/>
        <w:suppressLineNumbers w:val="0"/>
        <w:spacing w:before="100" w:beforeAutospacing="0" w:after="100" w:afterAutospacing="0" w:line="360" w:lineRule="auto"/>
        <w:ind w:left="0" w:firstLine="600"/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楷体" w:hAnsi="楷体" w:eastAsia="楷体"/>
          <w:color w:val="auto"/>
          <w:kern w:val="2"/>
          <w:sz w:val="30"/>
          <w:szCs w:val="30"/>
          <w:lang w:val="en-US" w:eastAsia="zh-CN" w:bidi="ar-SA"/>
        </w:rPr>
        <w:t>国（境）外接待费支出0万元，共安排国（境）外公务接待0批次，接待人次0人。主要用于0（相关工作，产生的接待批次及人次等）发生的接待支出。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645237"/>
    <w:multiLevelType w:val="multilevel"/>
    <w:tmpl w:val="AC64523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5DAACC83"/>
    <w:multiLevelType w:val="singleLevel"/>
    <w:tmpl w:val="5DAACC8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276E7"/>
    <w:rsid w:val="6A92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44444"/>
      <w:u w:val="none"/>
    </w:rPr>
  </w:style>
  <w:style w:type="character" w:styleId="6">
    <w:name w:val="Hyperlink"/>
    <w:basedOn w:val="4"/>
    <w:uiPriority w:val="0"/>
    <w:rPr>
      <w:color w:val="444444"/>
      <w:u w:val="none"/>
    </w:rPr>
  </w:style>
  <w:style w:type="character" w:customStyle="1" w:styleId="7">
    <w:name w:val="disabled"/>
    <w:basedOn w:val="4"/>
    <w:uiPriority w:val="0"/>
    <w:rPr>
      <w:color w:val="CCCCCC"/>
      <w:bdr w:val="single" w:color="F3F3F3" w:sz="4" w:space="0"/>
    </w:rPr>
  </w:style>
  <w:style w:type="character" w:customStyle="1" w:styleId="8">
    <w:name w:val="current"/>
    <w:basedOn w:val="4"/>
    <w:uiPriority w:val="0"/>
    <w:rPr>
      <w:color w:val="FFFFFF"/>
      <w:bdr w:val="single" w:color="0A27AE" w:sz="4" w:space="0"/>
      <w:shd w:val="clear" w:fill="387DDC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2020-01-06T06:40:00Z</dcterms:created>
  <dc:creator>胡</dc:creator>
  <cp:lastModifiedBy>胡</cp:lastModifiedBy>
  <dcterms:modified xsi:type="dcterms:W3CDTF">2020-01-06T06:50:11Z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