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pBdr>
          <w:top w:val="none" w:color="auto" w:sz="0" w:space="0"/>
          <w:left w:val="none" w:color="auto" w:sz="0" w:space="0"/>
          <w:bottom w:val="none" w:color="auto" w:sz="0" w:space="0"/>
          <w:right w:val="none" w:color="auto" w:sz="0" w:space="0"/>
        </w:pBdr>
        <w:ind w:left="0" w:firstLine="0"/>
        <w:jc w:val="center"/>
        <w:rPr>
          <w:rStyle w:val="6"/>
          <w:rFonts w:hint="eastAsia" w:ascii="方正小标宋简体" w:hAnsi="方正小标宋简体" w:eastAsia="方正小标宋简体" w:cs="方正小标宋简体"/>
          <w:b w:val="0"/>
          <w:bCs/>
          <w:i w:val="0"/>
          <w:caps w:val="0"/>
          <w:color w:val="606060"/>
          <w:spacing w:val="8"/>
          <w:sz w:val="44"/>
          <w:szCs w:val="44"/>
        </w:rPr>
      </w:pPr>
      <w:r>
        <w:rPr>
          <w:rStyle w:val="6"/>
          <w:rFonts w:hint="eastAsia" w:ascii="方正小标宋简体" w:hAnsi="方正小标宋简体" w:eastAsia="方正小标宋简体" w:cs="方正小标宋简体"/>
          <w:b w:val="0"/>
          <w:bCs/>
          <w:i w:val="0"/>
          <w:caps w:val="0"/>
          <w:color w:val="606060"/>
          <w:spacing w:val="8"/>
          <w:sz w:val="44"/>
          <w:szCs w:val="44"/>
          <w:lang w:eastAsia="zh-CN"/>
        </w:rPr>
        <w:t>双龙街道</w:t>
      </w:r>
      <w:r>
        <w:rPr>
          <w:rStyle w:val="6"/>
          <w:rFonts w:hint="eastAsia" w:ascii="方正小标宋简体" w:hAnsi="方正小标宋简体" w:eastAsia="方正小标宋简体" w:cs="方正小标宋简体"/>
          <w:b w:val="0"/>
          <w:bCs/>
          <w:i w:val="0"/>
          <w:caps w:val="0"/>
          <w:color w:val="606060"/>
          <w:spacing w:val="8"/>
          <w:sz w:val="44"/>
          <w:szCs w:val="44"/>
          <w:lang w:val="en-US" w:eastAsia="zh-CN"/>
        </w:rPr>
        <w:t>2019年</w:t>
      </w:r>
      <w:r>
        <w:rPr>
          <w:rStyle w:val="6"/>
          <w:rFonts w:hint="eastAsia" w:ascii="方正小标宋简体" w:hAnsi="方正小标宋简体" w:eastAsia="方正小标宋简体" w:cs="方正小标宋简体"/>
          <w:b w:val="0"/>
          <w:bCs/>
          <w:i w:val="0"/>
          <w:caps w:val="0"/>
          <w:color w:val="606060"/>
          <w:spacing w:val="8"/>
          <w:sz w:val="44"/>
          <w:szCs w:val="44"/>
        </w:rPr>
        <w:t>政府信息公开工作</w:t>
      </w:r>
    </w:p>
    <w:p>
      <w:pPr>
        <w:pStyle w:val="4"/>
        <w:widowControl/>
        <w:pBdr>
          <w:top w:val="none" w:color="auto" w:sz="0" w:space="0"/>
          <w:left w:val="none" w:color="auto" w:sz="0" w:space="0"/>
          <w:bottom w:val="none" w:color="auto" w:sz="0" w:space="0"/>
          <w:right w:val="none" w:color="auto" w:sz="0" w:space="0"/>
        </w:pBdr>
        <w:ind w:left="0" w:firstLine="0"/>
        <w:jc w:val="center"/>
        <w:rPr>
          <w:rFonts w:hint="eastAsia" w:ascii="方正小标宋简体" w:hAnsi="方正小标宋简体" w:eastAsia="方正小标宋简体" w:cs="方正小标宋简体"/>
          <w:b w:val="0"/>
          <w:bCs/>
          <w:i w:val="0"/>
          <w:caps w:val="0"/>
          <w:color w:val="606060"/>
          <w:spacing w:val="8"/>
          <w:sz w:val="44"/>
          <w:szCs w:val="44"/>
        </w:rPr>
      </w:pPr>
      <w:r>
        <w:rPr>
          <w:rStyle w:val="6"/>
          <w:rFonts w:hint="eastAsia" w:ascii="方正小标宋简体" w:hAnsi="方正小标宋简体" w:eastAsia="方正小标宋简体" w:cs="方正小标宋简体"/>
          <w:b w:val="0"/>
          <w:bCs/>
          <w:i w:val="0"/>
          <w:caps w:val="0"/>
          <w:color w:val="606060"/>
          <w:spacing w:val="8"/>
          <w:sz w:val="44"/>
          <w:szCs w:val="44"/>
        </w:rPr>
        <w:t>年度报告</w:t>
      </w:r>
    </w:p>
    <w:p>
      <w:pPr>
        <w:pStyle w:val="4"/>
        <w:shd w:val="clear" w:color="auto" w:fill="FFFFFF"/>
        <w:spacing w:before="0" w:beforeAutospacing="0" w:after="0" w:afterAutospacing="0"/>
        <w:ind w:firstLine="640"/>
        <w:jc w:val="both"/>
        <w:rPr>
          <w:rFonts w:hint="eastAsia" w:ascii="仿宋_GB2312" w:hAnsi="仿宋_GB2312" w:eastAsia="仿宋_GB2312" w:cs="仿宋_GB2312"/>
          <w:b w:val="0"/>
          <w:i w:val="0"/>
          <w:caps w:val="0"/>
          <w:color w:val="606060"/>
          <w:spacing w:val="8"/>
          <w:sz w:val="32"/>
          <w:szCs w:val="32"/>
        </w:rPr>
      </w:pPr>
      <w:r>
        <w:rPr>
          <w:rFonts w:ascii="仿宋_GB2312" w:eastAsia="仿宋_GB2312" w:cs="仿宋_GB2312"/>
          <w:kern w:val="2"/>
          <w:sz w:val="32"/>
          <w:szCs w:val="32"/>
          <w:lang w:val="zh-CN"/>
        </w:rPr>
        <w:t>本年度报告根据《中华人民共和国政府信息公开条例》（以下简称《</w:t>
      </w:r>
      <w:r>
        <w:rPr>
          <w:rFonts w:hint="eastAsia" w:ascii="仿宋_GB2312" w:eastAsia="仿宋_GB2312" w:cs="仿宋_GB2312"/>
          <w:kern w:val="2"/>
          <w:sz w:val="32"/>
          <w:szCs w:val="32"/>
          <w:lang w:val="zh-CN"/>
        </w:rPr>
        <w:t>政府信息公开</w:t>
      </w:r>
      <w:r>
        <w:rPr>
          <w:rFonts w:ascii="仿宋_GB2312" w:eastAsia="仿宋_GB2312" w:cs="仿宋_GB2312"/>
          <w:kern w:val="2"/>
          <w:sz w:val="32"/>
          <w:szCs w:val="32"/>
          <w:lang w:val="zh-CN"/>
        </w:rPr>
        <w:t>条例》）和</w:t>
      </w:r>
      <w:r>
        <w:rPr>
          <w:rFonts w:hint="eastAsia" w:eastAsia="仿宋_GB2312"/>
          <w:sz w:val="32"/>
          <w:szCs w:val="32"/>
        </w:rPr>
        <w:t>昆明市人民政府办公室《关于做好2019年度政府信息公开工作年度报告编制工作的通知》相关工作要求</w:t>
      </w:r>
      <w:r>
        <w:rPr>
          <w:rFonts w:ascii="仿宋_GB2312" w:eastAsia="仿宋_GB2312" w:cs="仿宋_GB2312"/>
          <w:kern w:val="2"/>
          <w:sz w:val="32"/>
          <w:szCs w:val="32"/>
          <w:lang w:val="zh-CN"/>
        </w:rPr>
        <w:t>，</w:t>
      </w:r>
      <w:r>
        <w:rPr>
          <w:rFonts w:hint="eastAsia" w:eastAsia="仿宋_GB2312"/>
          <w:sz w:val="32"/>
          <w:szCs w:val="32"/>
          <w:lang w:val="zh-CN"/>
        </w:rPr>
        <w:t>由盘龙区政府政务公开工作领导小组办公室综合</w:t>
      </w:r>
      <w:r>
        <w:rPr>
          <w:rFonts w:ascii="仿宋_GB2312" w:eastAsia="仿宋_GB2312" w:cs="仿宋_GB2312"/>
          <w:kern w:val="2"/>
          <w:sz w:val="32"/>
          <w:szCs w:val="32"/>
          <w:lang w:val="zh-CN"/>
        </w:rPr>
        <w:t>区属各责任单位政府信息公开年度报告编制而成。全文包括</w:t>
      </w:r>
      <w:r>
        <w:rPr>
          <w:rFonts w:hint="eastAsia" w:ascii="仿宋_GB2312" w:eastAsia="仿宋_GB2312" w:cs="仿宋_GB2312"/>
          <w:kern w:val="2"/>
          <w:sz w:val="32"/>
          <w:szCs w:val="32"/>
        </w:rPr>
        <w:t>总体情况、</w:t>
      </w:r>
      <w:r>
        <w:rPr>
          <w:rFonts w:ascii="仿宋_GB2312" w:eastAsia="仿宋_GB2312" w:cs="仿宋_GB2312"/>
          <w:kern w:val="2"/>
          <w:sz w:val="32"/>
          <w:szCs w:val="32"/>
          <w:lang w:val="zh-CN"/>
        </w:rPr>
        <w:t>主动公开政府信息情况</w:t>
      </w:r>
      <w:r>
        <w:rPr>
          <w:rFonts w:hint="eastAsia" w:ascii="仿宋_GB2312" w:eastAsia="仿宋_GB2312" w:cs="仿宋_GB2312"/>
          <w:kern w:val="2"/>
          <w:sz w:val="32"/>
          <w:szCs w:val="32"/>
          <w:lang w:val="zh-CN"/>
        </w:rPr>
        <w:t>、</w:t>
      </w:r>
      <w:r>
        <w:rPr>
          <w:rFonts w:hint="eastAsia" w:ascii="仿宋_GB2312" w:eastAsia="仿宋_GB2312" w:cs="仿宋_GB2312"/>
          <w:kern w:val="2"/>
          <w:sz w:val="32"/>
          <w:szCs w:val="32"/>
        </w:rPr>
        <w:t>收到和处理政府信息公开申请情况、因政府信息公开工作被申请行政复议提起行政诉讼情况、</w:t>
      </w:r>
      <w:r>
        <w:rPr>
          <w:rFonts w:ascii="仿宋_GB2312" w:eastAsia="仿宋_GB2312" w:cs="仿宋_GB2312"/>
          <w:kern w:val="2"/>
          <w:sz w:val="32"/>
          <w:szCs w:val="32"/>
          <w:lang w:val="zh-CN"/>
        </w:rPr>
        <w:t>存在的问题和改进</w:t>
      </w:r>
      <w:r>
        <w:rPr>
          <w:rFonts w:hint="eastAsia" w:ascii="仿宋_GB2312" w:eastAsia="仿宋_GB2312" w:cs="仿宋_GB2312"/>
          <w:kern w:val="2"/>
          <w:sz w:val="32"/>
          <w:szCs w:val="32"/>
        </w:rPr>
        <w:t>情况，</w:t>
      </w:r>
      <w:r>
        <w:rPr>
          <w:rFonts w:hint="eastAsia" w:ascii="仿宋_GB2312" w:eastAsia="仿宋_GB2312" w:cs="仿宋_GB2312"/>
          <w:kern w:val="2"/>
          <w:sz w:val="32"/>
          <w:szCs w:val="32"/>
          <w:lang w:val="zh-CN"/>
        </w:rPr>
        <w:t>以及</w:t>
      </w:r>
      <w:r>
        <w:rPr>
          <w:rFonts w:ascii="仿宋_GB2312" w:eastAsia="仿宋_GB2312" w:cs="仿宋_GB2312"/>
          <w:kern w:val="2"/>
          <w:sz w:val="32"/>
          <w:szCs w:val="32"/>
          <w:lang w:val="zh-CN"/>
        </w:rPr>
        <w:t>需要说明的其他事项等部分组成。报告中所列数据的统计期限自201</w:t>
      </w:r>
      <w:r>
        <w:rPr>
          <w:rFonts w:hint="eastAsia" w:ascii="仿宋_GB2312" w:eastAsia="仿宋_GB2312" w:cs="仿宋_GB2312"/>
          <w:kern w:val="2"/>
          <w:sz w:val="32"/>
          <w:szCs w:val="32"/>
        </w:rPr>
        <w:t>9</w:t>
      </w:r>
      <w:r>
        <w:rPr>
          <w:rFonts w:ascii="仿宋_GB2312" w:eastAsia="仿宋_GB2312" w:cs="仿宋_GB2312"/>
          <w:kern w:val="2"/>
          <w:sz w:val="32"/>
          <w:szCs w:val="32"/>
          <w:lang w:val="zh-CN"/>
        </w:rPr>
        <w:t>年1月1日起至201</w:t>
      </w:r>
      <w:r>
        <w:rPr>
          <w:rFonts w:hint="eastAsia" w:ascii="仿宋_GB2312" w:eastAsia="仿宋_GB2312" w:cs="仿宋_GB2312"/>
          <w:kern w:val="2"/>
          <w:sz w:val="32"/>
          <w:szCs w:val="32"/>
        </w:rPr>
        <w:t>9</w:t>
      </w:r>
      <w:r>
        <w:rPr>
          <w:rFonts w:ascii="仿宋_GB2312" w:eastAsia="仿宋_GB2312" w:cs="仿宋_GB2312"/>
          <w:kern w:val="2"/>
          <w:sz w:val="32"/>
          <w:szCs w:val="32"/>
          <w:lang w:val="zh-CN"/>
        </w:rPr>
        <w:t>年12月31日止。本报告在昆明市盘龙区人民政府网站</w:t>
      </w:r>
      <w:r>
        <w:rPr>
          <w:rFonts w:hint="eastAsia" w:ascii="仿宋_GB2312" w:eastAsia="仿宋_GB2312" w:cs="仿宋_GB2312"/>
          <w:kern w:val="2"/>
          <w:sz w:val="32"/>
          <w:szCs w:val="32"/>
          <w:lang w:val="zh-CN"/>
        </w:rPr>
        <w:t>政府</w:t>
      </w:r>
      <w:r>
        <w:rPr>
          <w:rFonts w:ascii="仿宋_GB2312" w:eastAsia="仿宋_GB2312" w:cs="仿宋_GB2312"/>
          <w:kern w:val="2"/>
          <w:sz w:val="32"/>
          <w:szCs w:val="32"/>
          <w:lang w:val="zh-CN"/>
        </w:rPr>
        <w:t>信息公开年度报告栏目全文公布，欢迎查阅</w:t>
      </w:r>
      <w:r>
        <w:rPr>
          <w:rFonts w:hint="eastAsia" w:ascii="仿宋_GB2312" w:eastAsia="仿宋_GB2312" w:cs="仿宋_GB2312"/>
          <w:kern w:val="2"/>
          <w:sz w:val="32"/>
          <w:szCs w:val="32"/>
          <w:u w:val="single"/>
          <w:lang w:val="zh-CN"/>
        </w:rPr>
        <w:t>(</w:t>
      </w:r>
      <w:r>
        <w:rPr>
          <w:rFonts w:ascii="仿宋_GB2312" w:eastAsia="仿宋_GB2312" w:cs="仿宋_GB2312"/>
          <w:color w:val="000000"/>
          <w:sz w:val="32"/>
          <w:szCs w:val="32"/>
          <w:u w:val="single"/>
          <w:shd w:val="clear" w:color="auto" w:fill="FFFFFF"/>
        </w:rPr>
        <w:t>盘龙区人民政府网站</w:t>
      </w:r>
      <w:r>
        <w:rPr>
          <w:color w:val="333333"/>
          <w:sz w:val="32"/>
          <w:szCs w:val="32"/>
          <w:u w:val="single"/>
          <w:shd w:val="clear" w:color="auto" w:fill="FFFFFF"/>
        </w:rPr>
        <w:t>http://</w:t>
      </w:r>
      <w:r>
        <w:rPr>
          <w:rFonts w:hint="eastAsia"/>
          <w:color w:val="333333"/>
          <w:sz w:val="32"/>
          <w:szCs w:val="32"/>
          <w:u w:val="single"/>
          <w:shd w:val="clear" w:color="auto" w:fill="FFFFFF"/>
        </w:rPr>
        <w:t>kmpl.</w:t>
      </w:r>
      <w:r>
        <w:rPr>
          <w:color w:val="333333"/>
          <w:sz w:val="32"/>
          <w:szCs w:val="32"/>
          <w:u w:val="single"/>
          <w:shd w:val="clear" w:color="auto" w:fill="FFFFFF"/>
        </w:rPr>
        <w:t>gov.cn</w:t>
      </w:r>
      <w:r>
        <w:rPr>
          <w:rFonts w:hint="eastAsia"/>
          <w:color w:val="333333"/>
          <w:sz w:val="32"/>
          <w:szCs w:val="32"/>
          <w:u w:val="single"/>
          <w:shd w:val="clear" w:color="auto" w:fill="FFFFFF"/>
        </w:rPr>
        <w:t>)</w:t>
      </w:r>
      <w:r>
        <w:rPr>
          <w:rFonts w:ascii="仿宋_GB2312" w:eastAsia="仿宋_GB2312" w:cs="仿宋_GB2312"/>
          <w:kern w:val="2"/>
          <w:sz w:val="32"/>
          <w:szCs w:val="32"/>
          <w:lang w:val="zh-CN"/>
        </w:rPr>
        <w:t>。如对本报告有疑问，可与盘龙区</w:t>
      </w:r>
      <w:r>
        <w:rPr>
          <w:rFonts w:hint="eastAsia" w:ascii="仿宋_GB2312" w:eastAsia="仿宋_GB2312" w:cs="仿宋_GB2312"/>
          <w:kern w:val="2"/>
          <w:sz w:val="32"/>
          <w:szCs w:val="32"/>
          <w:lang w:val="zh-CN"/>
        </w:rPr>
        <w:t>人民政府双龙街道办事处党政综合办公室</w:t>
      </w:r>
      <w:r>
        <w:rPr>
          <w:rFonts w:ascii="仿宋_GB2312" w:eastAsia="仿宋_GB2312" w:cs="仿宋_GB2312"/>
          <w:kern w:val="2"/>
          <w:sz w:val="32"/>
          <w:szCs w:val="32"/>
          <w:lang w:val="zh-CN"/>
        </w:rPr>
        <w:t>联系（地址：</w:t>
      </w:r>
      <w:r>
        <w:rPr>
          <w:rFonts w:hint="eastAsia" w:ascii="仿宋_GB2312" w:eastAsia="仿宋_GB2312" w:cs="仿宋_GB2312"/>
          <w:kern w:val="2"/>
          <w:sz w:val="32"/>
          <w:szCs w:val="32"/>
          <w:lang w:val="zh-CN"/>
        </w:rPr>
        <w:t>昆明市盘龙区双龙街道办事处金浑公路319号</w:t>
      </w:r>
      <w:r>
        <w:rPr>
          <w:rFonts w:hint="eastAsia" w:ascii="仿宋_GB2312" w:eastAsia="仿宋_GB2312" w:cs="仿宋_GB2312"/>
          <w:kern w:val="2"/>
          <w:sz w:val="32"/>
          <w:szCs w:val="32"/>
          <w:lang w:val="en-US" w:eastAsia="zh-CN"/>
        </w:rPr>
        <w:t>1栋211室</w:t>
      </w:r>
      <w:r>
        <w:rPr>
          <w:rFonts w:ascii="仿宋_GB2312" w:eastAsia="仿宋_GB2312" w:cs="仿宋_GB2312"/>
          <w:kern w:val="2"/>
          <w:sz w:val="32"/>
          <w:szCs w:val="32"/>
          <w:lang w:val="zh-CN"/>
        </w:rPr>
        <w:t>；办公时间：上午9:00-下午17:00，工作日：周一至周五，法定节假日除外；联系电话</w:t>
      </w:r>
      <w:r>
        <w:rPr>
          <w:rFonts w:hint="eastAsia" w:ascii="仿宋_GB2312" w:eastAsia="仿宋_GB2312" w:cs="仿宋_GB2312"/>
          <w:kern w:val="2"/>
          <w:sz w:val="32"/>
          <w:szCs w:val="32"/>
          <w:lang w:val="zh-CN"/>
        </w:rPr>
        <w:t>（传真）</w:t>
      </w:r>
      <w:r>
        <w:rPr>
          <w:rFonts w:ascii="仿宋_GB2312" w:eastAsia="仿宋_GB2312" w:cs="仿宋_GB2312"/>
          <w:kern w:val="2"/>
          <w:sz w:val="32"/>
          <w:szCs w:val="32"/>
          <w:lang w:val="zh-CN"/>
        </w:rPr>
        <w:t>：0871-6</w:t>
      </w:r>
      <w:r>
        <w:rPr>
          <w:rFonts w:hint="eastAsia" w:ascii="仿宋_GB2312" w:eastAsia="仿宋_GB2312" w:cs="仿宋_GB2312"/>
          <w:kern w:val="2"/>
          <w:sz w:val="32"/>
          <w:szCs w:val="32"/>
          <w:lang w:val="en-US" w:eastAsia="zh-CN"/>
        </w:rPr>
        <w:t>7339039</w:t>
      </w:r>
      <w:r>
        <w:rPr>
          <w:rFonts w:ascii="仿宋_GB2312" w:eastAsia="仿宋_GB2312" w:cs="仿宋_GB2312"/>
          <w:kern w:val="2"/>
          <w:sz w:val="32"/>
          <w:szCs w:val="32"/>
          <w:lang w:val="zh-CN"/>
        </w:rPr>
        <w:t>；邮政编码：6502</w:t>
      </w:r>
      <w:r>
        <w:rPr>
          <w:rFonts w:hint="eastAsia" w:ascii="仿宋_GB2312" w:eastAsia="仿宋_GB2312" w:cs="仿宋_GB2312"/>
          <w:kern w:val="2"/>
          <w:sz w:val="32"/>
          <w:szCs w:val="32"/>
          <w:lang w:val="en-US" w:eastAsia="zh-CN"/>
        </w:rPr>
        <w:t>24</w:t>
      </w:r>
      <w:r>
        <w:rPr>
          <w:rFonts w:ascii="仿宋_GB2312" w:eastAsia="仿宋_GB2312" w:cs="仿宋_GB2312"/>
          <w:kern w:val="2"/>
          <w:sz w:val="32"/>
          <w:szCs w:val="32"/>
          <w:lang w:val="zh-CN"/>
        </w:rPr>
        <w:t>。</w:t>
      </w:r>
      <w:bookmarkStart w:id="0" w:name="_GoBack"/>
      <w:bookmarkEnd w:id="0"/>
    </w:p>
    <w:p>
      <w:pPr>
        <w:pStyle w:val="4"/>
        <w:shd w:val="clear" w:color="auto" w:fill="FFFFFF"/>
        <w:spacing w:before="0" w:beforeAutospacing="0" w:after="0" w:afterAutospacing="0"/>
        <w:ind w:firstLine="640"/>
        <w:jc w:val="left"/>
        <w:rPr>
          <w:rFonts w:hint="eastAsia" w:ascii="黑体" w:hAnsi="黑体" w:eastAsia="黑体" w:cs="黑体"/>
          <w:kern w:val="2"/>
          <w:sz w:val="32"/>
          <w:szCs w:val="32"/>
          <w:lang w:val="zh-CN"/>
        </w:rPr>
      </w:pPr>
      <w:r>
        <w:rPr>
          <w:rFonts w:hint="eastAsia" w:ascii="黑体" w:hAnsi="黑体" w:eastAsia="黑体" w:cs="黑体"/>
          <w:kern w:val="2"/>
          <w:sz w:val="32"/>
          <w:szCs w:val="32"/>
          <w:lang w:val="en-US" w:eastAsia="zh-CN"/>
        </w:rPr>
        <w:t>一、总体情况</w:t>
      </w:r>
    </w:p>
    <w:p>
      <w:pPr>
        <w:pStyle w:val="4"/>
        <w:shd w:val="clear" w:color="auto" w:fill="FFFFFF"/>
        <w:spacing w:before="0" w:beforeAutospacing="0" w:after="0" w:afterAutospacing="0"/>
        <w:ind w:firstLine="640"/>
        <w:jc w:val="left"/>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2019年双龙街道政府信息公开工作在盘龙区政府的领导下，认真贯彻落实《中华人民共和国政府信息公开条例》，坚持以公开为常态、不公开为例外，遵循公正、公平、合法、便民的原则，及时、准确的公开政府信息。</w:t>
      </w:r>
    </w:p>
    <w:p>
      <w:pPr>
        <w:pStyle w:val="4"/>
        <w:shd w:val="clear" w:color="auto" w:fill="FFFFFF"/>
        <w:spacing w:before="0" w:beforeAutospacing="0" w:after="0" w:afterAutospacing="0"/>
        <w:jc w:val="left"/>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 xml:space="preserve">    （一）主动公开政府信息：一是发布街道工作动态，2019年</w:t>
      </w:r>
      <w:r>
        <w:rPr>
          <w:rFonts w:hint="eastAsia" w:ascii="仿宋_GB2312" w:eastAsia="仿宋_GB2312" w:cs="仿宋_GB2312"/>
          <w:kern w:val="2"/>
          <w:sz w:val="32"/>
          <w:szCs w:val="32"/>
          <w:lang w:val="zh-CN"/>
        </w:rPr>
        <w:t>主动公开</w:t>
      </w:r>
      <w:r>
        <w:rPr>
          <w:rFonts w:hint="eastAsia" w:ascii="仿宋_GB2312" w:eastAsia="仿宋_GB2312" w:cs="仿宋_GB2312"/>
          <w:kern w:val="2"/>
          <w:sz w:val="32"/>
          <w:szCs w:val="32"/>
          <w:lang w:val="zh-CN" w:eastAsia="zh-CN"/>
        </w:rPr>
        <w:t>双龙街道办事处政府信息</w:t>
      </w:r>
      <w:r>
        <w:rPr>
          <w:rFonts w:hint="eastAsia" w:ascii="仿宋_GB2312" w:eastAsia="仿宋_GB2312" w:cs="仿宋_GB2312"/>
          <w:kern w:val="2"/>
          <w:sz w:val="32"/>
          <w:szCs w:val="32"/>
          <w:lang w:val="en-US" w:eastAsia="zh-CN"/>
        </w:rPr>
        <w:t>259篇，其中云南省政府重要事项通报双龙街道网页发布信息77篇，云南省政府重要事项公示双龙街道网页发布公示24篇，云南省政府重要事项听证办理1件，发布听证公告3个；昆明信息港双龙街道网页发布信息公开年度报告3篇，街道动态信息27篇，财政预决算信息5篇，双龙街道办事处工作动态信息107篇，通知公告9篇，公开指南4篇。二是</w:t>
      </w:r>
      <w:r>
        <w:rPr>
          <w:rFonts w:hint="eastAsia" w:ascii="仿宋_GB2312" w:eastAsia="仿宋_GB2312" w:cs="仿宋_GB2312"/>
          <w:kern w:val="2"/>
          <w:sz w:val="32"/>
          <w:szCs w:val="32"/>
          <w:lang w:val="zh-CN" w:eastAsia="zh-CN"/>
        </w:rPr>
        <w:t>加大人大代表建议、政协提案办理结果公开力度。今年双龙街道办理人大代表建议3件，建议涉及麦冲、庄房社区办公用房修建，三十亩、箱子庄、大摆、小石桥四个村组安装太阳能路灯事项，街道进行了认真办理和回复，办件中满意2件，基本满意1件，并按区政府的安排在盘龙区门户网站对办件情况进行了公开。办理政协盘龙区九届三次会议提案</w:t>
      </w:r>
      <w:r>
        <w:rPr>
          <w:rFonts w:hint="eastAsia" w:ascii="仿宋_GB2312" w:eastAsia="仿宋_GB2312" w:cs="仿宋_GB2312"/>
          <w:kern w:val="2"/>
          <w:sz w:val="32"/>
          <w:szCs w:val="32"/>
          <w:lang w:val="en-US" w:eastAsia="zh-CN"/>
        </w:rPr>
        <w:t>1件，建议涉及打造大健康产业康体设施示范项目，街道进行了认真调研并进行了面商答复，政协委员对街道办理表示满意。</w:t>
      </w:r>
    </w:p>
    <w:p>
      <w:pPr>
        <w:pStyle w:val="4"/>
        <w:shd w:val="clear" w:color="auto" w:fill="FFFFFF"/>
        <w:spacing w:before="0" w:beforeAutospacing="0" w:after="0" w:afterAutospacing="0"/>
        <w:ind w:firstLine="640"/>
        <w:jc w:val="left"/>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二）做好依申请公开：一是严格按照区委、区政府办公室的工作安排开展政府信息依申请公开工作。按照《中华人民共和国政府信息公开条例》和《云南省政府信息公开规定》的要求，制定了《昆明市盘龙区双龙街道办事处政务信息公开指南》，对受理申请的机构、申请的形式、申请的处理、依申请公开信息的项目和标准、监督方式及程序等进行详细的说明，及时更新了发生变动的项目，方便群众申请办理依申请公开件。二是规范有序的接收办理政府信息依申请公开申请，更好的满足社会工作信息需求。针对依申请公开存在的问题，梳理申请受理、办理、答复各环节突出问题，加强案例研究分析，每个工作日登陆96128平台查看是否有依申请公开件，2019年双龙街道办事处没有收到依申请公开件。</w:t>
      </w:r>
    </w:p>
    <w:p>
      <w:pPr>
        <w:pStyle w:val="4"/>
        <w:shd w:val="clear" w:color="auto" w:fill="FFFFFF"/>
        <w:spacing w:before="0" w:beforeAutospacing="0" w:after="0" w:afterAutospacing="0"/>
        <w:ind w:firstLine="640"/>
        <w:jc w:val="left"/>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（三）加强</w:t>
      </w:r>
      <w:r>
        <w:rPr>
          <w:rFonts w:hint="eastAsia" w:ascii="仿宋_GB2312" w:eastAsia="仿宋_GB2312" w:cs="仿宋_GB2312"/>
          <w:kern w:val="2"/>
          <w:sz w:val="32"/>
          <w:szCs w:val="32"/>
          <w:lang w:val="zh-CN"/>
        </w:rPr>
        <w:t>政府信息管理</w:t>
      </w:r>
      <w:r>
        <w:rPr>
          <w:rFonts w:hint="eastAsia" w:ascii="仿宋_GB2312" w:eastAsia="仿宋_GB2312" w:cs="仿宋_GB2312"/>
          <w:kern w:val="2"/>
          <w:sz w:val="32"/>
          <w:szCs w:val="32"/>
          <w:lang w:val="zh-CN" w:eastAsia="zh-CN"/>
        </w:rPr>
        <w:t>：一是</w:t>
      </w:r>
      <w:r>
        <w:rPr>
          <w:rFonts w:hint="eastAsia" w:ascii="仿宋_GB2312" w:eastAsia="仿宋_GB2312" w:cs="仿宋_GB2312"/>
          <w:kern w:val="2"/>
          <w:sz w:val="32"/>
          <w:szCs w:val="32"/>
          <w:lang w:val="en-US" w:eastAsia="zh-CN"/>
        </w:rPr>
        <w:t>加强政府信息工作的领导，按照区政府办的工作安排，进一步理顺和完善领导体制和工作机制，推进政务公开和政府运行、业务管理的有机融合，把政务公开要求贯穿于办文办会办事等日常工作。按照政务公开新任务新要求新职责，结合政府机构改革和职能优化，确定由街道副主任负责领导街道政务公开工作，健全政务公开工作机构，落实政务公开职能部门为街道党政办，并配备专职工作人员1名负责具体工作。保障公民、法人和其他组织依法获取政府信息，提高政府工作的透明度，促进依法行政，充分发挥政府信息对人民群众生产、生活和经济社会活动的服务作用。二是做好政府信息发布前的保密审查工作，每条政府信息发布前，由街道门户网站管理人员进行信息文字审查，街道保密工作人员进行信息安全审查，最后由街道分管宣传工作的宣传委员再次审查后方进行发布，</w:t>
      </w:r>
      <w:r>
        <w:rPr>
          <w:rFonts w:hint="eastAsia" w:ascii="仿宋_GB2312" w:eastAsia="仿宋_GB2312" w:cs="仿宋_GB2312"/>
          <w:kern w:val="2"/>
          <w:sz w:val="32"/>
          <w:szCs w:val="32"/>
          <w:lang w:val="zh-CN" w:eastAsia="zh-CN"/>
        </w:rPr>
        <w:t>今年街道没有发生因政府信息公开不当引起的行政复议和行政诉讼。</w:t>
      </w:r>
      <w:r>
        <w:rPr>
          <w:rFonts w:hint="eastAsia" w:ascii="仿宋_GB2312" w:eastAsia="仿宋_GB2312" w:cs="仿宋_GB2312"/>
          <w:kern w:val="2"/>
          <w:sz w:val="32"/>
          <w:szCs w:val="32"/>
          <w:lang w:val="en-US" w:eastAsia="zh-CN"/>
        </w:rPr>
        <w:t>三是街道制定了《盘龙区双龙街道办事处政府文件公开属性审查制度》，将街道公文的公开属性分为主动公开、依申请公开、免予公开三类，在街道公文产生的过程中同步确定其公开属性。四是建立健全政务公开中的政务舆情收集、研判、处置和回应机制，做好网络舆情监管。街道负责宣传工作的分管领导加入盘龙区舆情信息群，及时掌握舆情，对涉及双龙街道的网络舆情及时组织工作人员进行了处置。今年涉及双龙街道的网络舆情2件，均为环保问题，街道及时配合上级部门开展了事实调查处理，并将处置情况书面反馈区委宣传部。五是管理好群众诉求平台——市长热线平台和区政府电话热线系统，及时认真办理两个系统分发给双龙街道的办理件，2019年办理92件，其中热线平台受理交办件85件，办结85件；受理区长热线电话交办件7件，办结7件，及时有效的解决了投诉人提出的问题，维护好辖区的稳定发展。</w:t>
      </w:r>
    </w:p>
    <w:p>
      <w:pPr>
        <w:pStyle w:val="4"/>
        <w:shd w:val="clear" w:color="auto" w:fill="FFFFFF"/>
        <w:spacing w:before="0" w:beforeAutospacing="0" w:after="0" w:afterAutospacing="0"/>
        <w:ind w:firstLine="640"/>
        <w:jc w:val="left"/>
        <w:rPr>
          <w:rFonts w:hint="eastAsia" w:ascii="仿宋_GB2312" w:eastAsia="仿宋_GB2312" w:cs="仿宋_GB2312"/>
          <w:kern w:val="2"/>
          <w:sz w:val="32"/>
          <w:szCs w:val="32"/>
          <w:lang w:val="zh-CN"/>
        </w:rPr>
      </w:pPr>
      <w:r>
        <w:rPr>
          <w:rFonts w:hint="eastAsia" w:ascii="仿宋_GB2312" w:eastAsia="仿宋_GB2312" w:cs="仿宋_GB2312"/>
          <w:kern w:val="2"/>
          <w:sz w:val="32"/>
          <w:szCs w:val="32"/>
          <w:lang w:val="en-US" w:eastAsia="zh-CN"/>
        </w:rPr>
        <w:t>（四）</w:t>
      </w:r>
      <w:r>
        <w:rPr>
          <w:rFonts w:hint="eastAsia" w:ascii="仿宋_GB2312" w:eastAsia="仿宋_GB2312" w:cs="仿宋_GB2312"/>
          <w:kern w:val="2"/>
          <w:sz w:val="32"/>
          <w:szCs w:val="32"/>
          <w:lang w:val="zh-CN" w:eastAsia="zh-CN"/>
        </w:rPr>
        <w:t>推进</w:t>
      </w:r>
      <w:r>
        <w:rPr>
          <w:rFonts w:hint="eastAsia" w:ascii="仿宋_GB2312" w:eastAsia="仿宋_GB2312" w:cs="仿宋_GB2312"/>
          <w:kern w:val="2"/>
          <w:sz w:val="32"/>
          <w:szCs w:val="32"/>
          <w:lang w:val="zh-CN"/>
        </w:rPr>
        <w:t>平台建设</w:t>
      </w:r>
      <w:r>
        <w:rPr>
          <w:rFonts w:hint="eastAsia" w:ascii="仿宋_GB2312" w:eastAsia="仿宋_GB2312" w:cs="仿宋_GB2312"/>
          <w:kern w:val="2"/>
          <w:sz w:val="32"/>
          <w:szCs w:val="32"/>
          <w:lang w:val="zh-CN" w:eastAsia="zh-CN"/>
        </w:rPr>
        <w:t>：一是做好双龙街道办事处门户网页的信息更新工作。双龙街道办事处目前发布街道信息的平台有</w:t>
      </w:r>
      <w:r>
        <w:rPr>
          <w:rFonts w:hint="eastAsia" w:ascii="仿宋_GB2312" w:eastAsia="仿宋_GB2312" w:cs="仿宋_GB2312"/>
          <w:kern w:val="2"/>
          <w:sz w:val="32"/>
          <w:szCs w:val="32"/>
          <w:lang w:val="en-US" w:eastAsia="zh-CN"/>
        </w:rPr>
        <w:t>云南省政府重要事项通报双龙街道网页、云南省政府重要事项公示双龙街道网页、云南省政府重要事项听证双龙街道网页、昆明信息港双龙街道网页共四个网页。按照工作要求，每年在云南省政府重要事项听证双龙街道网页发布听证事项一件，每月在云南省政府重要事项通报双龙街道网页发布信息不低于6篇，在云南省政府重要事项公示双龙街道网页发布信息2篇，每周在昆明信息港双龙街道网页发布信息不低于2篇。二是积极参与政务新媒体健康有序发展建设，街道参加了区相关部门组织的政务新媒体队伍建设业务培训，并成立了新媒体工作站，社区成立了新媒体工作点，按时上报工作开展情况，配合区级部门拍摄了宣传片。</w:t>
      </w:r>
    </w:p>
    <w:p>
      <w:pPr>
        <w:pStyle w:val="4"/>
        <w:shd w:val="clear" w:color="auto" w:fill="FFFFFF"/>
        <w:spacing w:before="0" w:beforeAutospacing="0" w:after="0" w:afterAutospacing="0"/>
        <w:jc w:val="left"/>
        <w:rPr>
          <w:rFonts w:hint="eastAsia" w:ascii="仿宋_GB2312" w:eastAsia="仿宋_GB2312" w:cs="仿宋_GB2312"/>
          <w:kern w:val="2"/>
          <w:sz w:val="32"/>
          <w:szCs w:val="32"/>
          <w:lang w:val="zh-CN"/>
        </w:rPr>
      </w:pPr>
      <w:r>
        <w:rPr>
          <w:rFonts w:hint="eastAsia" w:ascii="仿宋_GB2312" w:eastAsia="仿宋_GB2312" w:cs="仿宋_GB2312"/>
          <w:kern w:val="2"/>
          <w:sz w:val="32"/>
          <w:szCs w:val="32"/>
          <w:lang w:val="en-US" w:eastAsia="zh-CN"/>
        </w:rPr>
        <w:t xml:space="preserve">    （五）</w:t>
      </w:r>
      <w:r>
        <w:rPr>
          <w:rFonts w:hint="eastAsia" w:ascii="仿宋_GB2312" w:eastAsia="仿宋_GB2312" w:cs="仿宋_GB2312"/>
          <w:kern w:val="2"/>
          <w:sz w:val="32"/>
          <w:szCs w:val="32"/>
          <w:lang w:val="zh-CN"/>
        </w:rPr>
        <w:t>监督保障</w:t>
      </w:r>
      <w:r>
        <w:rPr>
          <w:rFonts w:hint="eastAsia" w:ascii="仿宋_GB2312" w:eastAsia="仿宋_GB2312" w:cs="仿宋_GB2312"/>
          <w:kern w:val="2"/>
          <w:sz w:val="32"/>
          <w:szCs w:val="32"/>
          <w:lang w:val="zh-CN" w:eastAsia="zh-CN"/>
        </w:rPr>
        <w:t>：一是在区政府办的指导下开展信息公开工作，接受区政府办的监督，在上级部门聘请的第三方每季度进行的政府门户网站监督测评中，双龙街道全年没有发生抽检不合格，被通报整改的情况。二是推进重要部署执行公开，接受辖区群众的监督。街道将涉及民生的社保、民政、计生、教育、农房审批建设、社区、村组财务收支等重点事项在街道、社区、小组宣传栏进行政策文件、工作情况粘贴展示、享受政策人员名单进行公示，并在双龙街道门户网站、街道为民服务中心、社区为民服务站公布监督电话，接受群众监督举报，及时办理群众反映的问题。三是将政务信息公开工作纳入年终考核，定期检查工作开展情况，有计划分步骤完成了全年工作任务，在年终考核中工作自评为合格。四是认真参加区政府组织的业务培训，并将培训内容及时在街道组织的业务培训中传达。今年街道组织信息公开业务培训一次，培训街道办事处全体干部职工、四个社区工作人员八十余人。五是认真撰写信息公开年度工作报告，并于规定时间在规定的昆明信息港盘龙区网页政府信息公开年度报告栏目上发布。</w:t>
      </w:r>
    </w:p>
    <w:p>
      <w:pPr>
        <w:ind w:firstLine="640" w:firstLineChars="200"/>
        <w:rPr>
          <w:rFonts w:ascii="黑体" w:hAnsi="黑体" w:eastAsia="黑体"/>
          <w:sz w:val="32"/>
          <w:szCs w:val="32"/>
        </w:rPr>
      </w:pPr>
      <w:r>
        <w:rPr>
          <w:rFonts w:hint="eastAsia" w:ascii="黑体" w:hAnsi="黑体" w:eastAsia="黑体"/>
          <w:sz w:val="32"/>
          <w:szCs w:val="32"/>
        </w:rPr>
        <w:t>二、主动</w:t>
      </w:r>
      <w:r>
        <w:rPr>
          <w:rFonts w:hint="eastAsia" w:ascii="黑体" w:hAnsi="黑体" w:eastAsia="黑体"/>
          <w:sz w:val="32"/>
          <w:szCs w:val="32"/>
          <w:lang w:eastAsia="zh-CN"/>
        </w:rPr>
        <w:t>公开</w:t>
      </w:r>
      <w:r>
        <w:rPr>
          <w:rFonts w:hint="eastAsia" w:ascii="黑体" w:hAnsi="黑体" w:eastAsia="黑体"/>
          <w:sz w:val="32"/>
          <w:szCs w:val="32"/>
        </w:rPr>
        <w:t>政府信息情况</w:t>
      </w:r>
    </w:p>
    <w:tbl>
      <w:tblPr>
        <w:tblStyle w:val="8"/>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567"/>
        <w:gridCol w:w="1317"/>
        <w:gridCol w:w="951"/>
        <w:gridCol w:w="1180"/>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6"/>
            <w:shd w:val="clear" w:color="auto" w:fill="B8CCE4"/>
            <w:vAlign w:val="top"/>
          </w:tcPr>
          <w:p>
            <w:pPr>
              <w:jc w:val="center"/>
              <w:rPr>
                <w:rFonts w:hint="eastAsia" w:ascii="仿宋_GB2312" w:eastAsia="仿宋_GB2312"/>
              </w:rPr>
            </w:pPr>
            <w:r>
              <w:rPr>
                <w:rFonts w:hint="eastAsia" w:ascii="仿宋_GB2312" w:eastAsia="仿宋_GB2312"/>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2376"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信息内容</w:t>
            </w:r>
          </w:p>
        </w:tc>
        <w:tc>
          <w:tcPr>
            <w:tcW w:w="1884" w:type="dxa"/>
            <w:gridSpan w:val="2"/>
            <w:vAlign w:val="top"/>
          </w:tcPr>
          <w:p>
            <w:pPr>
              <w:jc w:val="center"/>
              <w:rPr>
                <w:rFonts w:hint="eastAsia" w:ascii="仿宋_GB2312" w:eastAsia="仿宋_GB2312"/>
              </w:rPr>
            </w:pPr>
            <w:r>
              <w:rPr>
                <w:rFonts w:hint="eastAsia" w:ascii="仿宋_GB2312" w:eastAsia="仿宋_GB2312"/>
              </w:rPr>
              <w:t>本年新</w:t>
            </w:r>
          </w:p>
          <w:p>
            <w:pPr>
              <w:jc w:val="center"/>
              <w:rPr>
                <w:rFonts w:hint="eastAsia" w:ascii="仿宋_GB2312" w:eastAsia="仿宋_GB2312"/>
              </w:rPr>
            </w:pPr>
            <w:r>
              <w:rPr>
                <w:rFonts w:hint="eastAsia" w:ascii="仿宋_GB2312" w:eastAsia="仿宋_GB2312"/>
              </w:rPr>
              <w:t>制作数量</w:t>
            </w:r>
          </w:p>
        </w:tc>
        <w:tc>
          <w:tcPr>
            <w:tcW w:w="2131" w:type="dxa"/>
            <w:gridSpan w:val="2"/>
            <w:vAlign w:val="top"/>
          </w:tcPr>
          <w:p>
            <w:pPr>
              <w:jc w:val="center"/>
              <w:rPr>
                <w:rFonts w:hint="eastAsia" w:ascii="仿宋_GB2312" w:eastAsia="仿宋_GB2312"/>
              </w:rPr>
            </w:pPr>
            <w:r>
              <w:rPr>
                <w:rFonts w:hint="eastAsia" w:ascii="仿宋_GB2312" w:eastAsia="仿宋_GB2312"/>
              </w:rPr>
              <w:t>本年新</w:t>
            </w:r>
          </w:p>
          <w:p>
            <w:pPr>
              <w:jc w:val="center"/>
              <w:rPr>
                <w:rFonts w:hint="eastAsia" w:ascii="仿宋_GB2312" w:eastAsia="仿宋_GB2312"/>
              </w:rPr>
            </w:pPr>
            <w:r>
              <w:rPr>
                <w:rFonts w:hint="eastAsia" w:ascii="仿宋_GB2312" w:eastAsia="仿宋_GB2312"/>
              </w:rPr>
              <w:t>公开数量</w:t>
            </w:r>
          </w:p>
        </w:tc>
        <w:tc>
          <w:tcPr>
            <w:tcW w:w="2131" w:type="dxa"/>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对外公开总数量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76" w:type="dxa"/>
            <w:vAlign w:val="top"/>
          </w:tcPr>
          <w:p>
            <w:pPr>
              <w:jc w:val="left"/>
              <w:rPr>
                <w:rFonts w:hint="eastAsia" w:ascii="仿宋_GB2312" w:eastAsia="仿宋_GB2312"/>
              </w:rPr>
            </w:pPr>
            <w:r>
              <w:rPr>
                <w:rFonts w:hint="eastAsia" w:ascii="仿宋_GB2312" w:eastAsia="仿宋_GB2312"/>
              </w:rPr>
              <w:t>规章</w:t>
            </w:r>
          </w:p>
        </w:tc>
        <w:tc>
          <w:tcPr>
            <w:tcW w:w="1884"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 xml:space="preserve">0 </w:t>
            </w:r>
          </w:p>
        </w:tc>
        <w:tc>
          <w:tcPr>
            <w:tcW w:w="2131"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 xml:space="preserve">   0 </w:t>
            </w:r>
          </w:p>
        </w:tc>
        <w:tc>
          <w:tcPr>
            <w:tcW w:w="2131" w:type="dxa"/>
            <w:vAlign w:val="top"/>
          </w:tcPr>
          <w:p>
            <w:pPr>
              <w:jc w:val="center"/>
              <w:rPr>
                <w:rFonts w:hint="eastAsia" w:ascii="仿宋_GB2312" w:eastAsia="仿宋_GB2312"/>
                <w:lang w:val="en-US" w:eastAsia="zh-CN"/>
              </w:rPr>
            </w:pPr>
            <w:r>
              <w:rPr>
                <w:rFonts w:hint="eastAsia" w:ascii="仿宋_GB2312" w:eastAsia="仿宋_GB2312"/>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76" w:type="dxa"/>
            <w:vAlign w:val="top"/>
          </w:tcPr>
          <w:p>
            <w:pPr>
              <w:jc w:val="left"/>
              <w:rPr>
                <w:rFonts w:hint="eastAsia" w:ascii="仿宋_GB2312" w:eastAsia="仿宋_GB2312"/>
              </w:rPr>
            </w:pPr>
            <w:r>
              <w:rPr>
                <w:rFonts w:hint="eastAsia" w:ascii="仿宋_GB2312" w:eastAsia="仿宋_GB2312"/>
              </w:rPr>
              <w:t>规范性文件</w:t>
            </w:r>
          </w:p>
        </w:tc>
        <w:tc>
          <w:tcPr>
            <w:tcW w:w="1884"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 xml:space="preserve"> 0</w:t>
            </w:r>
          </w:p>
        </w:tc>
        <w:tc>
          <w:tcPr>
            <w:tcW w:w="2131"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 xml:space="preserve"> 0</w:t>
            </w:r>
          </w:p>
        </w:tc>
        <w:tc>
          <w:tcPr>
            <w:tcW w:w="2131" w:type="dxa"/>
            <w:vAlign w:val="top"/>
          </w:tcPr>
          <w:p>
            <w:pPr>
              <w:jc w:val="center"/>
              <w:rPr>
                <w:rFonts w:hint="eastAsia" w:ascii="仿宋_GB2312" w:eastAsia="仿宋_GB2312"/>
                <w:lang w:val="en-US" w:eastAsia="zh-CN"/>
              </w:rPr>
            </w:pPr>
            <w:r>
              <w:rPr>
                <w:rFonts w:hint="eastAsia" w:ascii="仿宋_GB2312" w:eastAsia="仿宋_GB2312"/>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6"/>
            <w:shd w:val="clear" w:color="auto" w:fill="B8CCE4"/>
            <w:vAlign w:val="top"/>
          </w:tcPr>
          <w:p>
            <w:pPr>
              <w:jc w:val="center"/>
              <w:rPr>
                <w:rFonts w:hint="eastAsia" w:ascii="仿宋_GB2312" w:eastAsia="仿宋_GB2312"/>
              </w:rPr>
            </w:pPr>
            <w:r>
              <w:rPr>
                <w:rFonts w:hint="eastAsia" w:ascii="仿宋_GB2312" w:eastAsia="仿宋_GB2312"/>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76" w:type="dxa"/>
            <w:vAlign w:val="top"/>
          </w:tcPr>
          <w:p>
            <w:pPr>
              <w:jc w:val="center"/>
              <w:rPr>
                <w:rFonts w:hint="eastAsia" w:ascii="仿宋_GB2312" w:eastAsia="仿宋_GB2312"/>
              </w:rPr>
            </w:pPr>
            <w:r>
              <w:rPr>
                <w:rFonts w:hint="eastAsia" w:ascii="仿宋_GB2312" w:eastAsia="仿宋_GB2312"/>
              </w:rPr>
              <w:t>信息内容</w:t>
            </w:r>
          </w:p>
        </w:tc>
        <w:tc>
          <w:tcPr>
            <w:tcW w:w="1884" w:type="dxa"/>
            <w:gridSpan w:val="2"/>
            <w:vAlign w:val="top"/>
          </w:tcPr>
          <w:p>
            <w:pPr>
              <w:jc w:val="center"/>
              <w:rPr>
                <w:rFonts w:hint="eastAsia" w:ascii="仿宋_GB2312" w:eastAsia="仿宋_GB2312"/>
              </w:rPr>
            </w:pPr>
            <w:r>
              <w:rPr>
                <w:rFonts w:hint="eastAsia" w:ascii="仿宋_GB2312" w:eastAsia="仿宋_GB2312"/>
              </w:rPr>
              <w:t>上一年项目数量</w:t>
            </w:r>
          </w:p>
        </w:tc>
        <w:tc>
          <w:tcPr>
            <w:tcW w:w="2131" w:type="dxa"/>
            <w:gridSpan w:val="2"/>
            <w:vAlign w:val="top"/>
          </w:tcPr>
          <w:p>
            <w:pPr>
              <w:jc w:val="center"/>
              <w:rPr>
                <w:rFonts w:hint="eastAsia" w:ascii="仿宋_GB2312" w:eastAsia="仿宋_GB2312"/>
              </w:rPr>
            </w:pPr>
            <w:r>
              <w:rPr>
                <w:rFonts w:hint="eastAsia" w:ascii="仿宋_GB2312" w:eastAsia="仿宋_GB2312"/>
              </w:rPr>
              <w:t>本年增/减</w:t>
            </w:r>
          </w:p>
        </w:tc>
        <w:tc>
          <w:tcPr>
            <w:tcW w:w="2131" w:type="dxa"/>
            <w:vAlign w:val="top"/>
          </w:tcPr>
          <w:p>
            <w:pPr>
              <w:jc w:val="center"/>
              <w:rPr>
                <w:rFonts w:hint="eastAsia" w:ascii="仿宋_GB2312" w:eastAsia="仿宋_GB2312"/>
              </w:rPr>
            </w:pPr>
            <w:r>
              <w:rPr>
                <w:rFonts w:hint="eastAsia" w:ascii="仿宋_GB2312" w:eastAsia="仿宋_GB2312"/>
              </w:rPr>
              <w:t>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76" w:type="dxa"/>
            <w:vAlign w:val="top"/>
          </w:tcPr>
          <w:p>
            <w:pPr>
              <w:rPr>
                <w:rFonts w:hint="eastAsia" w:ascii="仿宋_GB2312" w:eastAsia="仿宋_GB2312"/>
              </w:rPr>
            </w:pPr>
            <w:r>
              <w:rPr>
                <w:rFonts w:hint="eastAsia" w:ascii="仿宋_GB2312" w:eastAsia="仿宋_GB2312"/>
              </w:rPr>
              <w:t>行政许可</w:t>
            </w:r>
          </w:p>
        </w:tc>
        <w:tc>
          <w:tcPr>
            <w:tcW w:w="1884"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c>
          <w:tcPr>
            <w:tcW w:w="2131"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c>
          <w:tcPr>
            <w:tcW w:w="2131" w:type="dxa"/>
            <w:vAlign w:val="top"/>
          </w:tcPr>
          <w:p>
            <w:pPr>
              <w:jc w:val="center"/>
              <w:rPr>
                <w:rFonts w:hint="eastAsia" w:ascii="仿宋_GB2312" w:eastAsia="仿宋_GB2312"/>
                <w:lang w:val="en-US" w:eastAsia="zh-CN"/>
              </w:rPr>
            </w:pPr>
            <w:r>
              <w:rPr>
                <w:rFonts w:hint="eastAsia" w:ascii="仿宋_GB2312" w:eastAsia="仿宋_GB2312"/>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76" w:type="dxa"/>
            <w:vAlign w:val="top"/>
          </w:tcPr>
          <w:p>
            <w:pPr>
              <w:jc w:val="left"/>
              <w:rPr>
                <w:rFonts w:hint="eastAsia" w:ascii="仿宋_GB2312" w:eastAsia="仿宋_GB2312"/>
              </w:rPr>
            </w:pPr>
            <w:r>
              <w:rPr>
                <w:rFonts w:hint="eastAsia" w:ascii="仿宋_GB2312" w:eastAsia="仿宋_GB2312"/>
              </w:rPr>
              <w:t>其他对外管理服务事项</w:t>
            </w:r>
          </w:p>
        </w:tc>
        <w:tc>
          <w:tcPr>
            <w:tcW w:w="1884"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12</w:t>
            </w:r>
          </w:p>
        </w:tc>
        <w:tc>
          <w:tcPr>
            <w:tcW w:w="2131"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c>
          <w:tcPr>
            <w:tcW w:w="2131" w:type="dxa"/>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6"/>
            <w:shd w:val="clear" w:color="auto" w:fill="B8CCE4"/>
            <w:vAlign w:val="top"/>
          </w:tcPr>
          <w:p>
            <w:pPr>
              <w:jc w:val="center"/>
              <w:rPr>
                <w:rFonts w:hint="eastAsia" w:ascii="仿宋_GB2312" w:eastAsia="仿宋_GB2312"/>
              </w:rPr>
            </w:pPr>
            <w:r>
              <w:rPr>
                <w:rFonts w:hint="eastAsia" w:ascii="仿宋_GB2312" w:eastAsia="仿宋_GB2312"/>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76" w:type="dxa"/>
            <w:vAlign w:val="top"/>
          </w:tcPr>
          <w:p>
            <w:pPr>
              <w:jc w:val="center"/>
              <w:rPr>
                <w:rFonts w:hint="eastAsia" w:ascii="仿宋_GB2312" w:eastAsia="仿宋_GB2312"/>
              </w:rPr>
            </w:pPr>
            <w:r>
              <w:rPr>
                <w:rFonts w:hint="eastAsia" w:ascii="仿宋_GB2312" w:eastAsia="仿宋_GB2312"/>
              </w:rPr>
              <w:t>信息内容</w:t>
            </w:r>
          </w:p>
        </w:tc>
        <w:tc>
          <w:tcPr>
            <w:tcW w:w="1884" w:type="dxa"/>
            <w:gridSpan w:val="2"/>
            <w:vAlign w:val="top"/>
          </w:tcPr>
          <w:p>
            <w:pPr>
              <w:jc w:val="center"/>
              <w:rPr>
                <w:rFonts w:hint="eastAsia" w:ascii="仿宋_GB2312" w:eastAsia="仿宋_GB2312"/>
              </w:rPr>
            </w:pPr>
            <w:r>
              <w:rPr>
                <w:rFonts w:hint="eastAsia" w:ascii="仿宋_GB2312" w:eastAsia="仿宋_GB2312"/>
              </w:rPr>
              <w:t>上一年项目数量</w:t>
            </w:r>
          </w:p>
        </w:tc>
        <w:tc>
          <w:tcPr>
            <w:tcW w:w="2131" w:type="dxa"/>
            <w:gridSpan w:val="2"/>
            <w:vAlign w:val="top"/>
          </w:tcPr>
          <w:p>
            <w:pPr>
              <w:jc w:val="center"/>
              <w:rPr>
                <w:rFonts w:hint="eastAsia" w:ascii="仿宋_GB2312" w:eastAsia="仿宋_GB2312"/>
              </w:rPr>
            </w:pPr>
            <w:r>
              <w:rPr>
                <w:rFonts w:hint="eastAsia" w:ascii="仿宋_GB2312" w:eastAsia="仿宋_GB2312"/>
              </w:rPr>
              <w:t>本年增/减</w:t>
            </w:r>
          </w:p>
        </w:tc>
        <w:tc>
          <w:tcPr>
            <w:tcW w:w="2131" w:type="dxa"/>
            <w:vAlign w:val="top"/>
          </w:tcPr>
          <w:p>
            <w:pPr>
              <w:jc w:val="center"/>
              <w:rPr>
                <w:rFonts w:hint="eastAsia" w:ascii="仿宋_GB2312" w:eastAsia="仿宋_GB2312"/>
              </w:rPr>
            </w:pPr>
            <w:r>
              <w:rPr>
                <w:rFonts w:hint="eastAsia" w:ascii="仿宋_GB2312" w:eastAsia="仿宋_GB2312"/>
              </w:rPr>
              <w:t>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76" w:type="dxa"/>
            <w:vAlign w:val="top"/>
          </w:tcPr>
          <w:p>
            <w:pPr>
              <w:jc w:val="left"/>
              <w:rPr>
                <w:rFonts w:hint="eastAsia" w:ascii="仿宋_GB2312" w:eastAsia="仿宋_GB2312"/>
              </w:rPr>
            </w:pPr>
            <w:r>
              <w:rPr>
                <w:rFonts w:hint="eastAsia" w:ascii="仿宋_GB2312" w:eastAsia="仿宋_GB2312"/>
              </w:rPr>
              <w:t>行政处罚</w:t>
            </w:r>
          </w:p>
        </w:tc>
        <w:tc>
          <w:tcPr>
            <w:tcW w:w="1884"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c>
          <w:tcPr>
            <w:tcW w:w="2131"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 xml:space="preserve">   0                </w:t>
            </w:r>
          </w:p>
        </w:tc>
        <w:tc>
          <w:tcPr>
            <w:tcW w:w="2131" w:type="dxa"/>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76" w:type="dxa"/>
            <w:vAlign w:val="top"/>
          </w:tcPr>
          <w:p>
            <w:pPr>
              <w:jc w:val="left"/>
              <w:rPr>
                <w:rFonts w:hint="eastAsia" w:ascii="仿宋_GB2312" w:eastAsia="仿宋_GB2312"/>
              </w:rPr>
            </w:pPr>
            <w:r>
              <w:rPr>
                <w:rFonts w:hint="eastAsia" w:ascii="仿宋_GB2312" w:eastAsia="仿宋_GB2312"/>
              </w:rPr>
              <w:t>行政强制</w:t>
            </w:r>
          </w:p>
        </w:tc>
        <w:tc>
          <w:tcPr>
            <w:tcW w:w="1884"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c>
          <w:tcPr>
            <w:tcW w:w="2131"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c>
          <w:tcPr>
            <w:tcW w:w="2131" w:type="dxa"/>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6"/>
            <w:shd w:val="clear" w:color="auto" w:fill="B8CCE4"/>
            <w:vAlign w:val="top"/>
          </w:tcPr>
          <w:p>
            <w:pPr>
              <w:jc w:val="center"/>
              <w:rPr>
                <w:rFonts w:hint="eastAsia" w:ascii="仿宋_GB2312" w:eastAsia="仿宋_GB2312"/>
              </w:rPr>
            </w:pPr>
            <w:r>
              <w:rPr>
                <w:rFonts w:hint="eastAsia" w:ascii="仿宋_GB2312" w:eastAsia="仿宋_GB2312"/>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943" w:type="dxa"/>
            <w:gridSpan w:val="2"/>
            <w:vAlign w:val="top"/>
          </w:tcPr>
          <w:p>
            <w:pPr>
              <w:jc w:val="center"/>
              <w:rPr>
                <w:rFonts w:hint="eastAsia" w:ascii="仿宋_GB2312" w:eastAsia="仿宋_GB2312"/>
              </w:rPr>
            </w:pPr>
            <w:r>
              <w:rPr>
                <w:rFonts w:hint="eastAsia" w:ascii="仿宋_GB2312" w:eastAsia="仿宋_GB2312"/>
              </w:rPr>
              <w:t>信息内容</w:t>
            </w:r>
          </w:p>
        </w:tc>
        <w:tc>
          <w:tcPr>
            <w:tcW w:w="2268" w:type="dxa"/>
            <w:gridSpan w:val="2"/>
            <w:vAlign w:val="top"/>
          </w:tcPr>
          <w:p>
            <w:pPr>
              <w:jc w:val="center"/>
              <w:rPr>
                <w:rFonts w:hint="eastAsia" w:ascii="仿宋_GB2312" w:eastAsia="仿宋_GB2312"/>
              </w:rPr>
            </w:pPr>
            <w:r>
              <w:rPr>
                <w:rFonts w:hint="eastAsia" w:ascii="仿宋_GB2312" w:eastAsia="仿宋_GB2312"/>
              </w:rPr>
              <w:t>上一年项目数量</w:t>
            </w:r>
          </w:p>
        </w:tc>
        <w:tc>
          <w:tcPr>
            <w:tcW w:w="3311" w:type="dxa"/>
            <w:gridSpan w:val="2"/>
            <w:vAlign w:val="top"/>
          </w:tcPr>
          <w:p>
            <w:pPr>
              <w:jc w:val="center"/>
              <w:rPr>
                <w:rFonts w:hint="eastAsia" w:ascii="仿宋_GB2312" w:eastAsia="仿宋_GB2312"/>
              </w:rPr>
            </w:pPr>
            <w:r>
              <w:rPr>
                <w:rFonts w:hint="eastAsia" w:ascii="仿宋_GB2312" w:eastAsia="仿宋_GB2312"/>
              </w:rPr>
              <w:t>本年增/减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943" w:type="dxa"/>
            <w:gridSpan w:val="2"/>
            <w:vAlign w:val="top"/>
          </w:tcPr>
          <w:p>
            <w:pPr>
              <w:jc w:val="left"/>
              <w:rPr>
                <w:rFonts w:hint="eastAsia" w:ascii="仿宋_GB2312" w:eastAsia="仿宋_GB2312"/>
              </w:rPr>
            </w:pPr>
            <w:r>
              <w:rPr>
                <w:rFonts w:hint="eastAsia" w:ascii="仿宋_GB2312" w:eastAsia="仿宋_GB2312"/>
              </w:rPr>
              <w:t>行政事业性收费</w:t>
            </w:r>
          </w:p>
        </w:tc>
        <w:tc>
          <w:tcPr>
            <w:tcW w:w="2268"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c>
          <w:tcPr>
            <w:tcW w:w="3311"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522" w:type="dxa"/>
            <w:gridSpan w:val="6"/>
            <w:shd w:val="clear" w:color="auto" w:fill="B8CCE4"/>
            <w:vAlign w:val="top"/>
          </w:tcPr>
          <w:p>
            <w:pPr>
              <w:jc w:val="center"/>
              <w:rPr>
                <w:rFonts w:hint="eastAsia" w:ascii="仿宋_GB2312" w:eastAsia="仿宋_GB2312"/>
              </w:rPr>
            </w:pPr>
            <w:r>
              <w:rPr>
                <w:rFonts w:hint="eastAsia" w:ascii="仿宋_GB2312" w:eastAsia="仿宋_GB2312"/>
              </w:rPr>
              <w:t>第二十条第（九）项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943" w:type="dxa"/>
            <w:gridSpan w:val="2"/>
            <w:vAlign w:val="top"/>
          </w:tcPr>
          <w:p>
            <w:pPr>
              <w:jc w:val="center"/>
              <w:rPr>
                <w:rFonts w:hint="eastAsia" w:ascii="仿宋_GB2312" w:eastAsia="仿宋_GB2312"/>
              </w:rPr>
            </w:pPr>
            <w:r>
              <w:rPr>
                <w:rFonts w:hint="eastAsia" w:ascii="仿宋_GB2312" w:eastAsia="仿宋_GB2312"/>
              </w:rPr>
              <w:t>信息内容</w:t>
            </w:r>
          </w:p>
        </w:tc>
        <w:tc>
          <w:tcPr>
            <w:tcW w:w="2268" w:type="dxa"/>
            <w:gridSpan w:val="2"/>
            <w:vAlign w:val="top"/>
          </w:tcPr>
          <w:p>
            <w:pPr>
              <w:jc w:val="center"/>
              <w:rPr>
                <w:rFonts w:hint="eastAsia" w:ascii="仿宋_GB2312" w:eastAsia="仿宋_GB2312"/>
              </w:rPr>
            </w:pPr>
            <w:r>
              <w:rPr>
                <w:rFonts w:hint="eastAsia" w:ascii="仿宋_GB2312" w:eastAsia="仿宋_GB2312"/>
              </w:rPr>
              <w:t>采购项目数量</w:t>
            </w:r>
          </w:p>
        </w:tc>
        <w:tc>
          <w:tcPr>
            <w:tcW w:w="3311" w:type="dxa"/>
            <w:gridSpan w:val="2"/>
            <w:vAlign w:val="top"/>
          </w:tcPr>
          <w:p>
            <w:pPr>
              <w:jc w:val="center"/>
              <w:rPr>
                <w:rFonts w:hint="eastAsia" w:ascii="仿宋_GB2312" w:eastAsia="仿宋_GB2312"/>
              </w:rPr>
            </w:pPr>
            <w:r>
              <w:rPr>
                <w:rFonts w:hint="eastAsia" w:ascii="仿宋_GB2312" w:eastAsia="仿宋_GB2312"/>
              </w:rPr>
              <w:t>采购总金额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943" w:type="dxa"/>
            <w:gridSpan w:val="2"/>
            <w:vAlign w:val="top"/>
          </w:tcPr>
          <w:p>
            <w:pPr>
              <w:jc w:val="left"/>
              <w:rPr>
                <w:rFonts w:hint="eastAsia" w:ascii="仿宋_GB2312" w:eastAsia="仿宋_GB2312"/>
              </w:rPr>
            </w:pPr>
            <w:r>
              <w:rPr>
                <w:rFonts w:hint="eastAsia" w:ascii="仿宋_GB2312" w:eastAsia="仿宋_GB2312"/>
              </w:rPr>
              <w:t>政府集中采购</w:t>
            </w:r>
          </w:p>
        </w:tc>
        <w:tc>
          <w:tcPr>
            <w:tcW w:w="2268"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1</w:t>
            </w:r>
          </w:p>
        </w:tc>
        <w:tc>
          <w:tcPr>
            <w:tcW w:w="3311" w:type="dxa"/>
            <w:gridSpan w:val="2"/>
            <w:vAlign w:val="top"/>
          </w:tcPr>
          <w:p>
            <w:pPr>
              <w:jc w:val="center"/>
              <w:rPr>
                <w:rFonts w:hint="eastAsia" w:ascii="仿宋_GB2312" w:eastAsia="仿宋_GB2312"/>
                <w:lang w:val="en-US" w:eastAsia="zh-CN"/>
              </w:rPr>
            </w:pPr>
            <w:r>
              <w:rPr>
                <w:rFonts w:hint="eastAsia" w:ascii="仿宋_GB2312" w:eastAsia="仿宋_GB2312"/>
                <w:lang w:val="en-US" w:eastAsia="zh-CN"/>
              </w:rPr>
              <w:t>10950元</w:t>
            </w:r>
          </w:p>
        </w:tc>
      </w:tr>
    </w:tbl>
    <w:p>
      <w:pPr>
        <w:jc w:val="center"/>
      </w:pPr>
    </w:p>
    <w:p>
      <w:pPr>
        <w:jc w:val="both"/>
      </w:pPr>
    </w:p>
    <w:p>
      <w:pPr>
        <w:ind w:firstLine="640" w:firstLineChars="200"/>
        <w:jc w:val="left"/>
        <w:rPr>
          <w:rFonts w:ascii="黑体" w:hAnsi="黑体" w:eastAsia="黑体"/>
          <w:sz w:val="32"/>
          <w:szCs w:val="32"/>
        </w:rPr>
      </w:pPr>
      <w:r>
        <w:rPr>
          <w:rFonts w:hint="eastAsia" w:ascii="黑体" w:hAnsi="黑体" w:eastAsia="黑体"/>
          <w:sz w:val="32"/>
          <w:szCs w:val="32"/>
        </w:rPr>
        <w:t>三、收到和处理政府信息公开申请情况</w:t>
      </w:r>
    </w:p>
    <w:tbl>
      <w:tblPr>
        <w:tblStyle w:val="8"/>
        <w:tblW w:w="89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890"/>
        <w:gridCol w:w="2139"/>
        <w:gridCol w:w="410"/>
        <w:gridCol w:w="712"/>
        <w:gridCol w:w="714"/>
        <w:gridCol w:w="711"/>
        <w:gridCol w:w="892"/>
        <w:gridCol w:w="714"/>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trPr>
        <w:tc>
          <w:tcPr>
            <w:tcW w:w="3700" w:type="dxa"/>
            <w:gridSpan w:val="3"/>
            <w:vMerge w:val="restart"/>
            <w:vAlign w:val="top"/>
          </w:tcPr>
          <w:p>
            <w:pPr>
              <w:jc w:val="left"/>
              <w:rPr>
                <w:sz w:val="11"/>
              </w:rPr>
            </w:pPr>
          </w:p>
          <w:p>
            <w:pPr>
              <w:jc w:val="left"/>
              <w:rPr>
                <w:sz w:val="11"/>
              </w:rPr>
            </w:pPr>
            <w:r>
              <w:rPr>
                <w:rFonts w:hint="eastAsia"/>
                <w:sz w:val="11"/>
              </w:rPr>
              <w:t>（本列数据的勾稽关系为：第一项加第二项之和，等于第三项加第四项之和）</w:t>
            </w:r>
          </w:p>
        </w:tc>
        <w:tc>
          <w:tcPr>
            <w:tcW w:w="5220" w:type="dxa"/>
            <w:gridSpan w:val="7"/>
            <w:vAlign w:val="top"/>
          </w:tcPr>
          <w:p>
            <w:pPr>
              <w:jc w:val="center"/>
              <w:rPr>
                <w:sz w:val="11"/>
              </w:rPr>
            </w:pPr>
            <w:r>
              <w:rPr>
                <w:rFonts w:hint="eastAsia"/>
                <w:sz w:val="1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3700" w:type="dxa"/>
            <w:gridSpan w:val="3"/>
            <w:vMerge w:val="continue"/>
            <w:vAlign w:val="top"/>
          </w:tcPr>
          <w:p>
            <w:pPr>
              <w:jc w:val="center"/>
              <w:rPr>
                <w:sz w:val="11"/>
              </w:rPr>
            </w:pPr>
          </w:p>
        </w:tc>
        <w:tc>
          <w:tcPr>
            <w:tcW w:w="410" w:type="dxa"/>
            <w:vMerge w:val="restart"/>
            <w:vAlign w:val="top"/>
          </w:tcPr>
          <w:p>
            <w:pPr>
              <w:jc w:val="center"/>
              <w:rPr>
                <w:sz w:val="11"/>
              </w:rPr>
            </w:pPr>
          </w:p>
          <w:p>
            <w:pPr>
              <w:jc w:val="center"/>
              <w:rPr>
                <w:sz w:val="11"/>
              </w:rPr>
            </w:pPr>
            <w:r>
              <w:rPr>
                <w:rFonts w:hint="eastAsia"/>
                <w:sz w:val="11"/>
              </w:rPr>
              <w:t>自然人</w:t>
            </w:r>
          </w:p>
        </w:tc>
        <w:tc>
          <w:tcPr>
            <w:tcW w:w="3743" w:type="dxa"/>
            <w:gridSpan w:val="5"/>
            <w:vAlign w:val="top"/>
          </w:tcPr>
          <w:p>
            <w:pPr>
              <w:jc w:val="center"/>
              <w:rPr>
                <w:sz w:val="11"/>
              </w:rPr>
            </w:pPr>
            <w:r>
              <w:rPr>
                <w:rFonts w:hint="eastAsia"/>
                <w:sz w:val="11"/>
              </w:rPr>
              <w:t>法人或其他组织</w:t>
            </w:r>
          </w:p>
        </w:tc>
        <w:tc>
          <w:tcPr>
            <w:tcW w:w="1067" w:type="dxa"/>
            <w:vMerge w:val="restart"/>
            <w:vAlign w:val="top"/>
          </w:tcPr>
          <w:p>
            <w:pPr>
              <w:jc w:val="center"/>
              <w:rPr>
                <w:sz w:val="11"/>
              </w:rPr>
            </w:pPr>
          </w:p>
          <w:p>
            <w:pPr>
              <w:jc w:val="center"/>
              <w:rPr>
                <w:sz w:val="11"/>
              </w:rPr>
            </w:pPr>
            <w:r>
              <w:rPr>
                <w:rFonts w:hint="eastAsia"/>
                <w:sz w:val="1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trPr>
        <w:tc>
          <w:tcPr>
            <w:tcW w:w="3700" w:type="dxa"/>
            <w:gridSpan w:val="3"/>
            <w:vMerge w:val="continue"/>
            <w:vAlign w:val="top"/>
          </w:tcPr>
          <w:p>
            <w:pPr>
              <w:jc w:val="center"/>
              <w:rPr>
                <w:sz w:val="11"/>
              </w:rPr>
            </w:pPr>
          </w:p>
        </w:tc>
        <w:tc>
          <w:tcPr>
            <w:tcW w:w="410" w:type="dxa"/>
            <w:vMerge w:val="continue"/>
            <w:vAlign w:val="top"/>
          </w:tcPr>
          <w:p>
            <w:pPr>
              <w:jc w:val="center"/>
              <w:rPr>
                <w:sz w:val="11"/>
              </w:rPr>
            </w:pPr>
          </w:p>
        </w:tc>
        <w:tc>
          <w:tcPr>
            <w:tcW w:w="712" w:type="dxa"/>
            <w:vAlign w:val="top"/>
          </w:tcPr>
          <w:p>
            <w:pPr>
              <w:jc w:val="center"/>
              <w:rPr>
                <w:sz w:val="11"/>
              </w:rPr>
            </w:pPr>
            <w:r>
              <w:rPr>
                <w:rFonts w:hint="eastAsia"/>
                <w:sz w:val="11"/>
              </w:rPr>
              <w:t>商业</w:t>
            </w:r>
          </w:p>
          <w:p>
            <w:pPr>
              <w:jc w:val="center"/>
              <w:rPr>
                <w:sz w:val="11"/>
              </w:rPr>
            </w:pPr>
            <w:r>
              <w:rPr>
                <w:rFonts w:hint="eastAsia"/>
                <w:sz w:val="11"/>
              </w:rPr>
              <w:t>企业</w:t>
            </w:r>
          </w:p>
        </w:tc>
        <w:tc>
          <w:tcPr>
            <w:tcW w:w="714" w:type="dxa"/>
            <w:vAlign w:val="top"/>
          </w:tcPr>
          <w:p>
            <w:pPr>
              <w:jc w:val="center"/>
              <w:rPr>
                <w:sz w:val="11"/>
              </w:rPr>
            </w:pPr>
            <w:r>
              <w:rPr>
                <w:rFonts w:hint="eastAsia"/>
                <w:sz w:val="11"/>
              </w:rPr>
              <w:t>科研</w:t>
            </w:r>
          </w:p>
          <w:p>
            <w:pPr>
              <w:jc w:val="center"/>
              <w:rPr>
                <w:sz w:val="11"/>
              </w:rPr>
            </w:pPr>
            <w:r>
              <w:rPr>
                <w:rFonts w:hint="eastAsia"/>
                <w:sz w:val="11"/>
              </w:rPr>
              <w:t>机构</w:t>
            </w:r>
          </w:p>
        </w:tc>
        <w:tc>
          <w:tcPr>
            <w:tcW w:w="711" w:type="dxa"/>
            <w:vAlign w:val="top"/>
          </w:tcPr>
          <w:p>
            <w:pPr>
              <w:jc w:val="center"/>
              <w:rPr>
                <w:sz w:val="11"/>
              </w:rPr>
            </w:pPr>
            <w:r>
              <w:rPr>
                <w:rFonts w:hint="eastAsia"/>
                <w:sz w:val="11"/>
              </w:rPr>
              <w:t>社会公</w:t>
            </w:r>
          </w:p>
          <w:p>
            <w:pPr>
              <w:jc w:val="center"/>
              <w:rPr>
                <w:sz w:val="11"/>
              </w:rPr>
            </w:pPr>
            <w:r>
              <w:rPr>
                <w:rFonts w:hint="eastAsia"/>
                <w:sz w:val="11"/>
              </w:rPr>
              <w:t>益组织</w:t>
            </w:r>
          </w:p>
        </w:tc>
        <w:tc>
          <w:tcPr>
            <w:tcW w:w="892" w:type="dxa"/>
            <w:vAlign w:val="top"/>
          </w:tcPr>
          <w:p>
            <w:pPr>
              <w:jc w:val="center"/>
              <w:rPr>
                <w:sz w:val="11"/>
              </w:rPr>
            </w:pPr>
            <w:r>
              <w:rPr>
                <w:rFonts w:hint="eastAsia"/>
                <w:sz w:val="11"/>
              </w:rPr>
              <w:t>法律服</w:t>
            </w:r>
          </w:p>
          <w:p>
            <w:pPr>
              <w:jc w:val="center"/>
              <w:rPr>
                <w:sz w:val="11"/>
              </w:rPr>
            </w:pPr>
            <w:r>
              <w:rPr>
                <w:rFonts w:hint="eastAsia"/>
                <w:sz w:val="11"/>
              </w:rPr>
              <w:t>务机构</w:t>
            </w:r>
          </w:p>
        </w:tc>
        <w:tc>
          <w:tcPr>
            <w:tcW w:w="714" w:type="dxa"/>
            <w:vAlign w:val="top"/>
          </w:tcPr>
          <w:p>
            <w:pPr>
              <w:jc w:val="center"/>
              <w:rPr>
                <w:sz w:val="11"/>
              </w:rPr>
            </w:pPr>
            <w:r>
              <w:rPr>
                <w:rFonts w:hint="eastAsia"/>
                <w:sz w:val="11"/>
              </w:rPr>
              <w:t>其他</w:t>
            </w:r>
          </w:p>
        </w:tc>
        <w:tc>
          <w:tcPr>
            <w:tcW w:w="1067" w:type="dxa"/>
            <w:vMerge w:val="continue"/>
            <w:vAlign w:val="top"/>
          </w:tcPr>
          <w:p>
            <w:pPr>
              <w:jc w:val="center"/>
              <w:rPr>
                <w:sz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3700" w:type="dxa"/>
            <w:gridSpan w:val="3"/>
            <w:vAlign w:val="top"/>
          </w:tcPr>
          <w:p>
            <w:pPr>
              <w:jc w:val="left"/>
              <w:rPr>
                <w:sz w:val="11"/>
              </w:rPr>
            </w:pPr>
            <w:r>
              <w:rPr>
                <w:rFonts w:hint="eastAsia"/>
                <w:sz w:val="11"/>
              </w:rPr>
              <w:t>一、本年新收政府信息公开申请数量</w:t>
            </w:r>
          </w:p>
        </w:tc>
        <w:tc>
          <w:tcPr>
            <w:tcW w:w="410" w:type="dxa"/>
            <w:vAlign w:val="top"/>
          </w:tcPr>
          <w:p>
            <w:pPr>
              <w:jc w:val="left"/>
              <w:rPr>
                <w:rFonts w:hint="eastAsia" w:eastAsia="宋体"/>
                <w:sz w:val="11"/>
                <w:lang w:val="en-US" w:eastAsia="zh-CN"/>
              </w:rPr>
            </w:pPr>
            <w:r>
              <w:rPr>
                <w:rFonts w:hint="eastAsia"/>
                <w:sz w:val="11"/>
                <w:lang w:val="en-US" w:eastAsia="zh-CN"/>
              </w:rPr>
              <w:t xml:space="preserve"> 0</w:t>
            </w:r>
          </w:p>
        </w:tc>
        <w:tc>
          <w:tcPr>
            <w:tcW w:w="712" w:type="dxa"/>
            <w:vAlign w:val="top"/>
          </w:tcPr>
          <w:p>
            <w:pPr>
              <w:jc w:val="left"/>
              <w:rPr>
                <w:rFonts w:hint="eastAsia" w:eastAsia="宋体"/>
                <w:sz w:val="11"/>
                <w:lang w:val="en-US" w:eastAsia="zh-CN"/>
              </w:rPr>
            </w:pPr>
            <w:r>
              <w:rPr>
                <w:rFonts w:hint="eastAsia"/>
                <w:sz w:val="11"/>
                <w:lang w:val="en-US" w:eastAsia="zh-CN"/>
              </w:rPr>
              <w:t>0</w:t>
            </w:r>
          </w:p>
        </w:tc>
        <w:tc>
          <w:tcPr>
            <w:tcW w:w="714" w:type="dxa"/>
            <w:vAlign w:val="top"/>
          </w:tcPr>
          <w:p>
            <w:pPr>
              <w:jc w:val="left"/>
              <w:rPr>
                <w:rFonts w:hint="eastAsia" w:eastAsia="宋体"/>
                <w:sz w:val="11"/>
                <w:lang w:val="en-US" w:eastAsia="zh-CN"/>
              </w:rPr>
            </w:pPr>
            <w:r>
              <w:rPr>
                <w:rFonts w:hint="eastAsia"/>
                <w:sz w:val="11"/>
                <w:lang w:val="en-US" w:eastAsia="zh-CN"/>
              </w:rPr>
              <w:t>0</w:t>
            </w:r>
          </w:p>
        </w:tc>
        <w:tc>
          <w:tcPr>
            <w:tcW w:w="711" w:type="dxa"/>
            <w:vAlign w:val="top"/>
          </w:tcPr>
          <w:p>
            <w:pPr>
              <w:jc w:val="left"/>
              <w:rPr>
                <w:rFonts w:hint="eastAsia" w:eastAsia="宋体"/>
                <w:sz w:val="11"/>
                <w:lang w:val="en-US" w:eastAsia="zh-CN"/>
              </w:rPr>
            </w:pPr>
            <w:r>
              <w:rPr>
                <w:rFonts w:hint="eastAsia"/>
                <w:sz w:val="11"/>
                <w:lang w:val="en-US" w:eastAsia="zh-CN"/>
              </w:rPr>
              <w:t xml:space="preserve"> 0</w:t>
            </w:r>
          </w:p>
        </w:tc>
        <w:tc>
          <w:tcPr>
            <w:tcW w:w="892" w:type="dxa"/>
            <w:vAlign w:val="top"/>
          </w:tcPr>
          <w:p>
            <w:pPr>
              <w:jc w:val="left"/>
              <w:rPr>
                <w:rFonts w:hint="eastAsia" w:eastAsia="宋体"/>
                <w:sz w:val="11"/>
                <w:lang w:val="en-US" w:eastAsia="zh-CN"/>
              </w:rPr>
            </w:pPr>
            <w:r>
              <w:rPr>
                <w:rFonts w:hint="eastAsia"/>
                <w:sz w:val="11"/>
                <w:lang w:val="en-US" w:eastAsia="zh-CN"/>
              </w:rPr>
              <w:t>0</w:t>
            </w:r>
          </w:p>
        </w:tc>
        <w:tc>
          <w:tcPr>
            <w:tcW w:w="714" w:type="dxa"/>
            <w:vAlign w:val="top"/>
          </w:tcPr>
          <w:p>
            <w:pPr>
              <w:jc w:val="left"/>
              <w:rPr>
                <w:rFonts w:hint="eastAsia" w:eastAsia="宋体"/>
                <w:sz w:val="11"/>
                <w:lang w:val="en-US" w:eastAsia="zh-CN"/>
              </w:rPr>
            </w:pPr>
            <w:r>
              <w:rPr>
                <w:rFonts w:hint="eastAsia"/>
                <w:sz w:val="11"/>
                <w:lang w:val="en-US" w:eastAsia="zh-CN"/>
              </w:rPr>
              <w:t>0</w:t>
            </w:r>
          </w:p>
        </w:tc>
        <w:tc>
          <w:tcPr>
            <w:tcW w:w="1067" w:type="dxa"/>
            <w:vAlign w:val="top"/>
          </w:tcPr>
          <w:p>
            <w:pPr>
              <w:jc w:val="left"/>
              <w:rPr>
                <w:rFonts w:hint="eastAsia" w:eastAsia="宋体"/>
                <w:sz w:val="11"/>
                <w:lang w:val="en-US" w:eastAsia="zh-CN"/>
              </w:rPr>
            </w:pPr>
            <w:r>
              <w:rPr>
                <w:rFonts w:hint="eastAsia"/>
                <w:sz w:val="1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3700" w:type="dxa"/>
            <w:gridSpan w:val="3"/>
            <w:vAlign w:val="top"/>
          </w:tcPr>
          <w:p>
            <w:pPr>
              <w:jc w:val="left"/>
              <w:rPr>
                <w:sz w:val="11"/>
                <w:szCs w:val="15"/>
              </w:rPr>
            </w:pPr>
            <w:r>
              <w:rPr>
                <w:rFonts w:hint="eastAsia"/>
                <w:sz w:val="11"/>
                <w:szCs w:val="15"/>
              </w:rPr>
              <w:t>二、上年结转政府信息公开申请数量</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restart"/>
            <w:vAlign w:val="top"/>
          </w:tcPr>
          <w:p>
            <w:pPr>
              <w:jc w:val="center"/>
              <w:rPr>
                <w:sz w:val="11"/>
                <w:szCs w:val="15"/>
              </w:rPr>
            </w:pPr>
          </w:p>
          <w:p>
            <w:pPr>
              <w:jc w:val="center"/>
              <w:rPr>
                <w:sz w:val="11"/>
                <w:szCs w:val="15"/>
              </w:rPr>
            </w:pPr>
          </w:p>
          <w:p>
            <w:pPr>
              <w:jc w:val="center"/>
              <w:rPr>
                <w:sz w:val="11"/>
                <w:szCs w:val="15"/>
              </w:rPr>
            </w:pPr>
          </w:p>
          <w:p>
            <w:pPr>
              <w:jc w:val="center"/>
              <w:rPr>
                <w:sz w:val="11"/>
                <w:szCs w:val="15"/>
              </w:rPr>
            </w:pPr>
          </w:p>
          <w:p>
            <w:pPr>
              <w:jc w:val="center"/>
              <w:rPr>
                <w:sz w:val="11"/>
                <w:szCs w:val="15"/>
              </w:rPr>
            </w:pPr>
          </w:p>
          <w:p>
            <w:pPr>
              <w:jc w:val="center"/>
              <w:rPr>
                <w:sz w:val="11"/>
                <w:szCs w:val="15"/>
              </w:rPr>
            </w:pPr>
          </w:p>
          <w:p>
            <w:pPr>
              <w:jc w:val="center"/>
              <w:rPr>
                <w:sz w:val="11"/>
                <w:szCs w:val="15"/>
              </w:rPr>
            </w:pPr>
          </w:p>
          <w:p>
            <w:pPr>
              <w:rPr>
                <w:sz w:val="11"/>
                <w:szCs w:val="15"/>
              </w:rPr>
            </w:pPr>
          </w:p>
          <w:p>
            <w:pPr>
              <w:rPr>
                <w:sz w:val="11"/>
                <w:szCs w:val="15"/>
              </w:rPr>
            </w:pPr>
          </w:p>
          <w:p>
            <w:pPr>
              <w:rPr>
                <w:sz w:val="11"/>
                <w:szCs w:val="15"/>
              </w:rPr>
            </w:pPr>
          </w:p>
          <w:p>
            <w:pPr>
              <w:rPr>
                <w:sz w:val="11"/>
                <w:szCs w:val="15"/>
              </w:rPr>
            </w:pPr>
          </w:p>
          <w:p>
            <w:pPr>
              <w:rPr>
                <w:sz w:val="11"/>
                <w:szCs w:val="15"/>
              </w:rPr>
            </w:pPr>
          </w:p>
          <w:p>
            <w:pPr>
              <w:rPr>
                <w:sz w:val="11"/>
                <w:szCs w:val="15"/>
              </w:rPr>
            </w:pPr>
          </w:p>
          <w:p>
            <w:pPr>
              <w:rPr>
                <w:sz w:val="11"/>
                <w:szCs w:val="15"/>
              </w:rPr>
            </w:pPr>
          </w:p>
          <w:p>
            <w:pPr>
              <w:rPr>
                <w:sz w:val="11"/>
                <w:szCs w:val="15"/>
              </w:rPr>
            </w:pPr>
            <w:r>
              <w:rPr>
                <w:rFonts w:hint="eastAsia"/>
                <w:sz w:val="11"/>
                <w:szCs w:val="15"/>
              </w:rPr>
              <w:t>三、</w:t>
            </w:r>
          </w:p>
          <w:p>
            <w:pPr>
              <w:rPr>
                <w:sz w:val="11"/>
                <w:szCs w:val="15"/>
              </w:rPr>
            </w:pPr>
            <w:r>
              <w:rPr>
                <w:rFonts w:hint="eastAsia"/>
                <w:sz w:val="11"/>
                <w:szCs w:val="15"/>
              </w:rPr>
              <w:t>本年度办理结果</w:t>
            </w:r>
          </w:p>
        </w:tc>
        <w:tc>
          <w:tcPr>
            <w:tcW w:w="3029" w:type="dxa"/>
            <w:gridSpan w:val="2"/>
            <w:vAlign w:val="top"/>
          </w:tcPr>
          <w:p>
            <w:pPr>
              <w:jc w:val="left"/>
              <w:rPr>
                <w:sz w:val="11"/>
                <w:szCs w:val="15"/>
              </w:rPr>
            </w:pPr>
            <w:r>
              <w:rPr>
                <w:rFonts w:hint="eastAsia"/>
                <w:sz w:val="11"/>
                <w:szCs w:val="15"/>
              </w:rPr>
              <w:t>（一）予以公开</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671" w:type="dxa"/>
            <w:vMerge w:val="continue"/>
            <w:vAlign w:val="top"/>
          </w:tcPr>
          <w:p>
            <w:pPr>
              <w:jc w:val="left"/>
              <w:rPr>
                <w:sz w:val="11"/>
                <w:szCs w:val="15"/>
              </w:rPr>
            </w:pPr>
          </w:p>
        </w:tc>
        <w:tc>
          <w:tcPr>
            <w:tcW w:w="3029" w:type="dxa"/>
            <w:gridSpan w:val="2"/>
            <w:vAlign w:val="top"/>
          </w:tcPr>
          <w:p>
            <w:pPr>
              <w:jc w:val="left"/>
              <w:rPr>
                <w:sz w:val="11"/>
                <w:szCs w:val="15"/>
              </w:rPr>
            </w:pPr>
            <w:r>
              <w:rPr>
                <w:rFonts w:hint="eastAsia"/>
                <w:sz w:val="11"/>
                <w:szCs w:val="15"/>
              </w:rPr>
              <w:t>（二）部分公开（区分处理的，只</w:t>
            </w:r>
            <w:r>
              <w:rPr>
                <w:rFonts w:hint="eastAsia"/>
                <w:sz w:val="11"/>
                <w:szCs w:val="15"/>
                <w:lang w:eastAsia="zh-CN"/>
              </w:rPr>
              <w:t>计</w:t>
            </w:r>
            <w:r>
              <w:rPr>
                <w:rFonts w:hint="eastAsia"/>
                <w:sz w:val="11"/>
                <w:szCs w:val="15"/>
              </w:rPr>
              <w:t>这一情形，不</w:t>
            </w:r>
            <w:r>
              <w:rPr>
                <w:rFonts w:hint="eastAsia"/>
                <w:sz w:val="11"/>
                <w:szCs w:val="15"/>
                <w:lang w:eastAsia="zh-CN"/>
              </w:rPr>
              <w:t>计</w:t>
            </w:r>
            <w:r>
              <w:rPr>
                <w:rFonts w:hint="eastAsia"/>
                <w:sz w:val="11"/>
                <w:szCs w:val="15"/>
              </w:rPr>
              <w:t>其他情形）</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restart"/>
            <w:vAlign w:val="top"/>
          </w:tcPr>
          <w:p>
            <w:pPr>
              <w:jc w:val="left"/>
              <w:rPr>
                <w:sz w:val="11"/>
                <w:szCs w:val="15"/>
              </w:rPr>
            </w:pPr>
          </w:p>
          <w:p>
            <w:pPr>
              <w:jc w:val="left"/>
              <w:rPr>
                <w:sz w:val="11"/>
                <w:szCs w:val="15"/>
              </w:rPr>
            </w:pPr>
          </w:p>
          <w:p>
            <w:pPr>
              <w:jc w:val="left"/>
              <w:rPr>
                <w:sz w:val="11"/>
                <w:szCs w:val="15"/>
              </w:rPr>
            </w:pPr>
          </w:p>
          <w:p>
            <w:pPr>
              <w:jc w:val="left"/>
              <w:rPr>
                <w:sz w:val="11"/>
                <w:szCs w:val="15"/>
              </w:rPr>
            </w:pPr>
          </w:p>
          <w:p>
            <w:pPr>
              <w:jc w:val="left"/>
              <w:rPr>
                <w:sz w:val="11"/>
                <w:szCs w:val="15"/>
              </w:rPr>
            </w:pPr>
            <w:r>
              <w:rPr>
                <w:rFonts w:hint="eastAsia"/>
                <w:sz w:val="11"/>
                <w:szCs w:val="15"/>
              </w:rPr>
              <w:t>（三）</w:t>
            </w:r>
          </w:p>
          <w:p>
            <w:pPr>
              <w:jc w:val="left"/>
              <w:rPr>
                <w:sz w:val="11"/>
                <w:szCs w:val="15"/>
              </w:rPr>
            </w:pPr>
            <w:r>
              <w:rPr>
                <w:rFonts w:hint="eastAsia"/>
                <w:sz w:val="11"/>
                <w:szCs w:val="15"/>
              </w:rPr>
              <w:t>不予公开</w:t>
            </w:r>
          </w:p>
        </w:tc>
        <w:tc>
          <w:tcPr>
            <w:tcW w:w="2139" w:type="dxa"/>
            <w:vAlign w:val="top"/>
          </w:tcPr>
          <w:p>
            <w:pPr>
              <w:jc w:val="left"/>
              <w:rPr>
                <w:sz w:val="11"/>
                <w:szCs w:val="15"/>
              </w:rPr>
            </w:pPr>
            <w:r>
              <w:rPr>
                <w:rFonts w:hint="eastAsia"/>
                <w:sz w:val="11"/>
                <w:szCs w:val="15"/>
              </w:rPr>
              <w:t>1.属于国家秘密</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2．其他法律行政法规禁止公开</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3.危及“三安全一稳定”</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4.保护第三方合法权益</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5.属于三类内部事务信息</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6.属于四类过程性信息</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7.属于行政执法案卷</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8.属于行政查询事项</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restart"/>
            <w:vAlign w:val="top"/>
          </w:tcPr>
          <w:p>
            <w:pPr>
              <w:jc w:val="left"/>
              <w:rPr>
                <w:sz w:val="11"/>
                <w:szCs w:val="15"/>
              </w:rPr>
            </w:pPr>
          </w:p>
          <w:p>
            <w:pPr>
              <w:jc w:val="left"/>
              <w:rPr>
                <w:sz w:val="11"/>
                <w:szCs w:val="15"/>
              </w:rPr>
            </w:pPr>
            <w:r>
              <w:rPr>
                <w:rFonts w:hint="eastAsia"/>
                <w:sz w:val="11"/>
                <w:szCs w:val="15"/>
              </w:rPr>
              <w:t>（四）</w:t>
            </w:r>
          </w:p>
          <w:p>
            <w:pPr>
              <w:jc w:val="left"/>
              <w:rPr>
                <w:sz w:val="11"/>
                <w:szCs w:val="15"/>
              </w:rPr>
            </w:pPr>
            <w:r>
              <w:rPr>
                <w:rFonts w:hint="eastAsia"/>
                <w:sz w:val="11"/>
                <w:szCs w:val="15"/>
              </w:rPr>
              <w:t>无法提供</w:t>
            </w:r>
          </w:p>
        </w:tc>
        <w:tc>
          <w:tcPr>
            <w:tcW w:w="2139" w:type="dxa"/>
            <w:vAlign w:val="top"/>
          </w:tcPr>
          <w:p>
            <w:pPr>
              <w:jc w:val="left"/>
              <w:rPr>
                <w:sz w:val="11"/>
                <w:szCs w:val="15"/>
              </w:rPr>
            </w:pPr>
            <w:r>
              <w:rPr>
                <w:rFonts w:hint="eastAsia"/>
                <w:sz w:val="11"/>
                <w:szCs w:val="15"/>
              </w:rPr>
              <w:t>1.本机关不掌握相关政府信息</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2．没有现成信息需要另行制作</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3.补正后申请内容仍不明确</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671" w:type="dxa"/>
            <w:vMerge w:val="continue"/>
            <w:vAlign w:val="top"/>
          </w:tcPr>
          <w:p>
            <w:pPr>
              <w:jc w:val="left"/>
              <w:rPr>
                <w:sz w:val="11"/>
                <w:szCs w:val="15"/>
              </w:rPr>
            </w:pPr>
          </w:p>
        </w:tc>
        <w:tc>
          <w:tcPr>
            <w:tcW w:w="890" w:type="dxa"/>
            <w:vMerge w:val="restart"/>
            <w:vAlign w:val="top"/>
          </w:tcPr>
          <w:p>
            <w:pPr>
              <w:jc w:val="left"/>
              <w:rPr>
                <w:sz w:val="11"/>
                <w:szCs w:val="15"/>
              </w:rPr>
            </w:pPr>
          </w:p>
          <w:p>
            <w:pPr>
              <w:jc w:val="left"/>
              <w:rPr>
                <w:sz w:val="11"/>
                <w:szCs w:val="15"/>
              </w:rPr>
            </w:pPr>
          </w:p>
          <w:p>
            <w:pPr>
              <w:jc w:val="left"/>
              <w:rPr>
                <w:sz w:val="11"/>
                <w:szCs w:val="15"/>
              </w:rPr>
            </w:pPr>
          </w:p>
          <w:p>
            <w:pPr>
              <w:jc w:val="left"/>
              <w:rPr>
                <w:sz w:val="11"/>
                <w:szCs w:val="15"/>
              </w:rPr>
            </w:pPr>
            <w:r>
              <w:rPr>
                <w:rFonts w:hint="eastAsia"/>
                <w:sz w:val="11"/>
                <w:szCs w:val="15"/>
              </w:rPr>
              <w:t>（五）</w:t>
            </w:r>
          </w:p>
          <w:p>
            <w:pPr>
              <w:jc w:val="left"/>
              <w:rPr>
                <w:sz w:val="11"/>
                <w:szCs w:val="15"/>
              </w:rPr>
            </w:pPr>
            <w:r>
              <w:rPr>
                <w:rFonts w:hint="eastAsia"/>
                <w:sz w:val="11"/>
                <w:szCs w:val="15"/>
              </w:rPr>
              <w:t>不予处理</w:t>
            </w:r>
          </w:p>
        </w:tc>
        <w:tc>
          <w:tcPr>
            <w:tcW w:w="2139" w:type="dxa"/>
            <w:vAlign w:val="top"/>
          </w:tcPr>
          <w:p>
            <w:pPr>
              <w:jc w:val="left"/>
              <w:rPr>
                <w:sz w:val="11"/>
                <w:szCs w:val="15"/>
              </w:rPr>
            </w:pPr>
            <w:r>
              <w:rPr>
                <w:rFonts w:hint="eastAsia"/>
                <w:sz w:val="11"/>
                <w:szCs w:val="15"/>
              </w:rPr>
              <w:t>1．信访举报投诉类申请</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2.重复申请</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3.要求提供公开出版物</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4．无正当理由大量反复申请</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trPr>
        <w:tc>
          <w:tcPr>
            <w:tcW w:w="671" w:type="dxa"/>
            <w:vMerge w:val="continue"/>
            <w:vAlign w:val="top"/>
          </w:tcPr>
          <w:p>
            <w:pPr>
              <w:jc w:val="left"/>
              <w:rPr>
                <w:sz w:val="11"/>
                <w:szCs w:val="15"/>
              </w:rPr>
            </w:pPr>
          </w:p>
        </w:tc>
        <w:tc>
          <w:tcPr>
            <w:tcW w:w="890" w:type="dxa"/>
            <w:vMerge w:val="continue"/>
            <w:vAlign w:val="top"/>
          </w:tcPr>
          <w:p>
            <w:pPr>
              <w:jc w:val="left"/>
              <w:rPr>
                <w:sz w:val="11"/>
                <w:szCs w:val="15"/>
              </w:rPr>
            </w:pPr>
          </w:p>
        </w:tc>
        <w:tc>
          <w:tcPr>
            <w:tcW w:w="2139" w:type="dxa"/>
            <w:vAlign w:val="top"/>
          </w:tcPr>
          <w:p>
            <w:pPr>
              <w:jc w:val="left"/>
              <w:rPr>
                <w:sz w:val="11"/>
                <w:szCs w:val="15"/>
              </w:rPr>
            </w:pPr>
            <w:r>
              <w:rPr>
                <w:rFonts w:hint="eastAsia"/>
                <w:sz w:val="11"/>
                <w:szCs w:val="15"/>
              </w:rPr>
              <w:t>5.要求行政机关确认或重新出具已获信息</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3029" w:type="dxa"/>
            <w:gridSpan w:val="2"/>
            <w:vAlign w:val="top"/>
          </w:tcPr>
          <w:p>
            <w:pPr>
              <w:jc w:val="left"/>
              <w:rPr>
                <w:sz w:val="11"/>
                <w:szCs w:val="15"/>
              </w:rPr>
            </w:pPr>
            <w:r>
              <w:rPr>
                <w:rFonts w:hint="eastAsia"/>
                <w:sz w:val="11"/>
                <w:szCs w:val="15"/>
              </w:rPr>
              <w:t>（六）其他处理</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671" w:type="dxa"/>
            <w:vMerge w:val="continue"/>
            <w:vAlign w:val="top"/>
          </w:tcPr>
          <w:p>
            <w:pPr>
              <w:jc w:val="left"/>
              <w:rPr>
                <w:sz w:val="11"/>
                <w:szCs w:val="15"/>
              </w:rPr>
            </w:pPr>
          </w:p>
        </w:tc>
        <w:tc>
          <w:tcPr>
            <w:tcW w:w="3029" w:type="dxa"/>
            <w:gridSpan w:val="2"/>
            <w:vAlign w:val="top"/>
          </w:tcPr>
          <w:p>
            <w:pPr>
              <w:jc w:val="left"/>
              <w:rPr>
                <w:sz w:val="11"/>
                <w:szCs w:val="15"/>
              </w:rPr>
            </w:pPr>
            <w:r>
              <w:rPr>
                <w:rFonts w:hint="eastAsia"/>
                <w:sz w:val="11"/>
                <w:szCs w:val="15"/>
              </w:rPr>
              <w:t>（七）总计</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3700" w:type="dxa"/>
            <w:gridSpan w:val="3"/>
            <w:vAlign w:val="top"/>
          </w:tcPr>
          <w:p>
            <w:pPr>
              <w:jc w:val="left"/>
              <w:rPr>
                <w:sz w:val="11"/>
                <w:szCs w:val="15"/>
              </w:rPr>
            </w:pPr>
            <w:r>
              <w:rPr>
                <w:rFonts w:hint="eastAsia"/>
                <w:sz w:val="11"/>
                <w:szCs w:val="15"/>
              </w:rPr>
              <w:t>四、结转下年度继续办理</w:t>
            </w:r>
          </w:p>
        </w:tc>
        <w:tc>
          <w:tcPr>
            <w:tcW w:w="410"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2" w:type="dxa"/>
            <w:vAlign w:val="top"/>
          </w:tcPr>
          <w:p>
            <w:pPr>
              <w:jc w:val="left"/>
              <w:rPr>
                <w:rFonts w:hint="eastAsia" w:eastAsia="宋体"/>
                <w:sz w:val="11"/>
                <w:szCs w:val="15"/>
                <w:lang w:val="en-US" w:eastAsia="zh-CN"/>
              </w:rPr>
            </w:pPr>
            <w:r>
              <w:rPr>
                <w:rFonts w:hint="eastAsia"/>
                <w:sz w:val="11"/>
                <w:szCs w:val="15"/>
                <w:lang w:val="en-US" w:eastAsia="zh-CN"/>
              </w:rPr>
              <w:t xml:space="preserve">0 </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1"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892"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714" w:type="dxa"/>
            <w:vAlign w:val="top"/>
          </w:tcPr>
          <w:p>
            <w:pPr>
              <w:jc w:val="left"/>
              <w:rPr>
                <w:rFonts w:hint="eastAsia" w:eastAsia="宋体"/>
                <w:sz w:val="11"/>
                <w:szCs w:val="15"/>
                <w:lang w:val="en-US" w:eastAsia="zh-CN"/>
              </w:rPr>
            </w:pPr>
            <w:r>
              <w:rPr>
                <w:rFonts w:hint="eastAsia"/>
                <w:sz w:val="11"/>
                <w:szCs w:val="15"/>
                <w:lang w:val="en-US" w:eastAsia="zh-CN"/>
              </w:rPr>
              <w:t>0</w:t>
            </w:r>
          </w:p>
        </w:tc>
        <w:tc>
          <w:tcPr>
            <w:tcW w:w="1067" w:type="dxa"/>
            <w:vAlign w:val="top"/>
          </w:tcPr>
          <w:p>
            <w:pPr>
              <w:jc w:val="left"/>
              <w:rPr>
                <w:rFonts w:hint="eastAsia" w:eastAsia="宋体"/>
                <w:sz w:val="11"/>
                <w:szCs w:val="15"/>
                <w:lang w:val="en-US" w:eastAsia="zh-CN"/>
              </w:rPr>
            </w:pPr>
            <w:r>
              <w:rPr>
                <w:rFonts w:hint="eastAsia"/>
                <w:sz w:val="11"/>
                <w:szCs w:val="15"/>
                <w:lang w:val="en-US" w:eastAsia="zh-CN"/>
              </w:rPr>
              <w:t>0</w:t>
            </w:r>
          </w:p>
        </w:tc>
      </w:tr>
    </w:tbl>
    <w:p>
      <w:pPr>
        <w:jc w:val="left"/>
        <w:rPr>
          <w:sz w:val="15"/>
          <w:szCs w:val="15"/>
        </w:rPr>
      </w:pPr>
    </w:p>
    <w:p>
      <w:pPr>
        <w:ind w:firstLine="640" w:firstLineChars="200"/>
        <w:jc w:val="left"/>
        <w:rPr>
          <w:rFonts w:ascii="黑体" w:hAnsi="黑体" w:eastAsia="黑体"/>
          <w:sz w:val="32"/>
          <w:szCs w:val="32"/>
        </w:rPr>
      </w:pPr>
      <w:r>
        <w:rPr>
          <w:rFonts w:hint="eastAsia" w:ascii="黑体" w:hAnsi="黑体" w:eastAsia="黑体"/>
          <w:sz w:val="32"/>
          <w:szCs w:val="32"/>
        </w:rPr>
        <w:t>四、政府信息公开行政复议、行政诉讼情况</w:t>
      </w:r>
    </w:p>
    <w:tbl>
      <w:tblPr>
        <w:tblStyle w:val="8"/>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gridSpan w:val="5"/>
            <w:vAlign w:val="top"/>
          </w:tcPr>
          <w:p>
            <w:pPr>
              <w:jc w:val="center"/>
              <w:rPr>
                <w:sz w:val="15"/>
                <w:szCs w:val="15"/>
              </w:rPr>
            </w:pPr>
            <w:r>
              <w:rPr>
                <w:rFonts w:hint="eastAsia"/>
                <w:sz w:val="15"/>
                <w:szCs w:val="15"/>
              </w:rPr>
              <w:t>行政复议</w:t>
            </w:r>
          </w:p>
        </w:tc>
        <w:tc>
          <w:tcPr>
            <w:tcW w:w="5682" w:type="dxa"/>
            <w:gridSpan w:val="10"/>
            <w:vAlign w:val="top"/>
          </w:tcPr>
          <w:p>
            <w:pPr>
              <w:jc w:val="center"/>
              <w:rPr>
                <w:sz w:val="15"/>
                <w:szCs w:val="15"/>
              </w:rPr>
            </w:pPr>
            <w:r>
              <w:rPr>
                <w:rFonts w:hint="eastAsia"/>
                <w:sz w:val="15"/>
                <w:szCs w:val="15"/>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Merge w:val="restart"/>
            <w:vAlign w:val="top"/>
          </w:tcPr>
          <w:p>
            <w:pPr>
              <w:jc w:val="center"/>
              <w:rPr>
                <w:sz w:val="15"/>
                <w:szCs w:val="15"/>
              </w:rPr>
            </w:pPr>
            <w:r>
              <w:rPr>
                <w:rFonts w:hint="eastAsia"/>
                <w:sz w:val="15"/>
                <w:szCs w:val="15"/>
              </w:rPr>
              <w:t>结</w:t>
            </w:r>
          </w:p>
          <w:p>
            <w:pPr>
              <w:jc w:val="center"/>
              <w:rPr>
                <w:sz w:val="15"/>
                <w:szCs w:val="15"/>
              </w:rPr>
            </w:pPr>
            <w:r>
              <w:rPr>
                <w:rFonts w:hint="eastAsia"/>
                <w:sz w:val="15"/>
                <w:szCs w:val="15"/>
              </w:rPr>
              <w:t>果</w:t>
            </w:r>
          </w:p>
          <w:p>
            <w:pPr>
              <w:jc w:val="center"/>
              <w:rPr>
                <w:sz w:val="15"/>
                <w:szCs w:val="15"/>
              </w:rPr>
            </w:pPr>
            <w:r>
              <w:rPr>
                <w:rFonts w:hint="eastAsia"/>
                <w:sz w:val="15"/>
                <w:szCs w:val="15"/>
              </w:rPr>
              <w:t>维</w:t>
            </w:r>
          </w:p>
          <w:p>
            <w:pPr>
              <w:jc w:val="center"/>
              <w:rPr>
                <w:sz w:val="15"/>
                <w:szCs w:val="15"/>
              </w:rPr>
            </w:pPr>
            <w:r>
              <w:rPr>
                <w:rFonts w:hint="eastAsia"/>
                <w:sz w:val="15"/>
                <w:szCs w:val="15"/>
              </w:rPr>
              <w:t>持</w:t>
            </w:r>
          </w:p>
        </w:tc>
        <w:tc>
          <w:tcPr>
            <w:tcW w:w="568" w:type="dxa"/>
            <w:vMerge w:val="restart"/>
            <w:vAlign w:val="top"/>
          </w:tcPr>
          <w:p>
            <w:pPr>
              <w:jc w:val="center"/>
              <w:rPr>
                <w:sz w:val="15"/>
                <w:szCs w:val="15"/>
              </w:rPr>
            </w:pPr>
            <w:r>
              <w:rPr>
                <w:rFonts w:hint="eastAsia"/>
                <w:sz w:val="15"/>
                <w:szCs w:val="15"/>
              </w:rPr>
              <w:t>结</w:t>
            </w:r>
          </w:p>
          <w:p>
            <w:pPr>
              <w:jc w:val="center"/>
              <w:rPr>
                <w:sz w:val="15"/>
                <w:szCs w:val="15"/>
              </w:rPr>
            </w:pPr>
            <w:r>
              <w:rPr>
                <w:rFonts w:hint="eastAsia"/>
                <w:sz w:val="15"/>
                <w:szCs w:val="15"/>
              </w:rPr>
              <w:t>果</w:t>
            </w:r>
          </w:p>
          <w:p>
            <w:pPr>
              <w:jc w:val="center"/>
              <w:rPr>
                <w:sz w:val="15"/>
                <w:szCs w:val="15"/>
              </w:rPr>
            </w:pPr>
            <w:r>
              <w:rPr>
                <w:rFonts w:hint="eastAsia"/>
                <w:sz w:val="15"/>
                <w:szCs w:val="15"/>
              </w:rPr>
              <w:t>纠</w:t>
            </w:r>
          </w:p>
          <w:p>
            <w:pPr>
              <w:jc w:val="center"/>
              <w:rPr>
                <w:sz w:val="15"/>
                <w:szCs w:val="15"/>
              </w:rPr>
            </w:pPr>
            <w:r>
              <w:rPr>
                <w:rFonts w:hint="eastAsia"/>
                <w:sz w:val="15"/>
                <w:szCs w:val="15"/>
              </w:rPr>
              <w:t>正</w:t>
            </w:r>
          </w:p>
        </w:tc>
        <w:tc>
          <w:tcPr>
            <w:tcW w:w="568" w:type="dxa"/>
            <w:vMerge w:val="restart"/>
            <w:vAlign w:val="top"/>
          </w:tcPr>
          <w:p>
            <w:pPr>
              <w:jc w:val="center"/>
              <w:rPr>
                <w:sz w:val="15"/>
                <w:szCs w:val="15"/>
              </w:rPr>
            </w:pPr>
            <w:r>
              <w:rPr>
                <w:rFonts w:hint="eastAsia"/>
                <w:sz w:val="15"/>
                <w:szCs w:val="15"/>
              </w:rPr>
              <w:t>其</w:t>
            </w:r>
          </w:p>
          <w:p>
            <w:pPr>
              <w:jc w:val="center"/>
              <w:rPr>
                <w:sz w:val="15"/>
                <w:szCs w:val="15"/>
              </w:rPr>
            </w:pPr>
            <w:r>
              <w:rPr>
                <w:rFonts w:hint="eastAsia"/>
                <w:sz w:val="15"/>
                <w:szCs w:val="15"/>
              </w:rPr>
              <w:t>他</w:t>
            </w:r>
          </w:p>
          <w:p>
            <w:pPr>
              <w:jc w:val="center"/>
              <w:rPr>
                <w:sz w:val="15"/>
                <w:szCs w:val="15"/>
              </w:rPr>
            </w:pPr>
            <w:r>
              <w:rPr>
                <w:rFonts w:hint="eastAsia"/>
                <w:sz w:val="15"/>
                <w:szCs w:val="15"/>
              </w:rPr>
              <w:t>结</w:t>
            </w:r>
          </w:p>
          <w:p>
            <w:pPr>
              <w:jc w:val="center"/>
              <w:rPr>
                <w:sz w:val="15"/>
                <w:szCs w:val="15"/>
              </w:rPr>
            </w:pPr>
            <w:r>
              <w:rPr>
                <w:rFonts w:hint="eastAsia"/>
                <w:sz w:val="15"/>
                <w:szCs w:val="15"/>
              </w:rPr>
              <w:t>果</w:t>
            </w:r>
          </w:p>
        </w:tc>
        <w:tc>
          <w:tcPr>
            <w:tcW w:w="568" w:type="dxa"/>
            <w:vMerge w:val="restart"/>
            <w:vAlign w:val="top"/>
          </w:tcPr>
          <w:p>
            <w:pPr>
              <w:jc w:val="center"/>
              <w:rPr>
                <w:sz w:val="15"/>
                <w:szCs w:val="15"/>
              </w:rPr>
            </w:pPr>
            <w:r>
              <w:rPr>
                <w:rFonts w:hint="eastAsia"/>
                <w:sz w:val="15"/>
                <w:szCs w:val="15"/>
              </w:rPr>
              <w:t>尚</w:t>
            </w:r>
          </w:p>
          <w:p>
            <w:pPr>
              <w:jc w:val="center"/>
              <w:rPr>
                <w:sz w:val="15"/>
                <w:szCs w:val="15"/>
              </w:rPr>
            </w:pPr>
            <w:r>
              <w:rPr>
                <w:rFonts w:hint="eastAsia"/>
                <w:sz w:val="15"/>
                <w:szCs w:val="15"/>
              </w:rPr>
              <w:t>未</w:t>
            </w:r>
          </w:p>
          <w:p>
            <w:pPr>
              <w:jc w:val="center"/>
              <w:rPr>
                <w:sz w:val="15"/>
                <w:szCs w:val="15"/>
              </w:rPr>
            </w:pPr>
            <w:r>
              <w:rPr>
                <w:rFonts w:hint="eastAsia"/>
                <w:sz w:val="15"/>
                <w:szCs w:val="15"/>
              </w:rPr>
              <w:t>审</w:t>
            </w:r>
          </w:p>
          <w:p>
            <w:pPr>
              <w:jc w:val="center"/>
              <w:rPr>
                <w:sz w:val="15"/>
                <w:szCs w:val="15"/>
              </w:rPr>
            </w:pPr>
            <w:r>
              <w:rPr>
                <w:rFonts w:hint="eastAsia"/>
                <w:sz w:val="15"/>
                <w:szCs w:val="15"/>
              </w:rPr>
              <w:t>结</w:t>
            </w:r>
          </w:p>
        </w:tc>
        <w:tc>
          <w:tcPr>
            <w:tcW w:w="568" w:type="dxa"/>
            <w:vMerge w:val="restart"/>
            <w:vAlign w:val="top"/>
          </w:tcPr>
          <w:p>
            <w:pPr>
              <w:jc w:val="center"/>
              <w:rPr>
                <w:sz w:val="15"/>
                <w:szCs w:val="15"/>
              </w:rPr>
            </w:pPr>
          </w:p>
          <w:p>
            <w:pPr>
              <w:rPr>
                <w:sz w:val="15"/>
                <w:szCs w:val="15"/>
              </w:rPr>
            </w:pPr>
          </w:p>
          <w:p>
            <w:pPr>
              <w:rPr>
                <w:sz w:val="15"/>
                <w:szCs w:val="15"/>
              </w:rPr>
            </w:pPr>
            <w:r>
              <w:rPr>
                <w:rFonts w:hint="eastAsia"/>
                <w:sz w:val="15"/>
                <w:szCs w:val="15"/>
              </w:rPr>
              <w:t>总计</w:t>
            </w:r>
          </w:p>
        </w:tc>
        <w:tc>
          <w:tcPr>
            <w:tcW w:w="2840" w:type="dxa"/>
            <w:gridSpan w:val="5"/>
            <w:vAlign w:val="top"/>
          </w:tcPr>
          <w:p>
            <w:pPr>
              <w:jc w:val="center"/>
              <w:rPr>
                <w:sz w:val="15"/>
                <w:szCs w:val="15"/>
              </w:rPr>
            </w:pPr>
            <w:r>
              <w:rPr>
                <w:rFonts w:hint="eastAsia"/>
                <w:sz w:val="15"/>
                <w:szCs w:val="15"/>
              </w:rPr>
              <w:t>未经复议直接起诉</w:t>
            </w:r>
          </w:p>
        </w:tc>
        <w:tc>
          <w:tcPr>
            <w:tcW w:w="2842" w:type="dxa"/>
            <w:gridSpan w:val="5"/>
            <w:vAlign w:val="top"/>
          </w:tcPr>
          <w:p>
            <w:pPr>
              <w:jc w:val="center"/>
              <w:rPr>
                <w:sz w:val="15"/>
                <w:szCs w:val="15"/>
              </w:rPr>
            </w:pPr>
            <w:r>
              <w:rPr>
                <w:rFonts w:hint="eastAsia"/>
                <w:sz w:val="15"/>
                <w:szCs w:val="15"/>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atLeast"/>
        </w:trPr>
        <w:tc>
          <w:tcPr>
            <w:tcW w:w="568" w:type="dxa"/>
            <w:vMerge w:val="continue"/>
            <w:vAlign w:val="top"/>
          </w:tcPr>
          <w:p>
            <w:pPr>
              <w:jc w:val="left"/>
              <w:rPr>
                <w:sz w:val="15"/>
                <w:szCs w:val="15"/>
              </w:rPr>
            </w:pPr>
          </w:p>
        </w:tc>
        <w:tc>
          <w:tcPr>
            <w:tcW w:w="568" w:type="dxa"/>
            <w:vMerge w:val="continue"/>
            <w:vAlign w:val="top"/>
          </w:tcPr>
          <w:p>
            <w:pPr>
              <w:jc w:val="left"/>
              <w:rPr>
                <w:sz w:val="15"/>
                <w:szCs w:val="15"/>
              </w:rPr>
            </w:pPr>
          </w:p>
        </w:tc>
        <w:tc>
          <w:tcPr>
            <w:tcW w:w="568" w:type="dxa"/>
            <w:vMerge w:val="continue"/>
            <w:vAlign w:val="top"/>
          </w:tcPr>
          <w:p>
            <w:pPr>
              <w:jc w:val="left"/>
              <w:rPr>
                <w:sz w:val="15"/>
                <w:szCs w:val="15"/>
              </w:rPr>
            </w:pPr>
          </w:p>
        </w:tc>
        <w:tc>
          <w:tcPr>
            <w:tcW w:w="568" w:type="dxa"/>
            <w:vMerge w:val="continue"/>
            <w:vAlign w:val="top"/>
          </w:tcPr>
          <w:p>
            <w:pPr>
              <w:jc w:val="left"/>
              <w:rPr>
                <w:sz w:val="15"/>
                <w:szCs w:val="15"/>
              </w:rPr>
            </w:pPr>
          </w:p>
        </w:tc>
        <w:tc>
          <w:tcPr>
            <w:tcW w:w="568" w:type="dxa"/>
            <w:vMerge w:val="continue"/>
            <w:vAlign w:val="top"/>
          </w:tcPr>
          <w:p>
            <w:pPr>
              <w:jc w:val="left"/>
              <w:rPr>
                <w:sz w:val="15"/>
                <w:szCs w:val="15"/>
              </w:rPr>
            </w:pPr>
          </w:p>
        </w:tc>
        <w:tc>
          <w:tcPr>
            <w:tcW w:w="568" w:type="dxa"/>
            <w:vAlign w:val="top"/>
          </w:tcPr>
          <w:p>
            <w:pPr>
              <w:jc w:val="center"/>
              <w:rPr>
                <w:sz w:val="15"/>
                <w:szCs w:val="15"/>
              </w:rPr>
            </w:pPr>
            <w:r>
              <w:rPr>
                <w:rFonts w:hint="eastAsia"/>
                <w:sz w:val="15"/>
                <w:szCs w:val="15"/>
              </w:rPr>
              <w:t>结</w:t>
            </w:r>
          </w:p>
          <w:p>
            <w:pPr>
              <w:jc w:val="center"/>
              <w:rPr>
                <w:sz w:val="15"/>
                <w:szCs w:val="15"/>
              </w:rPr>
            </w:pPr>
            <w:r>
              <w:rPr>
                <w:rFonts w:hint="eastAsia"/>
                <w:sz w:val="15"/>
                <w:szCs w:val="15"/>
              </w:rPr>
              <w:t>果</w:t>
            </w:r>
          </w:p>
          <w:p>
            <w:pPr>
              <w:jc w:val="center"/>
              <w:rPr>
                <w:sz w:val="15"/>
                <w:szCs w:val="15"/>
              </w:rPr>
            </w:pPr>
            <w:r>
              <w:rPr>
                <w:rFonts w:hint="eastAsia"/>
                <w:sz w:val="15"/>
                <w:szCs w:val="15"/>
              </w:rPr>
              <w:t>维</w:t>
            </w:r>
          </w:p>
          <w:p>
            <w:pPr>
              <w:jc w:val="center"/>
              <w:rPr>
                <w:sz w:val="15"/>
                <w:szCs w:val="15"/>
              </w:rPr>
            </w:pPr>
            <w:r>
              <w:rPr>
                <w:rFonts w:hint="eastAsia"/>
                <w:sz w:val="15"/>
                <w:szCs w:val="15"/>
              </w:rPr>
              <w:t>持</w:t>
            </w:r>
          </w:p>
        </w:tc>
        <w:tc>
          <w:tcPr>
            <w:tcW w:w="568" w:type="dxa"/>
            <w:vAlign w:val="top"/>
          </w:tcPr>
          <w:p>
            <w:pPr>
              <w:jc w:val="center"/>
              <w:rPr>
                <w:sz w:val="15"/>
                <w:szCs w:val="15"/>
              </w:rPr>
            </w:pPr>
            <w:r>
              <w:rPr>
                <w:rFonts w:hint="eastAsia"/>
                <w:sz w:val="15"/>
                <w:szCs w:val="15"/>
              </w:rPr>
              <w:t>结</w:t>
            </w:r>
          </w:p>
          <w:p>
            <w:pPr>
              <w:jc w:val="center"/>
              <w:rPr>
                <w:sz w:val="15"/>
                <w:szCs w:val="15"/>
              </w:rPr>
            </w:pPr>
            <w:r>
              <w:rPr>
                <w:rFonts w:hint="eastAsia"/>
                <w:sz w:val="15"/>
                <w:szCs w:val="15"/>
              </w:rPr>
              <w:t>果</w:t>
            </w:r>
          </w:p>
          <w:p>
            <w:pPr>
              <w:jc w:val="center"/>
              <w:rPr>
                <w:sz w:val="15"/>
                <w:szCs w:val="15"/>
              </w:rPr>
            </w:pPr>
            <w:r>
              <w:rPr>
                <w:rFonts w:hint="eastAsia"/>
                <w:sz w:val="15"/>
                <w:szCs w:val="15"/>
              </w:rPr>
              <w:t>纠</w:t>
            </w:r>
          </w:p>
          <w:p>
            <w:pPr>
              <w:jc w:val="center"/>
              <w:rPr>
                <w:sz w:val="15"/>
                <w:szCs w:val="15"/>
              </w:rPr>
            </w:pPr>
            <w:r>
              <w:rPr>
                <w:rFonts w:hint="eastAsia"/>
                <w:sz w:val="15"/>
                <w:szCs w:val="15"/>
              </w:rPr>
              <w:t>正</w:t>
            </w:r>
          </w:p>
        </w:tc>
        <w:tc>
          <w:tcPr>
            <w:tcW w:w="568" w:type="dxa"/>
            <w:vAlign w:val="top"/>
          </w:tcPr>
          <w:p>
            <w:pPr>
              <w:jc w:val="center"/>
              <w:rPr>
                <w:sz w:val="15"/>
                <w:szCs w:val="15"/>
              </w:rPr>
            </w:pPr>
            <w:r>
              <w:rPr>
                <w:rFonts w:hint="eastAsia"/>
                <w:sz w:val="15"/>
                <w:szCs w:val="15"/>
              </w:rPr>
              <w:t>其</w:t>
            </w:r>
          </w:p>
          <w:p>
            <w:pPr>
              <w:jc w:val="center"/>
              <w:rPr>
                <w:sz w:val="15"/>
                <w:szCs w:val="15"/>
              </w:rPr>
            </w:pPr>
            <w:r>
              <w:rPr>
                <w:rFonts w:hint="eastAsia"/>
                <w:sz w:val="15"/>
                <w:szCs w:val="15"/>
              </w:rPr>
              <w:t>他</w:t>
            </w:r>
          </w:p>
          <w:p>
            <w:pPr>
              <w:jc w:val="center"/>
              <w:rPr>
                <w:sz w:val="15"/>
                <w:szCs w:val="15"/>
              </w:rPr>
            </w:pPr>
            <w:r>
              <w:rPr>
                <w:rFonts w:hint="eastAsia"/>
                <w:sz w:val="15"/>
                <w:szCs w:val="15"/>
              </w:rPr>
              <w:t>结</w:t>
            </w:r>
          </w:p>
          <w:p>
            <w:pPr>
              <w:jc w:val="center"/>
              <w:rPr>
                <w:sz w:val="15"/>
                <w:szCs w:val="15"/>
              </w:rPr>
            </w:pPr>
            <w:r>
              <w:rPr>
                <w:rFonts w:hint="eastAsia"/>
                <w:sz w:val="15"/>
                <w:szCs w:val="15"/>
              </w:rPr>
              <w:t>果</w:t>
            </w:r>
          </w:p>
        </w:tc>
        <w:tc>
          <w:tcPr>
            <w:tcW w:w="568" w:type="dxa"/>
            <w:vAlign w:val="top"/>
          </w:tcPr>
          <w:p>
            <w:pPr>
              <w:jc w:val="center"/>
              <w:rPr>
                <w:sz w:val="15"/>
                <w:szCs w:val="15"/>
              </w:rPr>
            </w:pPr>
            <w:r>
              <w:rPr>
                <w:rFonts w:hint="eastAsia"/>
                <w:sz w:val="15"/>
                <w:szCs w:val="15"/>
              </w:rPr>
              <w:t>尚</w:t>
            </w:r>
          </w:p>
          <w:p>
            <w:pPr>
              <w:jc w:val="center"/>
              <w:rPr>
                <w:sz w:val="15"/>
                <w:szCs w:val="15"/>
              </w:rPr>
            </w:pPr>
            <w:r>
              <w:rPr>
                <w:rFonts w:hint="eastAsia"/>
                <w:sz w:val="15"/>
                <w:szCs w:val="15"/>
              </w:rPr>
              <w:t>未</w:t>
            </w:r>
          </w:p>
          <w:p>
            <w:pPr>
              <w:jc w:val="center"/>
              <w:rPr>
                <w:sz w:val="15"/>
                <w:szCs w:val="15"/>
              </w:rPr>
            </w:pPr>
            <w:r>
              <w:rPr>
                <w:rFonts w:hint="eastAsia"/>
                <w:sz w:val="15"/>
                <w:szCs w:val="15"/>
              </w:rPr>
              <w:t>审</w:t>
            </w:r>
          </w:p>
          <w:p>
            <w:pPr>
              <w:jc w:val="center"/>
              <w:rPr>
                <w:sz w:val="15"/>
                <w:szCs w:val="15"/>
              </w:rPr>
            </w:pPr>
            <w:r>
              <w:rPr>
                <w:rFonts w:hint="eastAsia"/>
                <w:sz w:val="15"/>
                <w:szCs w:val="15"/>
              </w:rPr>
              <w:t>结</w:t>
            </w:r>
          </w:p>
        </w:tc>
        <w:tc>
          <w:tcPr>
            <w:tcW w:w="568" w:type="dxa"/>
            <w:vAlign w:val="top"/>
          </w:tcPr>
          <w:p>
            <w:pPr>
              <w:jc w:val="center"/>
              <w:rPr>
                <w:sz w:val="15"/>
                <w:szCs w:val="15"/>
              </w:rPr>
            </w:pPr>
          </w:p>
          <w:p>
            <w:pPr>
              <w:rPr>
                <w:sz w:val="15"/>
                <w:szCs w:val="15"/>
              </w:rPr>
            </w:pPr>
            <w:r>
              <w:rPr>
                <w:rFonts w:hint="eastAsia"/>
                <w:sz w:val="15"/>
                <w:szCs w:val="15"/>
              </w:rPr>
              <w:t>总</w:t>
            </w:r>
          </w:p>
          <w:p>
            <w:pPr>
              <w:rPr>
                <w:sz w:val="15"/>
                <w:szCs w:val="15"/>
              </w:rPr>
            </w:pPr>
            <w:r>
              <w:rPr>
                <w:rFonts w:hint="eastAsia"/>
                <w:sz w:val="15"/>
                <w:szCs w:val="15"/>
              </w:rPr>
              <w:t>计</w:t>
            </w:r>
          </w:p>
        </w:tc>
        <w:tc>
          <w:tcPr>
            <w:tcW w:w="568" w:type="dxa"/>
            <w:vAlign w:val="top"/>
          </w:tcPr>
          <w:p>
            <w:pPr>
              <w:jc w:val="center"/>
              <w:rPr>
                <w:sz w:val="15"/>
                <w:szCs w:val="15"/>
              </w:rPr>
            </w:pPr>
            <w:r>
              <w:rPr>
                <w:rFonts w:hint="eastAsia"/>
                <w:sz w:val="15"/>
                <w:szCs w:val="15"/>
              </w:rPr>
              <w:t>结</w:t>
            </w:r>
          </w:p>
          <w:p>
            <w:pPr>
              <w:jc w:val="center"/>
              <w:rPr>
                <w:sz w:val="15"/>
                <w:szCs w:val="15"/>
              </w:rPr>
            </w:pPr>
            <w:r>
              <w:rPr>
                <w:rFonts w:hint="eastAsia"/>
                <w:sz w:val="15"/>
                <w:szCs w:val="15"/>
              </w:rPr>
              <w:t>果</w:t>
            </w:r>
          </w:p>
          <w:p>
            <w:pPr>
              <w:jc w:val="center"/>
              <w:rPr>
                <w:sz w:val="15"/>
                <w:szCs w:val="15"/>
              </w:rPr>
            </w:pPr>
            <w:r>
              <w:rPr>
                <w:rFonts w:hint="eastAsia"/>
                <w:sz w:val="15"/>
                <w:szCs w:val="15"/>
              </w:rPr>
              <w:t>维</w:t>
            </w:r>
          </w:p>
          <w:p>
            <w:pPr>
              <w:jc w:val="center"/>
              <w:rPr>
                <w:sz w:val="15"/>
                <w:szCs w:val="15"/>
              </w:rPr>
            </w:pPr>
            <w:r>
              <w:rPr>
                <w:rFonts w:hint="eastAsia"/>
                <w:sz w:val="15"/>
                <w:szCs w:val="15"/>
              </w:rPr>
              <w:t>持</w:t>
            </w:r>
          </w:p>
        </w:tc>
        <w:tc>
          <w:tcPr>
            <w:tcW w:w="568" w:type="dxa"/>
            <w:vAlign w:val="top"/>
          </w:tcPr>
          <w:p>
            <w:pPr>
              <w:jc w:val="center"/>
              <w:rPr>
                <w:sz w:val="15"/>
                <w:szCs w:val="15"/>
              </w:rPr>
            </w:pPr>
            <w:r>
              <w:rPr>
                <w:rFonts w:hint="eastAsia"/>
                <w:sz w:val="15"/>
                <w:szCs w:val="15"/>
              </w:rPr>
              <w:t>结</w:t>
            </w:r>
          </w:p>
          <w:p>
            <w:pPr>
              <w:jc w:val="center"/>
              <w:rPr>
                <w:sz w:val="15"/>
                <w:szCs w:val="15"/>
              </w:rPr>
            </w:pPr>
            <w:r>
              <w:rPr>
                <w:rFonts w:hint="eastAsia"/>
                <w:sz w:val="15"/>
                <w:szCs w:val="15"/>
              </w:rPr>
              <w:t>果</w:t>
            </w:r>
          </w:p>
          <w:p>
            <w:pPr>
              <w:jc w:val="center"/>
              <w:rPr>
                <w:sz w:val="15"/>
                <w:szCs w:val="15"/>
              </w:rPr>
            </w:pPr>
            <w:r>
              <w:rPr>
                <w:rFonts w:hint="eastAsia"/>
                <w:sz w:val="15"/>
                <w:szCs w:val="15"/>
              </w:rPr>
              <w:t>纠</w:t>
            </w:r>
          </w:p>
          <w:p>
            <w:pPr>
              <w:jc w:val="center"/>
              <w:rPr>
                <w:sz w:val="15"/>
                <w:szCs w:val="15"/>
              </w:rPr>
            </w:pPr>
            <w:r>
              <w:rPr>
                <w:rFonts w:hint="eastAsia"/>
                <w:sz w:val="15"/>
                <w:szCs w:val="15"/>
              </w:rPr>
              <w:t>正</w:t>
            </w:r>
          </w:p>
        </w:tc>
        <w:tc>
          <w:tcPr>
            <w:tcW w:w="568" w:type="dxa"/>
            <w:vAlign w:val="top"/>
          </w:tcPr>
          <w:p>
            <w:pPr>
              <w:jc w:val="center"/>
              <w:rPr>
                <w:sz w:val="15"/>
                <w:szCs w:val="15"/>
              </w:rPr>
            </w:pPr>
          </w:p>
          <w:p>
            <w:pPr>
              <w:rPr>
                <w:sz w:val="15"/>
                <w:szCs w:val="15"/>
              </w:rPr>
            </w:pPr>
            <w:r>
              <w:rPr>
                <w:rFonts w:hint="eastAsia"/>
                <w:sz w:val="15"/>
                <w:szCs w:val="15"/>
              </w:rPr>
              <w:t>其他</w:t>
            </w:r>
          </w:p>
          <w:p>
            <w:pPr>
              <w:rPr>
                <w:sz w:val="15"/>
                <w:szCs w:val="15"/>
              </w:rPr>
            </w:pPr>
            <w:r>
              <w:rPr>
                <w:rFonts w:hint="eastAsia"/>
                <w:sz w:val="15"/>
                <w:szCs w:val="15"/>
              </w:rPr>
              <w:t>结果</w:t>
            </w:r>
          </w:p>
        </w:tc>
        <w:tc>
          <w:tcPr>
            <w:tcW w:w="569" w:type="dxa"/>
            <w:vAlign w:val="top"/>
          </w:tcPr>
          <w:p>
            <w:pPr>
              <w:jc w:val="center"/>
              <w:rPr>
                <w:sz w:val="15"/>
                <w:szCs w:val="15"/>
              </w:rPr>
            </w:pPr>
          </w:p>
          <w:p>
            <w:pPr>
              <w:jc w:val="center"/>
              <w:rPr>
                <w:sz w:val="15"/>
                <w:szCs w:val="15"/>
              </w:rPr>
            </w:pPr>
            <w:r>
              <w:rPr>
                <w:rFonts w:hint="eastAsia"/>
                <w:sz w:val="15"/>
                <w:szCs w:val="15"/>
              </w:rPr>
              <w:t>尚未审结</w:t>
            </w:r>
          </w:p>
        </w:tc>
        <w:tc>
          <w:tcPr>
            <w:tcW w:w="569" w:type="dxa"/>
            <w:vAlign w:val="top"/>
          </w:tcPr>
          <w:p>
            <w:pPr>
              <w:jc w:val="center"/>
              <w:rPr>
                <w:sz w:val="15"/>
                <w:szCs w:val="15"/>
              </w:rPr>
            </w:pPr>
          </w:p>
          <w:p>
            <w:pPr>
              <w:rPr>
                <w:sz w:val="15"/>
                <w:szCs w:val="15"/>
              </w:rPr>
            </w:pPr>
            <w:r>
              <w:rPr>
                <w:rFonts w:hint="eastAsia"/>
                <w:sz w:val="15"/>
                <w:szCs w:val="15"/>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8"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9" w:type="dxa"/>
            <w:vAlign w:val="top"/>
          </w:tcPr>
          <w:p>
            <w:pPr>
              <w:jc w:val="left"/>
              <w:rPr>
                <w:rFonts w:hint="eastAsia" w:eastAsia="宋体"/>
                <w:sz w:val="15"/>
                <w:szCs w:val="15"/>
                <w:lang w:val="en-US" w:eastAsia="zh-CN"/>
              </w:rPr>
            </w:pPr>
            <w:r>
              <w:rPr>
                <w:rFonts w:hint="eastAsia"/>
                <w:sz w:val="15"/>
                <w:szCs w:val="15"/>
                <w:lang w:val="en-US" w:eastAsia="zh-CN"/>
              </w:rPr>
              <w:t>0</w:t>
            </w:r>
          </w:p>
        </w:tc>
        <w:tc>
          <w:tcPr>
            <w:tcW w:w="569" w:type="dxa"/>
            <w:vAlign w:val="top"/>
          </w:tcPr>
          <w:p>
            <w:pPr>
              <w:jc w:val="left"/>
              <w:rPr>
                <w:rFonts w:hint="eastAsia" w:eastAsia="宋体"/>
                <w:sz w:val="15"/>
                <w:szCs w:val="15"/>
                <w:lang w:val="en-US" w:eastAsia="zh-CN"/>
              </w:rPr>
            </w:pPr>
            <w:r>
              <w:rPr>
                <w:rFonts w:hint="eastAsia"/>
                <w:sz w:val="15"/>
                <w:szCs w:val="15"/>
                <w:lang w:val="en-US" w:eastAsia="zh-CN"/>
              </w:rPr>
              <w:t>0</w:t>
            </w:r>
          </w:p>
        </w:tc>
      </w:tr>
    </w:tbl>
    <w:p>
      <w:pPr>
        <w:pStyle w:val="4"/>
        <w:widowControl/>
        <w:numPr>
          <w:numId w:val="0"/>
        </w:numPr>
        <w:pBdr>
          <w:top w:val="none" w:color="auto" w:sz="0" w:space="0"/>
          <w:left w:val="none" w:color="auto" w:sz="0" w:space="0"/>
          <w:bottom w:val="none" w:color="auto" w:sz="0" w:space="0"/>
          <w:right w:val="none" w:color="auto" w:sz="0" w:space="0"/>
        </w:pBdr>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五、政府信息公开工作存在的主要问题及改进情况</w:t>
      </w:r>
    </w:p>
    <w:p>
      <w:pPr>
        <w:pStyle w:val="4"/>
        <w:widowControl/>
        <w:numPr>
          <w:numId w:val="0"/>
        </w:numPr>
        <w:pBdr>
          <w:top w:val="none" w:color="auto" w:sz="0" w:space="0"/>
          <w:left w:val="none" w:color="auto" w:sz="0" w:space="0"/>
          <w:bottom w:val="none" w:color="auto" w:sz="0" w:space="0"/>
          <w:right w:val="none" w:color="auto" w:sz="0" w:space="0"/>
        </w:pBdr>
        <w:ind w:leftChars="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由于较少接到依申请公开件，政府信息依申请公开工作业务办理不太熟悉，明年将加强业务学习，提升业务水平。二是政府文件公开属性审查工作执行不够到位，明年改进工作方式，完善工作制度，逐步实现街道文件公开属性全面审查，并及时、准确公开政府信息。三是加强《中华人民共和国政府信息公开条例》，全面提升业务水平和政府信息公开工作质量。</w:t>
      </w:r>
    </w:p>
    <w:p>
      <w:pPr>
        <w:pStyle w:val="4"/>
        <w:widowControl/>
        <w:numPr>
          <w:numId w:val="0"/>
        </w:numPr>
        <w:pBdr>
          <w:top w:val="none" w:color="auto" w:sz="0" w:space="0"/>
          <w:left w:val="none" w:color="auto" w:sz="0" w:space="0"/>
          <w:bottom w:val="none" w:color="auto" w:sz="0" w:space="0"/>
          <w:right w:val="none" w:color="auto" w:sz="0" w:space="0"/>
        </w:pBdr>
        <w:ind w:leftChars="0"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p>
    <w:p>
      <w:p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ind w:firstLine="640" w:firstLineChars="200"/>
        <w:jc w:val="left"/>
        <w:rPr>
          <w:rFonts w:hint="eastAsia" w:ascii="仿宋_GB2312" w:hAnsi="仿宋_GB2312" w:eastAsia="仿宋_GB2312" w:cs="仿宋_GB2312"/>
          <w:kern w:val="2"/>
          <w:sz w:val="32"/>
          <w:szCs w:val="32"/>
          <w:lang w:val="en-US" w:eastAsia="zh-CN" w:bidi="ar-SA"/>
        </w:rPr>
      </w:pPr>
    </w:p>
    <w:p>
      <w:pPr>
        <w:ind w:firstLine="640" w:firstLineChars="200"/>
        <w:jc w:val="left"/>
        <w:rPr>
          <w:rFonts w:hint="eastAsia" w:ascii="仿宋_GB2312" w:hAnsi="仿宋_GB2312" w:eastAsia="仿宋_GB2312" w:cs="仿宋_GB2312"/>
          <w:kern w:val="2"/>
          <w:sz w:val="32"/>
          <w:szCs w:val="32"/>
          <w:lang w:val="en-US" w:eastAsia="zh-CN" w:bidi="ar-SA"/>
        </w:rPr>
      </w:pPr>
    </w:p>
    <w:p>
      <w:p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昆明市盘龙区双龙街道办事处</w:t>
      </w:r>
    </w:p>
    <w:p>
      <w:p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2019年12月31日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E077E"/>
    <w:rsid w:val="000143F3"/>
    <w:rsid w:val="000E6DB3"/>
    <w:rsid w:val="00103BC3"/>
    <w:rsid w:val="001066CD"/>
    <w:rsid w:val="00144C95"/>
    <w:rsid w:val="00165018"/>
    <w:rsid w:val="00174D63"/>
    <w:rsid w:val="001B1A1E"/>
    <w:rsid w:val="001C6561"/>
    <w:rsid w:val="002222CB"/>
    <w:rsid w:val="002B442D"/>
    <w:rsid w:val="002C63BB"/>
    <w:rsid w:val="002E077E"/>
    <w:rsid w:val="003150AB"/>
    <w:rsid w:val="00317B4B"/>
    <w:rsid w:val="003A74D2"/>
    <w:rsid w:val="003E0841"/>
    <w:rsid w:val="003E4EA4"/>
    <w:rsid w:val="003F2BAC"/>
    <w:rsid w:val="00414209"/>
    <w:rsid w:val="0045319A"/>
    <w:rsid w:val="004A57EA"/>
    <w:rsid w:val="00520A29"/>
    <w:rsid w:val="00571A46"/>
    <w:rsid w:val="005E4486"/>
    <w:rsid w:val="005F0FD8"/>
    <w:rsid w:val="006A30CA"/>
    <w:rsid w:val="007E2E71"/>
    <w:rsid w:val="008C54F7"/>
    <w:rsid w:val="00926F34"/>
    <w:rsid w:val="00A002FA"/>
    <w:rsid w:val="00AF352A"/>
    <w:rsid w:val="00B075B2"/>
    <w:rsid w:val="00B70AE6"/>
    <w:rsid w:val="00BE09C9"/>
    <w:rsid w:val="00BF173B"/>
    <w:rsid w:val="00C33109"/>
    <w:rsid w:val="00D20AA1"/>
    <w:rsid w:val="00DA343A"/>
    <w:rsid w:val="00DC3E44"/>
    <w:rsid w:val="00DE1E18"/>
    <w:rsid w:val="00DE58BD"/>
    <w:rsid w:val="00E53A80"/>
    <w:rsid w:val="00E56A6D"/>
    <w:rsid w:val="00EB4D9E"/>
    <w:rsid w:val="00EF3C51"/>
    <w:rsid w:val="00FE65AD"/>
    <w:rsid w:val="00FF7DD8"/>
    <w:rsid w:val="0D375B3C"/>
    <w:rsid w:val="0D9833DB"/>
    <w:rsid w:val="12072EA1"/>
    <w:rsid w:val="16B60D65"/>
    <w:rsid w:val="17892228"/>
    <w:rsid w:val="180F1722"/>
    <w:rsid w:val="19B7283D"/>
    <w:rsid w:val="1D107256"/>
    <w:rsid w:val="200F7A29"/>
    <w:rsid w:val="203046DB"/>
    <w:rsid w:val="2552184A"/>
    <w:rsid w:val="25ED757B"/>
    <w:rsid w:val="298E633C"/>
    <w:rsid w:val="2B9F159F"/>
    <w:rsid w:val="36816291"/>
    <w:rsid w:val="37CE559C"/>
    <w:rsid w:val="3A0451BC"/>
    <w:rsid w:val="3CBA69AE"/>
    <w:rsid w:val="440234A3"/>
    <w:rsid w:val="45930145"/>
    <w:rsid w:val="47A24E54"/>
    <w:rsid w:val="4E3C1AAA"/>
    <w:rsid w:val="4FE60326"/>
    <w:rsid w:val="5BAE1FF5"/>
    <w:rsid w:val="5D7A166C"/>
    <w:rsid w:val="603749E8"/>
    <w:rsid w:val="62751A14"/>
    <w:rsid w:val="65F364D3"/>
    <w:rsid w:val="6AD3024F"/>
    <w:rsid w:val="6DA92AC4"/>
    <w:rsid w:val="6F1F0BDE"/>
    <w:rsid w:val="74AD36F0"/>
    <w:rsid w:val="7A6C4BA8"/>
    <w:rsid w:val="7EB119EA"/>
    <w:rsid w:val="7F8F7D5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Strong"/>
    <w:basedOn w:val="5"/>
    <w:qFormat/>
    <w:uiPriority w:val="0"/>
    <w:rPr>
      <w:b/>
    </w:rPr>
  </w:style>
  <w:style w:type="table" w:styleId="8">
    <w:name w:val="Table Grid"/>
    <w:basedOn w:val="7"/>
    <w:uiPriority w:val="59"/>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Words>
  <Characters>989</Characters>
  <Lines>8</Lines>
  <Paragraphs>2</Paragraphs>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2019-12-09T06:31:00Z</dcterms:created>
  <dc:creator>NTKO</dc:creator>
  <cp:lastModifiedBy>Administrator</cp:lastModifiedBy>
  <dcterms:modified xsi:type="dcterms:W3CDTF">2020-02-13T08:27:19Z</dcterms:modified>
  <dc:title>双龙街道政府信息公开工作年度报告格</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