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Lines="200" w:beforeAutospacing="0" w:after="0" w:afterAutospacing="0" w:line="660" w:lineRule="exact"/>
        <w:jc w:val="center"/>
        <w:rPr>
          <w:rStyle w:val="8"/>
          <w:rFonts w:ascii="方正小标宋简体" w:hAnsi="方正小标宋简体" w:eastAsia="方正小标宋简体" w:cs="方正小标宋简体"/>
          <w:bCs/>
          <w:color w:val="000000" w:themeColor="text1"/>
          <w:spacing w:val="8"/>
          <w:sz w:val="44"/>
          <w:szCs w:val="44"/>
        </w:rPr>
      </w:pPr>
      <w:r>
        <w:rPr>
          <w:rStyle w:val="8"/>
          <w:rFonts w:hint="eastAsia" w:ascii="方正小标宋简体" w:hAnsi="方正小标宋简体" w:eastAsia="方正小标宋简体" w:cs="方正小标宋简体"/>
          <w:bCs/>
          <w:color w:val="000000" w:themeColor="text1"/>
          <w:spacing w:val="8"/>
          <w:sz w:val="44"/>
          <w:szCs w:val="44"/>
        </w:rPr>
        <w:t>2019年度盘龙区统计局政府信息公开</w:t>
      </w:r>
    </w:p>
    <w:p>
      <w:pPr>
        <w:pStyle w:val="4"/>
        <w:widowControl/>
        <w:spacing w:before="0" w:beforeAutospacing="0" w:afterLines="200" w:afterAutospacing="0" w:line="660" w:lineRule="exact"/>
        <w:jc w:val="center"/>
        <w:rPr>
          <w:rFonts w:ascii="方正小标宋简体" w:hAnsi="方正小标宋简体" w:eastAsia="方正小标宋简体" w:cs="方正小标宋简体"/>
          <w:bCs/>
          <w:color w:val="000000" w:themeColor="text1"/>
          <w:spacing w:val="8"/>
          <w:sz w:val="44"/>
          <w:szCs w:val="44"/>
        </w:rPr>
      </w:pPr>
      <w:r>
        <w:rPr>
          <w:rStyle w:val="8"/>
          <w:rFonts w:hint="eastAsia" w:ascii="方正小标宋简体" w:hAnsi="方正小标宋简体" w:eastAsia="方正小标宋简体" w:cs="方正小标宋简体"/>
          <w:bCs/>
          <w:color w:val="000000" w:themeColor="text1"/>
          <w:spacing w:val="8"/>
          <w:sz w:val="44"/>
          <w:szCs w:val="44"/>
        </w:rPr>
        <w:t>工作年度报告</w:t>
      </w:r>
    </w:p>
    <w:p>
      <w:pPr>
        <w:pStyle w:val="4"/>
        <w:widowControl/>
        <w:spacing w:before="0" w:beforeAutospacing="0" w:after="0" w:afterAutospacing="0" w:line="600" w:lineRule="exact"/>
        <w:ind w:firstLine="640" w:firstLineChars="200"/>
        <w:jc w:val="both"/>
        <w:rPr>
          <w:rFonts w:ascii="黑体" w:hAnsi="黑体" w:eastAsia="黑体"/>
          <w:color w:val="000000" w:themeColor="text1"/>
          <w:spacing w:val="8"/>
          <w:sz w:val="32"/>
          <w:szCs w:val="32"/>
        </w:rPr>
      </w:pPr>
      <w:r>
        <w:rPr>
          <w:rFonts w:ascii="黑体" w:hAnsi="黑体" w:eastAsia="黑体"/>
          <w:color w:val="000000" w:themeColor="text1"/>
          <w:kern w:val="2"/>
          <w:sz w:val="32"/>
          <w:szCs w:val="32"/>
        </w:rPr>
        <w:t>一、总体情况</w:t>
      </w:r>
    </w:p>
    <w:p>
      <w:pPr>
        <w:spacing w:line="600" w:lineRule="exact"/>
        <w:ind w:firstLine="640" w:firstLineChars="200"/>
        <w:rPr>
          <w:rFonts w:ascii="Times New Roman" w:hAnsi="Times New Roman" w:eastAsia="仿宋_GB2312" w:cs="Times New Roman"/>
          <w:color w:val="000000" w:themeColor="text1"/>
          <w:sz w:val="32"/>
          <w:szCs w:val="28"/>
        </w:rPr>
      </w:pPr>
      <w:r>
        <w:rPr>
          <w:rFonts w:ascii="Times New Roman" w:hAnsi="Times New Roman" w:eastAsia="仿宋_GB2312" w:cs="Times New Roman"/>
          <w:color w:val="000000" w:themeColor="text1"/>
          <w:sz w:val="32"/>
          <w:szCs w:val="28"/>
        </w:rPr>
        <w:t>2019年，盘龙区统计局紧紧围绕区委、区政府中心工作，按照区委、区政府和昆明市统计局的安排部署，认真贯彻落实《中华人民共和国政府信息公开条例》《中华人民共和国统计法》《云南省人民政府办公厅关于进一步做好政府信息依申请公开工作的通知》要求，进一步深化政府信息公开内容，增强政府信息公开实效，提高政府工作透明度，提升政府统计公信力，提供优质的统计服务。</w:t>
      </w:r>
    </w:p>
    <w:p>
      <w:pPr>
        <w:spacing w:line="600" w:lineRule="exact"/>
        <w:ind w:firstLine="640" w:firstLineChars="200"/>
        <w:rPr>
          <w:rFonts w:ascii="楷体_GB2312" w:hAnsi="Times New Roman" w:eastAsia="楷体_GB2312" w:cs="Times New Roman"/>
          <w:color w:val="000000" w:themeColor="text1"/>
          <w:sz w:val="32"/>
          <w:szCs w:val="28"/>
        </w:rPr>
      </w:pPr>
      <w:r>
        <w:rPr>
          <w:rFonts w:hint="eastAsia" w:ascii="楷体_GB2312" w:hAnsi="Times New Roman" w:eastAsia="楷体_GB2312" w:cs="Times New Roman"/>
          <w:color w:val="000000" w:themeColor="text1"/>
          <w:sz w:val="32"/>
          <w:szCs w:val="28"/>
        </w:rPr>
        <w:t>（一）加强组织领导，强化信息公开组织保障</w:t>
      </w:r>
    </w:p>
    <w:p>
      <w:pPr>
        <w:spacing w:line="600" w:lineRule="exact"/>
        <w:ind w:firstLine="640" w:firstLineChars="200"/>
        <w:rPr>
          <w:rFonts w:ascii="Times New Roman" w:hAnsi="Times New Roman" w:eastAsia="仿宋_GB2312" w:cs="Times New Roman"/>
          <w:color w:val="000000" w:themeColor="text1"/>
          <w:sz w:val="32"/>
          <w:szCs w:val="28"/>
        </w:rPr>
      </w:pPr>
      <w:r>
        <w:rPr>
          <w:rFonts w:ascii="Times New Roman" w:hAnsi="Times New Roman" w:eastAsia="仿宋_GB2312" w:cs="Times New Roman"/>
          <w:color w:val="000000" w:themeColor="text1"/>
          <w:sz w:val="32"/>
          <w:szCs w:val="28"/>
        </w:rPr>
        <w:t>按照统一协调、分工负责的原则，盘龙区统计局成立了由局主要领导任组长，相关科室参与的政府信息公开领导小组及其办公室，形成了 “一把手挂帅、副职领导具体抓、责任到科室、落实到人头”的工作机制。定期召开信息公开工作的专题会议，研究部署政务公开工作，解决政务公开工作中存在的问题和不足，确保政务公开工作有序开展和顺利推进。</w:t>
      </w:r>
    </w:p>
    <w:p>
      <w:pPr>
        <w:spacing w:line="600" w:lineRule="exact"/>
        <w:ind w:firstLine="640" w:firstLineChars="200"/>
        <w:rPr>
          <w:rFonts w:ascii="楷体_GB2312" w:hAnsi="Times New Roman" w:eastAsia="楷体_GB2312" w:cs="Times New Roman"/>
          <w:color w:val="000000" w:themeColor="text1"/>
          <w:sz w:val="32"/>
          <w:szCs w:val="28"/>
        </w:rPr>
      </w:pPr>
      <w:r>
        <w:rPr>
          <w:rFonts w:hint="eastAsia" w:ascii="楷体_GB2312" w:hAnsi="Times New Roman" w:eastAsia="楷体_GB2312" w:cs="Times New Roman"/>
          <w:color w:val="000000" w:themeColor="text1"/>
          <w:sz w:val="32"/>
          <w:szCs w:val="28"/>
        </w:rPr>
        <w:t>（二）狠抓工作机制，确保信息公开规范有序</w:t>
      </w:r>
    </w:p>
    <w:p>
      <w:pPr>
        <w:spacing w:line="600" w:lineRule="exact"/>
        <w:ind w:firstLine="640" w:firstLineChars="200"/>
        <w:rPr>
          <w:rFonts w:ascii="Times New Roman" w:hAnsi="Times New Roman" w:eastAsia="仿宋_GB2312" w:cs="Times New Roman"/>
          <w:color w:val="000000" w:themeColor="text1"/>
          <w:sz w:val="32"/>
          <w:szCs w:val="28"/>
        </w:rPr>
      </w:pPr>
      <w:r>
        <w:rPr>
          <w:rFonts w:ascii="Times New Roman" w:hAnsi="Times New Roman" w:eastAsia="仿宋_GB2312" w:cs="Times New Roman"/>
          <w:color w:val="000000" w:themeColor="text1"/>
          <w:sz w:val="32"/>
          <w:szCs w:val="28"/>
        </w:rPr>
        <w:t>为保障政府信息公开工作的顺利开展，盘龙区统计局结合实际，制度了《盘龙区统计局保密工作制度》《盘龙区统计局政府文件公开属性审查制度》《昆明市盘龙区统计局2019年政务公开工作实施方案》等工作制度，明确信息发布主体，遵循及时准确、公开透明、强化服务、便民利民的基本原则，充分调动各科室的工作积极性。严格落实信息公开审核制度，注重将统计信息公开审核与公文审核相结合，严格信息上网保密审核程序，坚持信息发布登记备案，做到了“依法公开、真实公开、注重实效、有力监督”，切实做好政府信息公开工作。</w:t>
      </w:r>
    </w:p>
    <w:p>
      <w:pPr>
        <w:spacing w:line="600" w:lineRule="exact"/>
        <w:ind w:firstLine="640" w:firstLineChars="200"/>
        <w:rPr>
          <w:rFonts w:ascii="楷体_GB2312" w:hAnsi="Times New Roman" w:eastAsia="楷体_GB2312" w:cs="Times New Roman"/>
          <w:color w:val="000000" w:themeColor="text1"/>
          <w:sz w:val="32"/>
          <w:szCs w:val="28"/>
        </w:rPr>
      </w:pPr>
      <w:r>
        <w:rPr>
          <w:rFonts w:hint="eastAsia" w:ascii="楷体_GB2312" w:hAnsi="Times New Roman" w:eastAsia="楷体_GB2312" w:cs="Times New Roman"/>
          <w:color w:val="000000" w:themeColor="text1"/>
          <w:sz w:val="32"/>
          <w:szCs w:val="28"/>
        </w:rPr>
        <w:t>（三）丰富公开载体，拓宽政府信息公开渠道</w:t>
      </w:r>
    </w:p>
    <w:p>
      <w:pPr>
        <w:spacing w:line="600" w:lineRule="exact"/>
        <w:ind w:firstLine="640" w:firstLineChars="200"/>
        <w:rPr>
          <w:rFonts w:ascii="Times New Roman" w:hAnsi="Times New Roman" w:eastAsia="仿宋_GB2312" w:cs="Times New Roman"/>
          <w:color w:val="000000" w:themeColor="text1"/>
          <w:sz w:val="32"/>
          <w:szCs w:val="28"/>
        </w:rPr>
      </w:pPr>
      <w:r>
        <w:rPr>
          <w:rFonts w:ascii="Times New Roman" w:hAnsi="Times New Roman" w:eastAsia="仿宋_GB2312" w:cs="Times New Roman"/>
          <w:color w:val="000000" w:themeColor="text1"/>
          <w:sz w:val="32"/>
          <w:szCs w:val="28"/>
        </w:rPr>
        <w:t>根据统计工作的服务职能，</w:t>
      </w:r>
      <w:r>
        <w:rPr>
          <w:rFonts w:hint="eastAsia" w:ascii="Times New Roman" w:hAnsi="Times New Roman" w:eastAsia="仿宋_GB2312" w:cs="Times New Roman"/>
          <w:color w:val="000000" w:themeColor="text1"/>
          <w:sz w:val="32"/>
          <w:szCs w:val="28"/>
        </w:rPr>
        <w:t>盘龙区统计局</w:t>
      </w:r>
      <w:r>
        <w:rPr>
          <w:rFonts w:ascii="Times New Roman" w:hAnsi="Times New Roman" w:eastAsia="仿宋_GB2312" w:cs="Times New Roman"/>
          <w:color w:val="000000" w:themeColor="text1"/>
          <w:sz w:val="32"/>
          <w:szCs w:val="28"/>
        </w:rPr>
        <w:t>从实际出发拓展公开方式。从方便社会公众出发，定期或不定期地发布重要统计信息。一是利用“盘龙区</w:t>
      </w:r>
      <w:r>
        <w:rPr>
          <w:rFonts w:hint="eastAsia" w:ascii="Times New Roman" w:hAnsi="Times New Roman" w:eastAsia="仿宋_GB2312" w:cs="Times New Roman"/>
          <w:color w:val="000000" w:themeColor="text1"/>
          <w:sz w:val="32"/>
          <w:szCs w:val="28"/>
        </w:rPr>
        <w:t>人民</w:t>
      </w:r>
      <w:r>
        <w:rPr>
          <w:rFonts w:ascii="Times New Roman" w:hAnsi="Times New Roman" w:eastAsia="仿宋_GB2312" w:cs="Times New Roman"/>
          <w:color w:val="000000" w:themeColor="text1"/>
          <w:sz w:val="32"/>
          <w:szCs w:val="28"/>
        </w:rPr>
        <w:t>政府</w:t>
      </w:r>
      <w:r>
        <w:rPr>
          <w:rFonts w:hint="eastAsia" w:ascii="Times New Roman" w:hAnsi="Times New Roman" w:eastAsia="仿宋_GB2312" w:cs="Times New Roman"/>
          <w:color w:val="000000" w:themeColor="text1"/>
          <w:sz w:val="32"/>
          <w:szCs w:val="28"/>
        </w:rPr>
        <w:t>门户</w:t>
      </w:r>
      <w:r>
        <w:rPr>
          <w:rFonts w:ascii="Times New Roman" w:hAnsi="Times New Roman" w:eastAsia="仿宋_GB2312" w:cs="Times New Roman"/>
          <w:color w:val="000000" w:themeColor="text1"/>
          <w:sz w:val="32"/>
          <w:szCs w:val="28"/>
        </w:rPr>
        <w:t>网站”平台，开设了盘龙区统计局网页，设置了工作动态、法律依据、机构职能、财政信息和统计业务栏目。二是利用《昆明市盘龙区统计年鉴》《昆明市盘龙区国民经济主要指标》《昆明市盘龙区统计公报》等，广泛开展政府信息公开工作。三是定期公开财政预决算和“三公”经费等，公开盘龙区统计局统计违法举报电话，广泛听取群众的意见和建议，认真接待他们的举报，做到及时登记办理、及时整改反馈。</w:t>
      </w:r>
    </w:p>
    <w:p>
      <w:pPr>
        <w:spacing w:line="600" w:lineRule="exact"/>
        <w:ind w:firstLine="640" w:firstLineChars="200"/>
        <w:rPr>
          <w:rFonts w:ascii="楷体_GB2312" w:hAnsi="Times New Roman" w:eastAsia="楷体_GB2312" w:cs="Times New Roman"/>
          <w:color w:val="000000" w:themeColor="text1"/>
          <w:sz w:val="32"/>
          <w:szCs w:val="28"/>
        </w:rPr>
      </w:pPr>
      <w:r>
        <w:rPr>
          <w:rFonts w:hint="eastAsia" w:ascii="楷体_GB2312" w:hAnsi="Times New Roman" w:eastAsia="楷体_GB2312" w:cs="Times New Roman"/>
          <w:color w:val="000000" w:themeColor="text1"/>
          <w:sz w:val="32"/>
          <w:szCs w:val="28"/>
        </w:rPr>
        <w:t>（四）强化服务意识，深入开展统计分析研究</w:t>
      </w:r>
    </w:p>
    <w:p>
      <w:pPr>
        <w:spacing w:line="600" w:lineRule="exact"/>
        <w:ind w:firstLine="640" w:firstLineChars="200"/>
        <w:rPr>
          <w:rFonts w:ascii="Times New Roman" w:hAnsi="Times New Roman" w:eastAsia="仿宋_GB2312" w:cs="Times New Roman"/>
          <w:color w:val="000000" w:themeColor="text1"/>
          <w:sz w:val="32"/>
          <w:szCs w:val="28"/>
        </w:rPr>
      </w:pPr>
      <w:r>
        <w:rPr>
          <w:rFonts w:ascii="Times New Roman" w:hAnsi="Times New Roman" w:eastAsia="仿宋_GB2312" w:cs="Times New Roman"/>
          <w:color w:val="000000" w:themeColor="text1"/>
          <w:sz w:val="32"/>
          <w:szCs w:val="28"/>
        </w:rPr>
        <w:t>针对当前复杂严峻的经济形势，强化了统计分析研究力度，每月定期开展统计分析会，及时掌握全区经济运行走势和经济发展中出现的新情况新问题，为区委、区政府撰写具有前瞻性、针对性和有效性的统计专报、统计分析报告和统计信息。</w:t>
      </w:r>
    </w:p>
    <w:p>
      <w:pPr>
        <w:pStyle w:val="4"/>
        <w:widowControl/>
        <w:spacing w:before="0" w:beforeAutospacing="0" w:after="0" w:afterAutospacing="0" w:line="600" w:lineRule="exact"/>
        <w:ind w:firstLine="640" w:firstLineChars="200"/>
        <w:jc w:val="both"/>
        <w:rPr>
          <w:rFonts w:ascii="黑体" w:hAnsi="黑体" w:eastAsia="黑体" w:cstheme="minorBidi"/>
          <w:color w:val="000000" w:themeColor="text1"/>
          <w:kern w:val="2"/>
          <w:sz w:val="32"/>
          <w:szCs w:val="32"/>
        </w:rPr>
      </w:pPr>
      <w:r>
        <w:rPr>
          <w:rFonts w:ascii="黑体" w:hAnsi="黑体" w:eastAsia="黑体"/>
          <w:color w:val="000000" w:themeColor="text1"/>
          <w:kern w:val="2"/>
          <w:sz w:val="32"/>
          <w:szCs w:val="32"/>
        </w:rPr>
        <w:t>二、主动</w:t>
      </w:r>
      <w:r>
        <w:rPr>
          <w:rFonts w:hint="eastAsia" w:ascii="黑体" w:hAnsi="黑体" w:eastAsia="黑体"/>
          <w:color w:val="000000" w:themeColor="text1"/>
          <w:kern w:val="2"/>
          <w:sz w:val="32"/>
          <w:szCs w:val="32"/>
        </w:rPr>
        <w:t>公开</w:t>
      </w:r>
      <w:r>
        <w:rPr>
          <w:rFonts w:ascii="黑体" w:hAnsi="黑体" w:eastAsia="黑体"/>
          <w:color w:val="000000" w:themeColor="text1"/>
          <w:kern w:val="2"/>
          <w:sz w:val="32"/>
          <w:szCs w:val="32"/>
        </w:rPr>
        <w:t>政府信息情况</w:t>
      </w:r>
    </w:p>
    <w:tbl>
      <w:tblPr>
        <w:tblStyle w:val="6"/>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567"/>
        <w:gridCol w:w="1317"/>
        <w:gridCol w:w="951"/>
        <w:gridCol w:w="1180"/>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8522" w:type="dxa"/>
            <w:gridSpan w:val="6"/>
            <w:shd w:val="clear" w:color="auto" w:fill="B8CCE4" w:themeFill="accent1" w:themeFillTint="66"/>
            <w:vAlign w:val="center"/>
          </w:tcPr>
          <w:p>
            <w:pPr>
              <w:jc w:val="center"/>
              <w:rPr>
                <w:rFonts w:ascii="仿宋_GB2312" w:eastAsia="仿宋_GB2312"/>
              </w:rPr>
            </w:pPr>
            <w:r>
              <w:rPr>
                <w:rFonts w:hint="eastAsia" w:ascii="仿宋_GB2312" w:eastAsia="仿宋_GB2312"/>
              </w:rPr>
              <w:t>第二十条第（一）项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3" w:hRule="atLeast"/>
          <w:jc w:val="center"/>
        </w:trPr>
        <w:tc>
          <w:tcPr>
            <w:tcW w:w="2376" w:type="dxa"/>
            <w:vAlign w:val="center"/>
          </w:tcPr>
          <w:p>
            <w:pPr>
              <w:jc w:val="center"/>
              <w:rPr>
                <w:rFonts w:ascii="仿宋_GB2312" w:eastAsia="仿宋_GB2312"/>
              </w:rPr>
            </w:pPr>
            <w:r>
              <w:rPr>
                <w:rFonts w:hint="eastAsia" w:ascii="仿宋_GB2312" w:eastAsia="仿宋_GB2312"/>
              </w:rPr>
              <w:t>信息内容</w:t>
            </w:r>
          </w:p>
        </w:tc>
        <w:tc>
          <w:tcPr>
            <w:tcW w:w="1884" w:type="dxa"/>
            <w:gridSpan w:val="2"/>
            <w:vAlign w:val="center"/>
          </w:tcPr>
          <w:p>
            <w:pPr>
              <w:jc w:val="center"/>
              <w:rPr>
                <w:rFonts w:ascii="仿宋_GB2312" w:eastAsia="仿宋_GB2312"/>
              </w:rPr>
            </w:pPr>
            <w:r>
              <w:rPr>
                <w:rFonts w:hint="eastAsia" w:ascii="仿宋_GB2312" w:eastAsia="仿宋_GB2312"/>
              </w:rPr>
              <w:t>本年新</w:t>
            </w:r>
          </w:p>
          <w:p>
            <w:pPr>
              <w:jc w:val="center"/>
              <w:rPr>
                <w:rFonts w:ascii="仿宋_GB2312" w:eastAsia="仿宋_GB2312"/>
              </w:rPr>
            </w:pPr>
            <w:r>
              <w:rPr>
                <w:rFonts w:hint="eastAsia" w:ascii="仿宋_GB2312" w:eastAsia="仿宋_GB2312"/>
              </w:rPr>
              <w:t>制作数量</w:t>
            </w:r>
          </w:p>
        </w:tc>
        <w:tc>
          <w:tcPr>
            <w:tcW w:w="2131" w:type="dxa"/>
            <w:gridSpan w:val="2"/>
            <w:vAlign w:val="center"/>
          </w:tcPr>
          <w:p>
            <w:pPr>
              <w:jc w:val="center"/>
              <w:rPr>
                <w:rFonts w:ascii="仿宋_GB2312" w:eastAsia="仿宋_GB2312"/>
              </w:rPr>
            </w:pPr>
            <w:r>
              <w:rPr>
                <w:rFonts w:hint="eastAsia" w:ascii="仿宋_GB2312" w:eastAsia="仿宋_GB2312"/>
              </w:rPr>
              <w:t>本年新</w:t>
            </w:r>
          </w:p>
          <w:p>
            <w:pPr>
              <w:jc w:val="center"/>
              <w:rPr>
                <w:rFonts w:ascii="仿宋_GB2312" w:eastAsia="仿宋_GB2312"/>
              </w:rPr>
            </w:pPr>
            <w:r>
              <w:rPr>
                <w:rFonts w:hint="eastAsia" w:ascii="仿宋_GB2312" w:eastAsia="仿宋_GB2312"/>
              </w:rPr>
              <w:t>公开数量</w:t>
            </w:r>
          </w:p>
        </w:tc>
        <w:tc>
          <w:tcPr>
            <w:tcW w:w="2131" w:type="dxa"/>
            <w:vAlign w:val="center"/>
          </w:tcPr>
          <w:p>
            <w:pPr>
              <w:jc w:val="center"/>
              <w:rPr>
                <w:rFonts w:ascii="仿宋_GB2312" w:eastAsia="仿宋_GB2312"/>
              </w:rPr>
            </w:pPr>
            <w:r>
              <w:rPr>
                <w:rFonts w:hint="eastAsia" w:ascii="仿宋_GB2312" w:eastAsia="仿宋_GB2312"/>
              </w:rPr>
              <w:t>对外公开总数量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2376" w:type="dxa"/>
            <w:vAlign w:val="center"/>
          </w:tcPr>
          <w:p>
            <w:pPr>
              <w:rPr>
                <w:rFonts w:ascii="仿宋_GB2312" w:eastAsia="仿宋_GB2312"/>
              </w:rPr>
            </w:pPr>
            <w:r>
              <w:rPr>
                <w:rFonts w:hint="eastAsia" w:ascii="仿宋_GB2312" w:eastAsia="仿宋_GB2312"/>
              </w:rPr>
              <w:t>规章</w:t>
            </w:r>
          </w:p>
        </w:tc>
        <w:tc>
          <w:tcPr>
            <w:tcW w:w="1884" w:type="dxa"/>
            <w:gridSpan w:val="2"/>
            <w:vAlign w:val="center"/>
          </w:tcPr>
          <w:p>
            <w:pPr>
              <w:jc w:val="center"/>
              <w:rPr>
                <w:rFonts w:ascii="仿宋_GB2312" w:eastAsia="仿宋_GB2312"/>
              </w:rPr>
            </w:pPr>
            <w:r>
              <w:rPr>
                <w:rFonts w:hint="eastAsia" w:ascii="仿宋_GB2312" w:eastAsia="仿宋_GB2312"/>
              </w:rPr>
              <w:t>0</w:t>
            </w:r>
          </w:p>
        </w:tc>
        <w:tc>
          <w:tcPr>
            <w:tcW w:w="2131" w:type="dxa"/>
            <w:gridSpan w:val="2"/>
            <w:vAlign w:val="center"/>
          </w:tcPr>
          <w:p>
            <w:pPr>
              <w:jc w:val="center"/>
              <w:rPr>
                <w:rFonts w:ascii="仿宋_GB2312" w:eastAsia="仿宋_GB2312"/>
              </w:rPr>
            </w:pPr>
            <w:r>
              <w:rPr>
                <w:rFonts w:hint="eastAsia" w:ascii="仿宋_GB2312" w:eastAsia="仿宋_GB2312"/>
              </w:rPr>
              <w:t>0</w:t>
            </w:r>
          </w:p>
        </w:tc>
        <w:tc>
          <w:tcPr>
            <w:tcW w:w="2131" w:type="dxa"/>
            <w:vAlign w:val="center"/>
          </w:tcPr>
          <w:p>
            <w:pPr>
              <w:jc w:val="center"/>
              <w:rPr>
                <w:rFonts w:ascii="仿宋_GB2312" w:eastAsia="仿宋_GB2312"/>
              </w:rPr>
            </w:pPr>
            <w:r>
              <w:rPr>
                <w:rFonts w:hint="eastAsia" w:ascii="仿宋_GB2312" w:eastAsia="仿宋_GB2312"/>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2376" w:type="dxa"/>
            <w:vAlign w:val="center"/>
          </w:tcPr>
          <w:p>
            <w:pPr>
              <w:rPr>
                <w:rFonts w:ascii="仿宋_GB2312" w:eastAsia="仿宋_GB2312"/>
              </w:rPr>
            </w:pPr>
            <w:r>
              <w:rPr>
                <w:rFonts w:hint="eastAsia" w:ascii="仿宋_GB2312" w:eastAsia="仿宋_GB2312"/>
              </w:rPr>
              <w:t>规范性文件</w:t>
            </w:r>
          </w:p>
        </w:tc>
        <w:tc>
          <w:tcPr>
            <w:tcW w:w="1884" w:type="dxa"/>
            <w:gridSpan w:val="2"/>
            <w:vAlign w:val="center"/>
          </w:tcPr>
          <w:p>
            <w:pPr>
              <w:jc w:val="center"/>
              <w:rPr>
                <w:rFonts w:ascii="仿宋_GB2312" w:eastAsia="仿宋_GB2312"/>
              </w:rPr>
            </w:pPr>
            <w:r>
              <w:rPr>
                <w:rFonts w:hint="eastAsia" w:ascii="仿宋_GB2312" w:eastAsia="仿宋_GB2312"/>
              </w:rPr>
              <w:t>0</w:t>
            </w:r>
          </w:p>
        </w:tc>
        <w:tc>
          <w:tcPr>
            <w:tcW w:w="2131" w:type="dxa"/>
            <w:gridSpan w:val="2"/>
            <w:vAlign w:val="center"/>
          </w:tcPr>
          <w:p>
            <w:pPr>
              <w:jc w:val="center"/>
              <w:rPr>
                <w:rFonts w:ascii="仿宋_GB2312" w:eastAsia="仿宋_GB2312"/>
              </w:rPr>
            </w:pPr>
            <w:r>
              <w:rPr>
                <w:rFonts w:hint="eastAsia" w:ascii="仿宋_GB2312" w:eastAsia="仿宋_GB2312"/>
              </w:rPr>
              <w:t>0</w:t>
            </w:r>
          </w:p>
        </w:tc>
        <w:tc>
          <w:tcPr>
            <w:tcW w:w="2131" w:type="dxa"/>
            <w:vAlign w:val="center"/>
          </w:tcPr>
          <w:p>
            <w:pPr>
              <w:jc w:val="center"/>
              <w:rPr>
                <w:rFonts w:ascii="仿宋_GB2312" w:eastAsia="仿宋_GB2312"/>
              </w:rPr>
            </w:pPr>
            <w:r>
              <w:rPr>
                <w:rFonts w:hint="eastAsia" w:ascii="仿宋_GB2312" w:eastAsia="仿宋_GB2312"/>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8522" w:type="dxa"/>
            <w:gridSpan w:val="6"/>
            <w:shd w:val="clear" w:color="auto" w:fill="B8CCE4" w:themeFill="accent1" w:themeFillTint="66"/>
            <w:vAlign w:val="center"/>
          </w:tcPr>
          <w:p>
            <w:pPr>
              <w:jc w:val="center"/>
              <w:rPr>
                <w:rFonts w:ascii="仿宋_GB2312" w:eastAsia="仿宋_GB2312"/>
              </w:rPr>
            </w:pPr>
            <w:r>
              <w:rPr>
                <w:rFonts w:hint="eastAsia" w:ascii="仿宋_GB2312" w:eastAsia="仿宋_GB2312"/>
              </w:rPr>
              <w:t>第二十条第（五）项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2376" w:type="dxa"/>
            <w:vAlign w:val="center"/>
          </w:tcPr>
          <w:p>
            <w:pPr>
              <w:jc w:val="center"/>
              <w:rPr>
                <w:rFonts w:ascii="仿宋_GB2312" w:eastAsia="仿宋_GB2312"/>
              </w:rPr>
            </w:pPr>
            <w:r>
              <w:rPr>
                <w:rFonts w:hint="eastAsia" w:ascii="仿宋_GB2312" w:eastAsia="仿宋_GB2312"/>
              </w:rPr>
              <w:t>信息内容</w:t>
            </w:r>
          </w:p>
        </w:tc>
        <w:tc>
          <w:tcPr>
            <w:tcW w:w="1884" w:type="dxa"/>
            <w:gridSpan w:val="2"/>
            <w:vAlign w:val="center"/>
          </w:tcPr>
          <w:p>
            <w:pPr>
              <w:jc w:val="center"/>
              <w:rPr>
                <w:rFonts w:ascii="仿宋_GB2312" w:eastAsia="仿宋_GB2312"/>
              </w:rPr>
            </w:pPr>
            <w:r>
              <w:rPr>
                <w:rFonts w:hint="eastAsia" w:ascii="仿宋_GB2312" w:eastAsia="仿宋_GB2312"/>
              </w:rPr>
              <w:t>上一年项目数量</w:t>
            </w:r>
          </w:p>
        </w:tc>
        <w:tc>
          <w:tcPr>
            <w:tcW w:w="2131" w:type="dxa"/>
            <w:gridSpan w:val="2"/>
            <w:vAlign w:val="center"/>
          </w:tcPr>
          <w:p>
            <w:pPr>
              <w:jc w:val="center"/>
              <w:rPr>
                <w:rFonts w:ascii="仿宋_GB2312" w:eastAsia="仿宋_GB2312"/>
              </w:rPr>
            </w:pPr>
            <w:r>
              <w:rPr>
                <w:rFonts w:hint="eastAsia" w:ascii="仿宋_GB2312" w:eastAsia="仿宋_GB2312"/>
              </w:rPr>
              <w:t>本年增/减</w:t>
            </w:r>
          </w:p>
        </w:tc>
        <w:tc>
          <w:tcPr>
            <w:tcW w:w="2131" w:type="dxa"/>
            <w:vAlign w:val="center"/>
          </w:tcPr>
          <w:p>
            <w:pPr>
              <w:jc w:val="center"/>
              <w:rPr>
                <w:rFonts w:ascii="仿宋_GB2312" w:eastAsia="仿宋_GB2312"/>
              </w:rPr>
            </w:pPr>
            <w:r>
              <w:rPr>
                <w:rFonts w:hint="eastAsia" w:ascii="仿宋_GB2312" w:eastAsia="仿宋_GB2312"/>
              </w:rPr>
              <w:t>处理决定数量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2376" w:type="dxa"/>
            <w:vAlign w:val="center"/>
          </w:tcPr>
          <w:p>
            <w:pPr>
              <w:rPr>
                <w:rFonts w:ascii="仿宋_GB2312" w:eastAsia="仿宋_GB2312"/>
              </w:rPr>
            </w:pPr>
            <w:r>
              <w:rPr>
                <w:rFonts w:hint="eastAsia" w:ascii="仿宋_GB2312" w:eastAsia="仿宋_GB2312"/>
              </w:rPr>
              <w:t>行政许可</w:t>
            </w:r>
          </w:p>
        </w:tc>
        <w:tc>
          <w:tcPr>
            <w:tcW w:w="1884" w:type="dxa"/>
            <w:gridSpan w:val="2"/>
            <w:vAlign w:val="center"/>
          </w:tcPr>
          <w:p>
            <w:pPr>
              <w:jc w:val="center"/>
              <w:rPr>
                <w:rFonts w:ascii="仿宋_GB2312" w:eastAsia="仿宋_GB2312"/>
              </w:rPr>
            </w:pPr>
            <w:r>
              <w:rPr>
                <w:rFonts w:hint="eastAsia" w:ascii="仿宋_GB2312" w:eastAsia="仿宋_GB2312"/>
              </w:rPr>
              <w:t>0</w:t>
            </w:r>
          </w:p>
        </w:tc>
        <w:tc>
          <w:tcPr>
            <w:tcW w:w="2131" w:type="dxa"/>
            <w:gridSpan w:val="2"/>
            <w:vAlign w:val="center"/>
          </w:tcPr>
          <w:p>
            <w:pPr>
              <w:jc w:val="center"/>
              <w:rPr>
                <w:rFonts w:ascii="仿宋_GB2312" w:eastAsia="仿宋_GB2312"/>
              </w:rPr>
            </w:pPr>
            <w:r>
              <w:rPr>
                <w:rFonts w:hint="eastAsia" w:ascii="仿宋_GB2312" w:eastAsia="仿宋_GB2312"/>
              </w:rPr>
              <w:t>0</w:t>
            </w:r>
          </w:p>
        </w:tc>
        <w:tc>
          <w:tcPr>
            <w:tcW w:w="2131" w:type="dxa"/>
            <w:vAlign w:val="center"/>
          </w:tcPr>
          <w:p>
            <w:pPr>
              <w:jc w:val="center"/>
              <w:rPr>
                <w:rFonts w:ascii="仿宋_GB2312" w:eastAsia="仿宋_GB2312"/>
              </w:rPr>
            </w:pPr>
            <w:r>
              <w:rPr>
                <w:rFonts w:hint="eastAsia" w:ascii="仿宋_GB2312" w:eastAsia="仿宋_GB2312"/>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2376" w:type="dxa"/>
            <w:vAlign w:val="center"/>
          </w:tcPr>
          <w:p>
            <w:pPr>
              <w:rPr>
                <w:rFonts w:ascii="仿宋_GB2312" w:eastAsia="仿宋_GB2312"/>
              </w:rPr>
            </w:pPr>
            <w:r>
              <w:rPr>
                <w:rFonts w:hint="eastAsia" w:ascii="仿宋_GB2312" w:eastAsia="仿宋_GB2312"/>
              </w:rPr>
              <w:t>其他对外管理服务事项</w:t>
            </w:r>
          </w:p>
        </w:tc>
        <w:tc>
          <w:tcPr>
            <w:tcW w:w="1884" w:type="dxa"/>
            <w:gridSpan w:val="2"/>
            <w:vAlign w:val="center"/>
          </w:tcPr>
          <w:p>
            <w:pPr>
              <w:jc w:val="center"/>
              <w:rPr>
                <w:rFonts w:ascii="仿宋_GB2312" w:eastAsia="仿宋_GB2312"/>
              </w:rPr>
            </w:pPr>
            <w:r>
              <w:rPr>
                <w:rFonts w:hint="eastAsia" w:ascii="仿宋_GB2312" w:eastAsia="仿宋_GB2312"/>
              </w:rPr>
              <w:t>0</w:t>
            </w:r>
          </w:p>
        </w:tc>
        <w:tc>
          <w:tcPr>
            <w:tcW w:w="2131" w:type="dxa"/>
            <w:gridSpan w:val="2"/>
            <w:vAlign w:val="center"/>
          </w:tcPr>
          <w:p>
            <w:pPr>
              <w:jc w:val="center"/>
              <w:rPr>
                <w:rFonts w:ascii="仿宋_GB2312" w:eastAsia="仿宋_GB2312"/>
              </w:rPr>
            </w:pPr>
            <w:r>
              <w:rPr>
                <w:rFonts w:hint="eastAsia" w:ascii="仿宋_GB2312" w:eastAsia="仿宋_GB2312"/>
              </w:rPr>
              <w:t>0</w:t>
            </w:r>
          </w:p>
        </w:tc>
        <w:tc>
          <w:tcPr>
            <w:tcW w:w="2131" w:type="dxa"/>
            <w:vAlign w:val="center"/>
          </w:tcPr>
          <w:p>
            <w:pPr>
              <w:jc w:val="center"/>
              <w:rPr>
                <w:rFonts w:ascii="仿宋_GB2312" w:eastAsia="仿宋_GB2312"/>
              </w:rPr>
            </w:pPr>
            <w:r>
              <w:rPr>
                <w:rFonts w:hint="eastAsia" w:ascii="仿宋_GB2312" w:eastAsia="仿宋_GB2312"/>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8522" w:type="dxa"/>
            <w:gridSpan w:val="6"/>
            <w:shd w:val="clear" w:color="auto" w:fill="B8CCE4" w:themeFill="accent1" w:themeFillTint="66"/>
            <w:vAlign w:val="center"/>
          </w:tcPr>
          <w:p>
            <w:pPr>
              <w:jc w:val="center"/>
              <w:rPr>
                <w:rFonts w:ascii="仿宋_GB2312" w:eastAsia="仿宋_GB2312"/>
              </w:rPr>
            </w:pPr>
            <w:r>
              <w:rPr>
                <w:rFonts w:hint="eastAsia" w:ascii="仿宋_GB2312" w:eastAsia="仿宋_GB2312"/>
              </w:rPr>
              <w:t>第二十条第（六）项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2376" w:type="dxa"/>
            <w:vAlign w:val="center"/>
          </w:tcPr>
          <w:p>
            <w:pPr>
              <w:jc w:val="center"/>
              <w:rPr>
                <w:rFonts w:ascii="仿宋_GB2312" w:eastAsia="仿宋_GB2312"/>
              </w:rPr>
            </w:pPr>
            <w:r>
              <w:rPr>
                <w:rFonts w:hint="eastAsia" w:ascii="仿宋_GB2312" w:eastAsia="仿宋_GB2312"/>
              </w:rPr>
              <w:t>信息内容</w:t>
            </w:r>
          </w:p>
        </w:tc>
        <w:tc>
          <w:tcPr>
            <w:tcW w:w="1884" w:type="dxa"/>
            <w:gridSpan w:val="2"/>
            <w:vAlign w:val="center"/>
          </w:tcPr>
          <w:p>
            <w:pPr>
              <w:jc w:val="center"/>
              <w:rPr>
                <w:rFonts w:ascii="仿宋_GB2312" w:eastAsia="仿宋_GB2312"/>
              </w:rPr>
            </w:pPr>
            <w:r>
              <w:rPr>
                <w:rFonts w:hint="eastAsia" w:ascii="仿宋_GB2312" w:eastAsia="仿宋_GB2312"/>
              </w:rPr>
              <w:t>上一年项目数量</w:t>
            </w:r>
          </w:p>
        </w:tc>
        <w:tc>
          <w:tcPr>
            <w:tcW w:w="2131" w:type="dxa"/>
            <w:gridSpan w:val="2"/>
            <w:vAlign w:val="center"/>
          </w:tcPr>
          <w:p>
            <w:pPr>
              <w:jc w:val="center"/>
              <w:rPr>
                <w:rFonts w:ascii="仿宋_GB2312" w:eastAsia="仿宋_GB2312"/>
              </w:rPr>
            </w:pPr>
            <w:r>
              <w:rPr>
                <w:rFonts w:hint="eastAsia" w:ascii="仿宋_GB2312" w:eastAsia="仿宋_GB2312"/>
              </w:rPr>
              <w:t>本年增/减</w:t>
            </w:r>
          </w:p>
        </w:tc>
        <w:tc>
          <w:tcPr>
            <w:tcW w:w="2131" w:type="dxa"/>
            <w:vAlign w:val="center"/>
          </w:tcPr>
          <w:p>
            <w:pPr>
              <w:jc w:val="center"/>
              <w:rPr>
                <w:rFonts w:ascii="仿宋_GB2312" w:eastAsia="仿宋_GB2312"/>
              </w:rPr>
            </w:pPr>
            <w:r>
              <w:rPr>
                <w:rFonts w:hint="eastAsia" w:ascii="仿宋_GB2312" w:eastAsia="仿宋_GB2312"/>
              </w:rPr>
              <w:t>处理决定数量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2376" w:type="dxa"/>
            <w:vAlign w:val="center"/>
          </w:tcPr>
          <w:p>
            <w:pPr>
              <w:rPr>
                <w:rFonts w:ascii="仿宋_GB2312" w:eastAsia="仿宋_GB2312"/>
              </w:rPr>
            </w:pPr>
            <w:r>
              <w:rPr>
                <w:rFonts w:hint="eastAsia" w:ascii="仿宋_GB2312" w:eastAsia="仿宋_GB2312"/>
              </w:rPr>
              <w:t>行政处罚</w:t>
            </w:r>
          </w:p>
        </w:tc>
        <w:tc>
          <w:tcPr>
            <w:tcW w:w="1884" w:type="dxa"/>
            <w:gridSpan w:val="2"/>
            <w:vAlign w:val="center"/>
          </w:tcPr>
          <w:p>
            <w:pPr>
              <w:jc w:val="center"/>
              <w:rPr>
                <w:rFonts w:hint="default" w:ascii="仿宋_GB2312" w:eastAsia="仿宋_GB2312"/>
                <w:lang w:val="en-US" w:eastAsia="zh-CN"/>
              </w:rPr>
            </w:pPr>
            <w:r>
              <w:rPr>
                <w:rFonts w:hint="eastAsia" w:ascii="仿宋_GB2312" w:eastAsia="仿宋_GB2312"/>
                <w:lang w:val="en-US" w:eastAsia="zh-CN"/>
              </w:rPr>
              <w:t>16</w:t>
            </w:r>
          </w:p>
        </w:tc>
        <w:tc>
          <w:tcPr>
            <w:tcW w:w="2131" w:type="dxa"/>
            <w:gridSpan w:val="2"/>
            <w:vAlign w:val="center"/>
          </w:tcPr>
          <w:p>
            <w:pPr>
              <w:jc w:val="center"/>
              <w:rPr>
                <w:rFonts w:hint="default" w:ascii="仿宋_GB2312" w:eastAsia="仿宋_GB2312"/>
                <w:lang w:val="en-US" w:eastAsia="zh-CN"/>
              </w:rPr>
            </w:pPr>
            <w:r>
              <w:rPr>
                <w:rFonts w:hint="eastAsia" w:ascii="仿宋_GB2312" w:eastAsia="仿宋_GB2312"/>
                <w:lang w:val="en-US" w:eastAsia="zh-CN"/>
              </w:rPr>
              <w:t>减4</w:t>
            </w:r>
            <w:bookmarkStart w:id="0" w:name="_GoBack"/>
            <w:bookmarkEnd w:id="0"/>
          </w:p>
        </w:tc>
        <w:tc>
          <w:tcPr>
            <w:tcW w:w="2131" w:type="dxa"/>
            <w:vAlign w:val="center"/>
          </w:tcPr>
          <w:p>
            <w:pPr>
              <w:jc w:val="center"/>
              <w:rPr>
                <w:rFonts w:ascii="仿宋_GB2312" w:eastAsia="仿宋_GB2312"/>
              </w:rPr>
            </w:pPr>
            <w:r>
              <w:rPr>
                <w:rFonts w:hint="eastAsia" w:ascii="仿宋_GB2312" w:eastAsia="仿宋_GB2312"/>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2376" w:type="dxa"/>
            <w:vAlign w:val="center"/>
          </w:tcPr>
          <w:p>
            <w:pPr>
              <w:rPr>
                <w:rFonts w:ascii="仿宋_GB2312" w:eastAsia="仿宋_GB2312"/>
              </w:rPr>
            </w:pPr>
            <w:r>
              <w:rPr>
                <w:rFonts w:hint="eastAsia" w:ascii="仿宋_GB2312" w:eastAsia="仿宋_GB2312"/>
              </w:rPr>
              <w:t>行政强制</w:t>
            </w:r>
          </w:p>
        </w:tc>
        <w:tc>
          <w:tcPr>
            <w:tcW w:w="1884" w:type="dxa"/>
            <w:gridSpan w:val="2"/>
            <w:vAlign w:val="center"/>
          </w:tcPr>
          <w:p>
            <w:pPr>
              <w:jc w:val="center"/>
              <w:rPr>
                <w:rFonts w:ascii="仿宋_GB2312" w:eastAsia="仿宋_GB2312"/>
              </w:rPr>
            </w:pPr>
            <w:r>
              <w:rPr>
                <w:rFonts w:hint="eastAsia" w:ascii="仿宋_GB2312" w:eastAsia="仿宋_GB2312"/>
              </w:rPr>
              <w:t>0</w:t>
            </w:r>
          </w:p>
        </w:tc>
        <w:tc>
          <w:tcPr>
            <w:tcW w:w="2131" w:type="dxa"/>
            <w:gridSpan w:val="2"/>
            <w:vAlign w:val="center"/>
          </w:tcPr>
          <w:p>
            <w:pPr>
              <w:jc w:val="center"/>
              <w:rPr>
                <w:rFonts w:ascii="仿宋_GB2312" w:eastAsia="仿宋_GB2312"/>
              </w:rPr>
            </w:pPr>
            <w:r>
              <w:rPr>
                <w:rFonts w:hint="eastAsia" w:ascii="仿宋_GB2312" w:eastAsia="仿宋_GB2312"/>
              </w:rPr>
              <w:t>0</w:t>
            </w:r>
          </w:p>
        </w:tc>
        <w:tc>
          <w:tcPr>
            <w:tcW w:w="2131" w:type="dxa"/>
            <w:vAlign w:val="center"/>
          </w:tcPr>
          <w:p>
            <w:pPr>
              <w:jc w:val="center"/>
              <w:rPr>
                <w:rFonts w:ascii="仿宋_GB2312" w:eastAsia="仿宋_GB2312"/>
              </w:rPr>
            </w:pPr>
            <w:r>
              <w:rPr>
                <w:rFonts w:hint="eastAsia" w:ascii="仿宋_GB2312" w:eastAsia="仿宋_GB2312"/>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8522" w:type="dxa"/>
            <w:gridSpan w:val="6"/>
            <w:shd w:val="clear" w:color="auto" w:fill="B8CCE4" w:themeFill="accent1" w:themeFillTint="66"/>
            <w:vAlign w:val="center"/>
          </w:tcPr>
          <w:p>
            <w:pPr>
              <w:jc w:val="center"/>
              <w:rPr>
                <w:rFonts w:ascii="仿宋_GB2312" w:eastAsia="仿宋_GB2312"/>
              </w:rPr>
            </w:pPr>
            <w:r>
              <w:rPr>
                <w:rFonts w:hint="eastAsia" w:ascii="仿宋_GB2312" w:eastAsia="仿宋_GB2312"/>
              </w:rPr>
              <w:t>第二十条第（八）项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2943" w:type="dxa"/>
            <w:gridSpan w:val="2"/>
            <w:vAlign w:val="center"/>
          </w:tcPr>
          <w:p>
            <w:pPr>
              <w:jc w:val="center"/>
              <w:rPr>
                <w:rFonts w:ascii="仿宋_GB2312" w:eastAsia="仿宋_GB2312"/>
              </w:rPr>
            </w:pPr>
            <w:r>
              <w:rPr>
                <w:rFonts w:hint="eastAsia" w:ascii="仿宋_GB2312" w:eastAsia="仿宋_GB2312"/>
              </w:rPr>
              <w:t>信息内容</w:t>
            </w:r>
          </w:p>
        </w:tc>
        <w:tc>
          <w:tcPr>
            <w:tcW w:w="2268" w:type="dxa"/>
            <w:gridSpan w:val="2"/>
            <w:vAlign w:val="center"/>
          </w:tcPr>
          <w:p>
            <w:pPr>
              <w:jc w:val="center"/>
              <w:rPr>
                <w:rFonts w:ascii="仿宋_GB2312" w:eastAsia="仿宋_GB2312"/>
              </w:rPr>
            </w:pPr>
            <w:r>
              <w:rPr>
                <w:rFonts w:hint="eastAsia" w:ascii="仿宋_GB2312" w:eastAsia="仿宋_GB2312"/>
              </w:rPr>
              <w:t>上一年项目数量</w:t>
            </w:r>
          </w:p>
        </w:tc>
        <w:tc>
          <w:tcPr>
            <w:tcW w:w="3311" w:type="dxa"/>
            <w:gridSpan w:val="2"/>
            <w:vAlign w:val="center"/>
          </w:tcPr>
          <w:p>
            <w:pPr>
              <w:jc w:val="center"/>
              <w:rPr>
                <w:rFonts w:ascii="仿宋_GB2312" w:eastAsia="仿宋_GB2312"/>
              </w:rPr>
            </w:pPr>
            <w:r>
              <w:rPr>
                <w:rFonts w:hint="eastAsia" w:ascii="仿宋_GB2312" w:eastAsia="仿宋_GB2312"/>
              </w:rPr>
              <w:t>本年增/减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2943" w:type="dxa"/>
            <w:gridSpan w:val="2"/>
            <w:vAlign w:val="center"/>
          </w:tcPr>
          <w:p>
            <w:pPr>
              <w:rPr>
                <w:rFonts w:ascii="仿宋_GB2312" w:eastAsia="仿宋_GB2312"/>
              </w:rPr>
            </w:pPr>
            <w:r>
              <w:rPr>
                <w:rFonts w:hint="eastAsia" w:ascii="仿宋_GB2312" w:eastAsia="仿宋_GB2312"/>
              </w:rPr>
              <w:t>行政事业性收费</w:t>
            </w:r>
          </w:p>
        </w:tc>
        <w:tc>
          <w:tcPr>
            <w:tcW w:w="2268" w:type="dxa"/>
            <w:gridSpan w:val="2"/>
            <w:vAlign w:val="center"/>
          </w:tcPr>
          <w:p>
            <w:pPr>
              <w:jc w:val="center"/>
              <w:rPr>
                <w:rFonts w:ascii="仿宋_GB2312" w:eastAsia="仿宋_GB2312"/>
              </w:rPr>
            </w:pPr>
            <w:r>
              <w:rPr>
                <w:rFonts w:hint="eastAsia" w:ascii="仿宋_GB2312" w:eastAsia="仿宋_GB2312"/>
              </w:rPr>
              <w:t>0</w:t>
            </w:r>
          </w:p>
        </w:tc>
        <w:tc>
          <w:tcPr>
            <w:tcW w:w="3311" w:type="dxa"/>
            <w:gridSpan w:val="2"/>
            <w:vAlign w:val="center"/>
          </w:tcPr>
          <w:p>
            <w:pPr>
              <w:jc w:val="center"/>
              <w:rPr>
                <w:rFonts w:ascii="仿宋_GB2312" w:eastAsia="仿宋_GB2312"/>
              </w:rPr>
            </w:pPr>
            <w:r>
              <w:rPr>
                <w:rFonts w:hint="eastAsia" w:ascii="仿宋_GB2312" w:eastAsia="仿宋_GB2312"/>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8522" w:type="dxa"/>
            <w:gridSpan w:val="6"/>
            <w:shd w:val="clear" w:color="auto" w:fill="B8CCE4" w:themeFill="accent1" w:themeFillTint="66"/>
            <w:vAlign w:val="center"/>
          </w:tcPr>
          <w:p>
            <w:pPr>
              <w:jc w:val="center"/>
              <w:rPr>
                <w:rFonts w:ascii="仿宋_GB2312" w:eastAsia="仿宋_GB2312"/>
              </w:rPr>
            </w:pPr>
            <w:r>
              <w:rPr>
                <w:rFonts w:hint="eastAsia" w:ascii="仿宋_GB2312" w:eastAsia="仿宋_GB2312"/>
              </w:rPr>
              <w:t>第二十条第（九）项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2943" w:type="dxa"/>
            <w:gridSpan w:val="2"/>
            <w:vAlign w:val="center"/>
          </w:tcPr>
          <w:p>
            <w:pPr>
              <w:jc w:val="center"/>
              <w:rPr>
                <w:rFonts w:ascii="仿宋_GB2312" w:eastAsia="仿宋_GB2312"/>
              </w:rPr>
            </w:pPr>
            <w:r>
              <w:rPr>
                <w:rFonts w:hint="eastAsia" w:ascii="仿宋_GB2312" w:eastAsia="仿宋_GB2312"/>
              </w:rPr>
              <w:t>信息内容</w:t>
            </w:r>
          </w:p>
        </w:tc>
        <w:tc>
          <w:tcPr>
            <w:tcW w:w="2268" w:type="dxa"/>
            <w:gridSpan w:val="2"/>
            <w:vAlign w:val="center"/>
          </w:tcPr>
          <w:p>
            <w:pPr>
              <w:jc w:val="center"/>
              <w:rPr>
                <w:rFonts w:ascii="仿宋_GB2312" w:eastAsia="仿宋_GB2312"/>
              </w:rPr>
            </w:pPr>
            <w:r>
              <w:rPr>
                <w:rFonts w:hint="eastAsia" w:ascii="仿宋_GB2312" w:eastAsia="仿宋_GB2312"/>
              </w:rPr>
              <w:t>采购项目数量</w:t>
            </w:r>
          </w:p>
        </w:tc>
        <w:tc>
          <w:tcPr>
            <w:tcW w:w="3311" w:type="dxa"/>
            <w:gridSpan w:val="2"/>
            <w:vAlign w:val="center"/>
          </w:tcPr>
          <w:p>
            <w:pPr>
              <w:jc w:val="center"/>
              <w:rPr>
                <w:rFonts w:ascii="仿宋_GB2312" w:eastAsia="仿宋_GB2312"/>
              </w:rPr>
            </w:pPr>
            <w:r>
              <w:rPr>
                <w:rFonts w:hint="eastAsia" w:ascii="仿宋_GB2312" w:eastAsia="仿宋_GB2312"/>
              </w:rPr>
              <w:t>采购总金额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2943" w:type="dxa"/>
            <w:gridSpan w:val="2"/>
            <w:vAlign w:val="center"/>
          </w:tcPr>
          <w:p>
            <w:pPr>
              <w:rPr>
                <w:rFonts w:ascii="仿宋_GB2312" w:eastAsia="仿宋_GB2312"/>
              </w:rPr>
            </w:pPr>
            <w:r>
              <w:rPr>
                <w:rFonts w:hint="eastAsia" w:ascii="仿宋_GB2312" w:eastAsia="仿宋_GB2312"/>
              </w:rPr>
              <w:t>政府集中采购</w:t>
            </w:r>
          </w:p>
        </w:tc>
        <w:tc>
          <w:tcPr>
            <w:tcW w:w="2268" w:type="dxa"/>
            <w:gridSpan w:val="2"/>
            <w:vAlign w:val="center"/>
          </w:tcPr>
          <w:p>
            <w:pPr>
              <w:jc w:val="center"/>
              <w:rPr>
                <w:rFonts w:ascii="仿宋_GB2312" w:eastAsia="仿宋_GB2312"/>
              </w:rPr>
            </w:pPr>
            <w:r>
              <w:rPr>
                <w:rFonts w:hint="eastAsia" w:ascii="仿宋_GB2312" w:eastAsia="仿宋_GB2312"/>
              </w:rPr>
              <w:t>0</w:t>
            </w:r>
          </w:p>
        </w:tc>
        <w:tc>
          <w:tcPr>
            <w:tcW w:w="3311" w:type="dxa"/>
            <w:gridSpan w:val="2"/>
            <w:vAlign w:val="center"/>
          </w:tcPr>
          <w:p>
            <w:pPr>
              <w:jc w:val="center"/>
              <w:rPr>
                <w:rFonts w:ascii="仿宋_GB2312" w:eastAsia="仿宋_GB2312"/>
              </w:rPr>
            </w:pPr>
            <w:r>
              <w:rPr>
                <w:rFonts w:hint="eastAsia" w:ascii="仿宋_GB2312" w:eastAsia="仿宋_GB2312"/>
              </w:rPr>
              <w:t>0</w:t>
            </w:r>
          </w:p>
        </w:tc>
      </w:tr>
    </w:tbl>
    <w:p>
      <w:pPr>
        <w:jc w:val="center"/>
      </w:pPr>
    </w:p>
    <w:p>
      <w:pPr>
        <w:pStyle w:val="4"/>
        <w:widowControl/>
        <w:spacing w:before="0" w:beforeAutospacing="0" w:after="0" w:afterAutospacing="0" w:line="600" w:lineRule="exact"/>
        <w:ind w:firstLine="640" w:firstLineChars="200"/>
        <w:jc w:val="both"/>
        <w:rPr>
          <w:rFonts w:ascii="Times New Roman" w:hAnsi="黑体" w:eastAsia="黑体" w:cstheme="minorBidi"/>
          <w:color w:val="000000" w:themeColor="text1"/>
          <w:kern w:val="2"/>
          <w:sz w:val="32"/>
          <w:szCs w:val="32"/>
        </w:rPr>
      </w:pPr>
      <w:r>
        <w:rPr>
          <w:rFonts w:hint="eastAsia" w:ascii="Times New Roman" w:hAnsi="黑体" w:eastAsia="黑体" w:cstheme="minorBidi"/>
          <w:color w:val="000000" w:themeColor="text1"/>
          <w:kern w:val="2"/>
          <w:sz w:val="32"/>
          <w:szCs w:val="32"/>
        </w:rPr>
        <w:t>三、收到和处理政府信息公开申请情况</w:t>
      </w:r>
    </w:p>
    <w:tbl>
      <w:tblPr>
        <w:tblStyle w:val="6"/>
        <w:tblW w:w="8573"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1"/>
        <w:gridCol w:w="890"/>
        <w:gridCol w:w="2139"/>
        <w:gridCol w:w="410"/>
        <w:gridCol w:w="712"/>
        <w:gridCol w:w="714"/>
        <w:gridCol w:w="809"/>
        <w:gridCol w:w="892"/>
        <w:gridCol w:w="668"/>
        <w:gridCol w:w="6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3700" w:type="dxa"/>
            <w:gridSpan w:val="3"/>
            <w:vMerge w:val="restart"/>
            <w:vAlign w:val="center"/>
          </w:tcPr>
          <w:p>
            <w:pPr>
              <w:spacing w:line="240" w:lineRule="exact"/>
              <w:rPr>
                <w:rFonts w:ascii="Times New Roman" w:hAnsi="Times New Roman" w:eastAsia="仿宋_GB2312"/>
                <w:color w:val="000000" w:themeColor="text1"/>
                <w:szCs w:val="21"/>
              </w:rPr>
            </w:pPr>
            <w:r>
              <w:rPr>
                <w:rFonts w:hint="eastAsia" w:ascii="Times New Roman" w:eastAsia="仿宋_GB2312"/>
                <w:color w:val="000000" w:themeColor="text1"/>
                <w:szCs w:val="21"/>
              </w:rPr>
              <w:t>（本列数据的勾稽关系为：第一项加第二项之和，等于第三项加第四项之和）</w:t>
            </w:r>
          </w:p>
        </w:tc>
        <w:tc>
          <w:tcPr>
            <w:tcW w:w="4873" w:type="dxa"/>
            <w:gridSpan w:val="7"/>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申请人情况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3700" w:type="dxa"/>
            <w:gridSpan w:val="3"/>
            <w:vMerge w:val="continue"/>
            <w:vAlign w:val="center"/>
          </w:tcPr>
          <w:p>
            <w:pPr>
              <w:spacing w:line="240" w:lineRule="exact"/>
              <w:rPr>
                <w:rFonts w:ascii="Times New Roman" w:hAnsi="Times New Roman" w:eastAsia="仿宋_GB2312"/>
                <w:color w:val="000000" w:themeColor="text1"/>
                <w:szCs w:val="21"/>
              </w:rPr>
            </w:pPr>
          </w:p>
        </w:tc>
        <w:tc>
          <w:tcPr>
            <w:tcW w:w="410" w:type="dxa"/>
            <w:vMerge w:val="restart"/>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自然人</w:t>
            </w:r>
          </w:p>
        </w:tc>
        <w:tc>
          <w:tcPr>
            <w:tcW w:w="3795" w:type="dxa"/>
            <w:gridSpan w:val="5"/>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法人或其他组织</w:t>
            </w:r>
          </w:p>
        </w:tc>
        <w:tc>
          <w:tcPr>
            <w:tcW w:w="668" w:type="dxa"/>
            <w:vMerge w:val="restart"/>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总计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3700" w:type="dxa"/>
            <w:gridSpan w:val="3"/>
            <w:vMerge w:val="continue"/>
            <w:vAlign w:val="center"/>
          </w:tcPr>
          <w:p>
            <w:pPr>
              <w:spacing w:line="240" w:lineRule="exact"/>
              <w:rPr>
                <w:rFonts w:ascii="Times New Roman" w:hAnsi="Times New Roman" w:eastAsia="仿宋_GB2312"/>
                <w:color w:val="000000" w:themeColor="text1"/>
                <w:szCs w:val="21"/>
              </w:rPr>
            </w:pPr>
          </w:p>
        </w:tc>
        <w:tc>
          <w:tcPr>
            <w:tcW w:w="410" w:type="dxa"/>
            <w:vMerge w:val="continue"/>
            <w:vAlign w:val="center"/>
          </w:tcPr>
          <w:p>
            <w:pPr>
              <w:spacing w:line="240" w:lineRule="exact"/>
              <w:jc w:val="center"/>
              <w:rPr>
                <w:rFonts w:ascii="Times New Roman" w:hAnsi="Times New Roman" w:eastAsia="仿宋_GB2312"/>
                <w:color w:val="000000" w:themeColor="text1"/>
                <w:szCs w:val="21"/>
              </w:rPr>
            </w:pPr>
          </w:p>
        </w:tc>
        <w:tc>
          <w:tcPr>
            <w:tcW w:w="712"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商业</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企业</w:t>
            </w:r>
          </w:p>
        </w:tc>
        <w:tc>
          <w:tcPr>
            <w:tcW w:w="714"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科研</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机构</w:t>
            </w:r>
          </w:p>
        </w:tc>
        <w:tc>
          <w:tcPr>
            <w:tcW w:w="809" w:type="dxa"/>
            <w:vAlign w:val="center"/>
          </w:tcPr>
          <w:p>
            <w:pPr>
              <w:spacing w:line="240" w:lineRule="exact"/>
              <w:ind w:left="-105" w:leftChars="-50" w:right="-105" w:rightChars="-50"/>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社会公益组织</w:t>
            </w:r>
          </w:p>
        </w:tc>
        <w:tc>
          <w:tcPr>
            <w:tcW w:w="892"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法律服</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务机构</w:t>
            </w:r>
          </w:p>
        </w:tc>
        <w:tc>
          <w:tcPr>
            <w:tcW w:w="6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其他</w:t>
            </w:r>
          </w:p>
        </w:tc>
        <w:tc>
          <w:tcPr>
            <w:tcW w:w="668" w:type="dxa"/>
            <w:vMerge w:val="continue"/>
            <w:vAlign w:val="center"/>
          </w:tcPr>
          <w:p>
            <w:pPr>
              <w:spacing w:line="240" w:lineRule="exact"/>
              <w:jc w:val="center"/>
              <w:rPr>
                <w:rFonts w:ascii="Times New Roman" w:hAnsi="Times New Roman" w:eastAsia="仿宋_GB2312"/>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3700" w:type="dxa"/>
            <w:gridSpan w:val="3"/>
            <w:vAlign w:val="center"/>
          </w:tcPr>
          <w:p>
            <w:pPr>
              <w:spacing w:line="240" w:lineRule="exact"/>
              <w:rPr>
                <w:rFonts w:ascii="Times New Roman" w:hAnsi="Times New Roman" w:eastAsia="仿宋_GB2312"/>
                <w:color w:val="000000" w:themeColor="text1"/>
                <w:szCs w:val="21"/>
              </w:rPr>
            </w:pPr>
            <w:r>
              <w:rPr>
                <w:rFonts w:hint="eastAsia" w:ascii="Times New Roman" w:eastAsia="仿宋_GB2312"/>
                <w:color w:val="000000" w:themeColor="text1"/>
                <w:szCs w:val="21"/>
              </w:rPr>
              <w:t>一、本年新收政府信息公开申请数量</w:t>
            </w:r>
          </w:p>
        </w:tc>
        <w:tc>
          <w:tcPr>
            <w:tcW w:w="410"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2"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4"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809"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892"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6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6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3700" w:type="dxa"/>
            <w:gridSpan w:val="3"/>
            <w:vAlign w:val="center"/>
          </w:tcPr>
          <w:p>
            <w:pPr>
              <w:spacing w:line="240" w:lineRule="exact"/>
              <w:rPr>
                <w:rFonts w:ascii="Times New Roman" w:hAnsi="Times New Roman" w:eastAsia="仿宋_GB2312"/>
                <w:color w:val="000000" w:themeColor="text1"/>
                <w:szCs w:val="21"/>
              </w:rPr>
            </w:pPr>
            <w:r>
              <w:rPr>
                <w:rFonts w:hint="eastAsia" w:ascii="Times New Roman" w:eastAsia="仿宋_GB2312"/>
                <w:color w:val="000000" w:themeColor="text1"/>
                <w:szCs w:val="21"/>
              </w:rPr>
              <w:t>二、上年结转政府信息公开申请数量</w:t>
            </w:r>
          </w:p>
        </w:tc>
        <w:tc>
          <w:tcPr>
            <w:tcW w:w="410"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2"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4"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809"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892"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6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6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671" w:type="dxa"/>
            <w:vMerge w:val="restart"/>
            <w:vAlign w:val="center"/>
          </w:tcPr>
          <w:p>
            <w:pPr>
              <w:spacing w:line="240" w:lineRule="exact"/>
              <w:rPr>
                <w:rFonts w:ascii="Times New Roman" w:hAnsi="Times New Roman" w:eastAsia="仿宋_GB2312"/>
                <w:color w:val="000000" w:themeColor="text1"/>
                <w:szCs w:val="21"/>
              </w:rPr>
            </w:pPr>
            <w:r>
              <w:rPr>
                <w:rFonts w:hint="eastAsia" w:ascii="Times New Roman" w:eastAsia="仿宋_GB2312"/>
                <w:color w:val="000000" w:themeColor="text1"/>
                <w:szCs w:val="21"/>
              </w:rPr>
              <w:t>三、</w:t>
            </w:r>
          </w:p>
          <w:p>
            <w:pPr>
              <w:spacing w:line="240" w:lineRule="exact"/>
              <w:rPr>
                <w:rFonts w:ascii="Times New Roman" w:hAnsi="Times New Roman" w:eastAsia="仿宋_GB2312"/>
                <w:color w:val="000000" w:themeColor="text1"/>
                <w:szCs w:val="21"/>
              </w:rPr>
            </w:pPr>
            <w:r>
              <w:rPr>
                <w:rFonts w:hint="eastAsia" w:ascii="Times New Roman" w:eastAsia="仿宋_GB2312"/>
                <w:color w:val="000000" w:themeColor="text1"/>
                <w:szCs w:val="21"/>
              </w:rPr>
              <w:t>本年度办理结果</w:t>
            </w:r>
          </w:p>
        </w:tc>
        <w:tc>
          <w:tcPr>
            <w:tcW w:w="3029" w:type="dxa"/>
            <w:gridSpan w:val="2"/>
            <w:vAlign w:val="center"/>
          </w:tcPr>
          <w:p>
            <w:pPr>
              <w:spacing w:line="240" w:lineRule="exact"/>
              <w:rPr>
                <w:rFonts w:ascii="Times New Roman" w:hAnsi="Times New Roman" w:eastAsia="仿宋_GB2312"/>
                <w:color w:val="000000" w:themeColor="text1"/>
                <w:szCs w:val="21"/>
              </w:rPr>
            </w:pPr>
            <w:r>
              <w:rPr>
                <w:rFonts w:hint="eastAsia" w:ascii="Times New Roman" w:eastAsia="仿宋_GB2312"/>
                <w:color w:val="000000" w:themeColor="text1"/>
                <w:szCs w:val="21"/>
              </w:rPr>
              <w:t>（一）予以公开</w:t>
            </w:r>
          </w:p>
        </w:tc>
        <w:tc>
          <w:tcPr>
            <w:tcW w:w="410"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2"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4"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809"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892"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6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6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671" w:type="dxa"/>
            <w:vMerge w:val="continue"/>
            <w:vAlign w:val="center"/>
          </w:tcPr>
          <w:p>
            <w:pPr>
              <w:spacing w:line="240" w:lineRule="exact"/>
              <w:rPr>
                <w:rFonts w:ascii="Times New Roman" w:hAnsi="Times New Roman" w:eastAsia="仿宋_GB2312"/>
                <w:color w:val="000000" w:themeColor="text1"/>
                <w:szCs w:val="21"/>
              </w:rPr>
            </w:pPr>
          </w:p>
        </w:tc>
        <w:tc>
          <w:tcPr>
            <w:tcW w:w="3029" w:type="dxa"/>
            <w:gridSpan w:val="2"/>
            <w:vAlign w:val="center"/>
          </w:tcPr>
          <w:p>
            <w:pPr>
              <w:spacing w:line="240" w:lineRule="exact"/>
              <w:rPr>
                <w:rFonts w:ascii="Times New Roman" w:hAnsi="Times New Roman" w:eastAsia="仿宋_GB2312"/>
                <w:color w:val="000000" w:themeColor="text1"/>
                <w:szCs w:val="21"/>
              </w:rPr>
            </w:pPr>
            <w:r>
              <w:rPr>
                <w:rFonts w:hint="eastAsia" w:ascii="Times New Roman" w:eastAsia="仿宋_GB2312"/>
                <w:color w:val="000000" w:themeColor="text1"/>
                <w:szCs w:val="21"/>
              </w:rPr>
              <w:t>（二）部分公开（区分处理的，只计这一情形，不计其他情形）</w:t>
            </w:r>
          </w:p>
        </w:tc>
        <w:tc>
          <w:tcPr>
            <w:tcW w:w="410"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2"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4"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809"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892"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6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6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671" w:type="dxa"/>
            <w:vMerge w:val="continue"/>
            <w:vAlign w:val="center"/>
          </w:tcPr>
          <w:p>
            <w:pPr>
              <w:spacing w:line="240" w:lineRule="exact"/>
              <w:rPr>
                <w:rFonts w:ascii="Times New Roman" w:hAnsi="Times New Roman" w:eastAsia="仿宋_GB2312"/>
                <w:color w:val="000000" w:themeColor="text1"/>
                <w:szCs w:val="21"/>
              </w:rPr>
            </w:pPr>
          </w:p>
        </w:tc>
        <w:tc>
          <w:tcPr>
            <w:tcW w:w="890" w:type="dxa"/>
            <w:vMerge w:val="restart"/>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（三）</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不予公开</w:t>
            </w:r>
          </w:p>
        </w:tc>
        <w:tc>
          <w:tcPr>
            <w:tcW w:w="2139" w:type="dxa"/>
            <w:vAlign w:val="center"/>
          </w:tcPr>
          <w:p>
            <w:pPr>
              <w:spacing w:line="240" w:lineRule="exact"/>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1.</w:t>
            </w:r>
            <w:r>
              <w:rPr>
                <w:rFonts w:hint="eastAsia" w:ascii="Times New Roman" w:eastAsia="仿宋_GB2312"/>
                <w:color w:val="000000" w:themeColor="text1"/>
                <w:szCs w:val="21"/>
              </w:rPr>
              <w:t>属于国家秘密</w:t>
            </w:r>
          </w:p>
        </w:tc>
        <w:tc>
          <w:tcPr>
            <w:tcW w:w="410"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2"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4"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809"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892"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6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6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671" w:type="dxa"/>
            <w:vMerge w:val="continue"/>
            <w:vAlign w:val="center"/>
          </w:tcPr>
          <w:p>
            <w:pPr>
              <w:spacing w:line="240" w:lineRule="exact"/>
              <w:rPr>
                <w:rFonts w:ascii="Times New Roman" w:hAnsi="Times New Roman" w:eastAsia="仿宋_GB2312"/>
                <w:color w:val="000000" w:themeColor="text1"/>
                <w:szCs w:val="21"/>
              </w:rPr>
            </w:pPr>
          </w:p>
        </w:tc>
        <w:tc>
          <w:tcPr>
            <w:tcW w:w="890" w:type="dxa"/>
            <w:vMerge w:val="continue"/>
            <w:vAlign w:val="center"/>
          </w:tcPr>
          <w:p>
            <w:pPr>
              <w:spacing w:line="240" w:lineRule="exact"/>
              <w:jc w:val="center"/>
              <w:rPr>
                <w:rFonts w:ascii="Times New Roman" w:hAnsi="Times New Roman" w:eastAsia="仿宋_GB2312"/>
                <w:color w:val="000000" w:themeColor="text1"/>
                <w:szCs w:val="21"/>
              </w:rPr>
            </w:pPr>
          </w:p>
        </w:tc>
        <w:tc>
          <w:tcPr>
            <w:tcW w:w="2139" w:type="dxa"/>
            <w:vAlign w:val="center"/>
          </w:tcPr>
          <w:p>
            <w:pPr>
              <w:spacing w:line="240" w:lineRule="exact"/>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2</w:t>
            </w:r>
            <w:r>
              <w:rPr>
                <w:rFonts w:hint="eastAsia" w:ascii="Times New Roman" w:eastAsia="仿宋_GB2312"/>
                <w:color w:val="000000" w:themeColor="text1"/>
                <w:szCs w:val="21"/>
              </w:rPr>
              <w:t>．其他法律行政法规禁止公开</w:t>
            </w:r>
          </w:p>
        </w:tc>
        <w:tc>
          <w:tcPr>
            <w:tcW w:w="410"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2"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4" w:type="dxa"/>
          </w:tcPr>
          <w:p>
            <w:pPr>
              <w:jc w:val="center"/>
            </w:pPr>
            <w:r>
              <w:rPr>
                <w:rFonts w:hint="eastAsia" w:ascii="Times New Roman" w:hAnsi="Times New Roman" w:eastAsia="仿宋_GB2312"/>
                <w:color w:val="000000" w:themeColor="text1"/>
                <w:szCs w:val="21"/>
              </w:rPr>
              <w:t>0</w:t>
            </w:r>
          </w:p>
        </w:tc>
        <w:tc>
          <w:tcPr>
            <w:tcW w:w="809" w:type="dxa"/>
          </w:tcPr>
          <w:p>
            <w:pPr>
              <w:jc w:val="center"/>
            </w:pPr>
            <w:r>
              <w:rPr>
                <w:rFonts w:hint="eastAsia" w:ascii="Times New Roman" w:hAnsi="Times New Roman" w:eastAsia="仿宋_GB2312"/>
                <w:color w:val="000000" w:themeColor="text1"/>
                <w:szCs w:val="21"/>
              </w:rPr>
              <w:t>0</w:t>
            </w:r>
          </w:p>
        </w:tc>
        <w:tc>
          <w:tcPr>
            <w:tcW w:w="892"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671" w:type="dxa"/>
            <w:vMerge w:val="continue"/>
            <w:vAlign w:val="center"/>
          </w:tcPr>
          <w:p>
            <w:pPr>
              <w:spacing w:line="240" w:lineRule="exact"/>
              <w:rPr>
                <w:rFonts w:ascii="Times New Roman" w:hAnsi="Times New Roman" w:eastAsia="仿宋_GB2312"/>
                <w:color w:val="000000" w:themeColor="text1"/>
                <w:szCs w:val="21"/>
              </w:rPr>
            </w:pPr>
          </w:p>
        </w:tc>
        <w:tc>
          <w:tcPr>
            <w:tcW w:w="890" w:type="dxa"/>
            <w:vMerge w:val="continue"/>
            <w:vAlign w:val="center"/>
          </w:tcPr>
          <w:p>
            <w:pPr>
              <w:spacing w:line="240" w:lineRule="exact"/>
              <w:jc w:val="center"/>
              <w:rPr>
                <w:rFonts w:ascii="Times New Roman" w:hAnsi="Times New Roman" w:eastAsia="仿宋_GB2312"/>
                <w:color w:val="000000" w:themeColor="text1"/>
                <w:szCs w:val="21"/>
              </w:rPr>
            </w:pPr>
          </w:p>
        </w:tc>
        <w:tc>
          <w:tcPr>
            <w:tcW w:w="2139" w:type="dxa"/>
            <w:vAlign w:val="center"/>
          </w:tcPr>
          <w:p>
            <w:pPr>
              <w:spacing w:line="240" w:lineRule="exact"/>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3.</w:t>
            </w:r>
            <w:r>
              <w:rPr>
                <w:rFonts w:hint="eastAsia" w:ascii="Times New Roman" w:eastAsia="仿宋_GB2312"/>
                <w:color w:val="000000" w:themeColor="text1"/>
                <w:szCs w:val="21"/>
              </w:rPr>
              <w:t>危及</w:t>
            </w:r>
            <w:r>
              <w:rPr>
                <w:rFonts w:hint="eastAsia" w:ascii="Times New Roman" w:hAnsi="Times New Roman" w:eastAsia="仿宋_GB2312"/>
                <w:color w:val="000000" w:themeColor="text1"/>
                <w:szCs w:val="21"/>
              </w:rPr>
              <w:t>“</w:t>
            </w:r>
            <w:r>
              <w:rPr>
                <w:rFonts w:hint="eastAsia" w:ascii="Times New Roman" w:eastAsia="仿宋_GB2312"/>
                <w:color w:val="000000" w:themeColor="text1"/>
                <w:szCs w:val="21"/>
              </w:rPr>
              <w:t>三安全一稳定</w:t>
            </w:r>
            <w:r>
              <w:rPr>
                <w:rFonts w:hint="eastAsia" w:ascii="Times New Roman" w:hAnsi="Times New Roman" w:eastAsia="仿宋_GB2312"/>
                <w:color w:val="000000" w:themeColor="text1"/>
                <w:szCs w:val="21"/>
              </w:rPr>
              <w:t>”</w:t>
            </w:r>
          </w:p>
        </w:tc>
        <w:tc>
          <w:tcPr>
            <w:tcW w:w="410"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2" w:type="dxa"/>
          </w:tcPr>
          <w:p>
            <w:pPr>
              <w:jc w:val="center"/>
            </w:pPr>
            <w:r>
              <w:rPr>
                <w:rFonts w:hint="eastAsia" w:ascii="Times New Roman" w:hAnsi="Times New Roman" w:eastAsia="仿宋_GB2312"/>
                <w:color w:val="000000" w:themeColor="text1"/>
                <w:szCs w:val="21"/>
              </w:rPr>
              <w:t>0</w:t>
            </w:r>
          </w:p>
        </w:tc>
        <w:tc>
          <w:tcPr>
            <w:tcW w:w="714" w:type="dxa"/>
          </w:tcPr>
          <w:p>
            <w:pPr>
              <w:jc w:val="center"/>
            </w:pPr>
            <w:r>
              <w:rPr>
                <w:rFonts w:hint="eastAsia" w:ascii="Times New Roman" w:hAnsi="Times New Roman" w:eastAsia="仿宋_GB2312"/>
                <w:color w:val="000000" w:themeColor="text1"/>
                <w:szCs w:val="21"/>
              </w:rPr>
              <w:t>0</w:t>
            </w:r>
          </w:p>
        </w:tc>
        <w:tc>
          <w:tcPr>
            <w:tcW w:w="809" w:type="dxa"/>
          </w:tcPr>
          <w:p>
            <w:pPr>
              <w:jc w:val="center"/>
            </w:pPr>
            <w:r>
              <w:rPr>
                <w:rFonts w:hint="eastAsia" w:ascii="Times New Roman" w:hAnsi="Times New Roman" w:eastAsia="仿宋_GB2312"/>
                <w:color w:val="000000" w:themeColor="text1"/>
                <w:szCs w:val="21"/>
              </w:rPr>
              <w:t>0</w:t>
            </w:r>
          </w:p>
        </w:tc>
        <w:tc>
          <w:tcPr>
            <w:tcW w:w="892"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671" w:type="dxa"/>
            <w:vMerge w:val="continue"/>
            <w:vAlign w:val="center"/>
          </w:tcPr>
          <w:p>
            <w:pPr>
              <w:spacing w:line="240" w:lineRule="exact"/>
              <w:rPr>
                <w:rFonts w:ascii="Times New Roman" w:hAnsi="Times New Roman" w:eastAsia="仿宋_GB2312"/>
                <w:color w:val="000000" w:themeColor="text1"/>
                <w:szCs w:val="21"/>
              </w:rPr>
            </w:pPr>
          </w:p>
        </w:tc>
        <w:tc>
          <w:tcPr>
            <w:tcW w:w="890" w:type="dxa"/>
            <w:vMerge w:val="continue"/>
            <w:vAlign w:val="center"/>
          </w:tcPr>
          <w:p>
            <w:pPr>
              <w:spacing w:line="240" w:lineRule="exact"/>
              <w:jc w:val="center"/>
              <w:rPr>
                <w:rFonts w:ascii="Times New Roman" w:hAnsi="Times New Roman" w:eastAsia="仿宋_GB2312"/>
                <w:color w:val="000000" w:themeColor="text1"/>
                <w:szCs w:val="21"/>
              </w:rPr>
            </w:pPr>
          </w:p>
        </w:tc>
        <w:tc>
          <w:tcPr>
            <w:tcW w:w="2139" w:type="dxa"/>
            <w:vAlign w:val="center"/>
          </w:tcPr>
          <w:p>
            <w:pPr>
              <w:spacing w:line="240" w:lineRule="exact"/>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4.</w:t>
            </w:r>
            <w:r>
              <w:rPr>
                <w:rFonts w:hint="eastAsia" w:ascii="Times New Roman" w:eastAsia="仿宋_GB2312"/>
                <w:color w:val="000000" w:themeColor="text1"/>
                <w:szCs w:val="21"/>
              </w:rPr>
              <w:t>保护第三方合法权益</w:t>
            </w:r>
          </w:p>
        </w:tc>
        <w:tc>
          <w:tcPr>
            <w:tcW w:w="410"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2" w:type="dxa"/>
          </w:tcPr>
          <w:p>
            <w:pPr>
              <w:jc w:val="center"/>
            </w:pPr>
            <w:r>
              <w:rPr>
                <w:rFonts w:hint="eastAsia" w:ascii="Times New Roman" w:hAnsi="Times New Roman" w:eastAsia="仿宋_GB2312"/>
                <w:color w:val="000000" w:themeColor="text1"/>
                <w:szCs w:val="21"/>
              </w:rPr>
              <w:t>0</w:t>
            </w:r>
          </w:p>
        </w:tc>
        <w:tc>
          <w:tcPr>
            <w:tcW w:w="714" w:type="dxa"/>
          </w:tcPr>
          <w:p>
            <w:pPr>
              <w:jc w:val="center"/>
            </w:pPr>
            <w:r>
              <w:rPr>
                <w:rFonts w:hint="eastAsia" w:ascii="Times New Roman" w:hAnsi="Times New Roman" w:eastAsia="仿宋_GB2312"/>
                <w:color w:val="000000" w:themeColor="text1"/>
                <w:szCs w:val="21"/>
              </w:rPr>
              <w:t>0</w:t>
            </w:r>
          </w:p>
        </w:tc>
        <w:tc>
          <w:tcPr>
            <w:tcW w:w="809" w:type="dxa"/>
          </w:tcPr>
          <w:p>
            <w:pPr>
              <w:jc w:val="center"/>
            </w:pPr>
            <w:r>
              <w:rPr>
                <w:rFonts w:hint="eastAsia" w:ascii="Times New Roman" w:hAnsi="Times New Roman" w:eastAsia="仿宋_GB2312"/>
                <w:color w:val="000000" w:themeColor="text1"/>
                <w:szCs w:val="21"/>
              </w:rPr>
              <w:t>0</w:t>
            </w:r>
          </w:p>
        </w:tc>
        <w:tc>
          <w:tcPr>
            <w:tcW w:w="892"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671" w:type="dxa"/>
            <w:vMerge w:val="continue"/>
            <w:vAlign w:val="center"/>
          </w:tcPr>
          <w:p>
            <w:pPr>
              <w:spacing w:line="240" w:lineRule="exact"/>
              <w:rPr>
                <w:rFonts w:ascii="Times New Roman" w:hAnsi="Times New Roman" w:eastAsia="仿宋_GB2312"/>
                <w:color w:val="000000" w:themeColor="text1"/>
                <w:szCs w:val="21"/>
              </w:rPr>
            </w:pPr>
          </w:p>
        </w:tc>
        <w:tc>
          <w:tcPr>
            <w:tcW w:w="890" w:type="dxa"/>
            <w:vMerge w:val="continue"/>
            <w:vAlign w:val="center"/>
          </w:tcPr>
          <w:p>
            <w:pPr>
              <w:spacing w:line="240" w:lineRule="exact"/>
              <w:jc w:val="center"/>
              <w:rPr>
                <w:rFonts w:ascii="Times New Roman" w:hAnsi="Times New Roman" w:eastAsia="仿宋_GB2312"/>
                <w:color w:val="000000" w:themeColor="text1"/>
                <w:szCs w:val="21"/>
              </w:rPr>
            </w:pPr>
          </w:p>
        </w:tc>
        <w:tc>
          <w:tcPr>
            <w:tcW w:w="2139" w:type="dxa"/>
            <w:vAlign w:val="center"/>
          </w:tcPr>
          <w:p>
            <w:pPr>
              <w:spacing w:line="240" w:lineRule="exact"/>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5.</w:t>
            </w:r>
            <w:r>
              <w:rPr>
                <w:rFonts w:hint="eastAsia" w:ascii="Times New Roman" w:eastAsia="仿宋_GB2312"/>
                <w:color w:val="000000" w:themeColor="text1"/>
                <w:szCs w:val="21"/>
              </w:rPr>
              <w:t>属于三类内部事务信息</w:t>
            </w:r>
          </w:p>
        </w:tc>
        <w:tc>
          <w:tcPr>
            <w:tcW w:w="410"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2" w:type="dxa"/>
          </w:tcPr>
          <w:p>
            <w:pPr>
              <w:jc w:val="center"/>
            </w:pPr>
            <w:r>
              <w:rPr>
                <w:rFonts w:hint="eastAsia" w:ascii="Times New Roman" w:hAnsi="Times New Roman" w:eastAsia="仿宋_GB2312"/>
                <w:color w:val="000000" w:themeColor="text1"/>
                <w:szCs w:val="21"/>
              </w:rPr>
              <w:t>0</w:t>
            </w:r>
          </w:p>
        </w:tc>
        <w:tc>
          <w:tcPr>
            <w:tcW w:w="714" w:type="dxa"/>
          </w:tcPr>
          <w:p>
            <w:pPr>
              <w:jc w:val="center"/>
            </w:pPr>
            <w:r>
              <w:rPr>
                <w:rFonts w:hint="eastAsia" w:ascii="Times New Roman" w:hAnsi="Times New Roman" w:eastAsia="仿宋_GB2312"/>
                <w:color w:val="000000" w:themeColor="text1"/>
                <w:szCs w:val="21"/>
              </w:rPr>
              <w:t>0</w:t>
            </w:r>
          </w:p>
        </w:tc>
        <w:tc>
          <w:tcPr>
            <w:tcW w:w="809" w:type="dxa"/>
          </w:tcPr>
          <w:p>
            <w:pPr>
              <w:jc w:val="center"/>
            </w:pPr>
            <w:r>
              <w:rPr>
                <w:rFonts w:hint="eastAsia" w:ascii="Times New Roman" w:hAnsi="Times New Roman" w:eastAsia="仿宋_GB2312"/>
                <w:color w:val="000000" w:themeColor="text1"/>
                <w:szCs w:val="21"/>
              </w:rPr>
              <w:t>0</w:t>
            </w:r>
          </w:p>
        </w:tc>
        <w:tc>
          <w:tcPr>
            <w:tcW w:w="892"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671" w:type="dxa"/>
            <w:vMerge w:val="continue"/>
            <w:vAlign w:val="center"/>
          </w:tcPr>
          <w:p>
            <w:pPr>
              <w:spacing w:line="240" w:lineRule="exact"/>
              <w:rPr>
                <w:rFonts w:ascii="Times New Roman" w:hAnsi="Times New Roman" w:eastAsia="仿宋_GB2312"/>
                <w:color w:val="000000" w:themeColor="text1"/>
                <w:szCs w:val="21"/>
              </w:rPr>
            </w:pPr>
          </w:p>
        </w:tc>
        <w:tc>
          <w:tcPr>
            <w:tcW w:w="890" w:type="dxa"/>
            <w:vMerge w:val="continue"/>
            <w:vAlign w:val="center"/>
          </w:tcPr>
          <w:p>
            <w:pPr>
              <w:spacing w:line="240" w:lineRule="exact"/>
              <w:jc w:val="center"/>
              <w:rPr>
                <w:rFonts w:ascii="Times New Roman" w:hAnsi="Times New Roman" w:eastAsia="仿宋_GB2312"/>
                <w:color w:val="000000" w:themeColor="text1"/>
                <w:szCs w:val="21"/>
              </w:rPr>
            </w:pPr>
          </w:p>
        </w:tc>
        <w:tc>
          <w:tcPr>
            <w:tcW w:w="2139" w:type="dxa"/>
            <w:vAlign w:val="center"/>
          </w:tcPr>
          <w:p>
            <w:pPr>
              <w:spacing w:line="240" w:lineRule="exact"/>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6.</w:t>
            </w:r>
            <w:r>
              <w:rPr>
                <w:rFonts w:hint="eastAsia" w:ascii="Times New Roman" w:eastAsia="仿宋_GB2312"/>
                <w:color w:val="000000" w:themeColor="text1"/>
                <w:szCs w:val="21"/>
              </w:rPr>
              <w:t>属于四类过程性信息</w:t>
            </w:r>
          </w:p>
        </w:tc>
        <w:tc>
          <w:tcPr>
            <w:tcW w:w="410"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2" w:type="dxa"/>
          </w:tcPr>
          <w:p>
            <w:pPr>
              <w:jc w:val="center"/>
            </w:pPr>
            <w:r>
              <w:rPr>
                <w:rFonts w:hint="eastAsia" w:ascii="Times New Roman" w:hAnsi="Times New Roman" w:eastAsia="仿宋_GB2312"/>
                <w:color w:val="000000" w:themeColor="text1"/>
                <w:szCs w:val="21"/>
              </w:rPr>
              <w:t>0</w:t>
            </w:r>
          </w:p>
        </w:tc>
        <w:tc>
          <w:tcPr>
            <w:tcW w:w="714" w:type="dxa"/>
          </w:tcPr>
          <w:p>
            <w:pPr>
              <w:jc w:val="center"/>
            </w:pPr>
            <w:r>
              <w:rPr>
                <w:rFonts w:hint="eastAsia" w:ascii="Times New Roman" w:hAnsi="Times New Roman" w:eastAsia="仿宋_GB2312"/>
                <w:color w:val="000000" w:themeColor="text1"/>
                <w:szCs w:val="21"/>
              </w:rPr>
              <w:t>0</w:t>
            </w:r>
          </w:p>
        </w:tc>
        <w:tc>
          <w:tcPr>
            <w:tcW w:w="809" w:type="dxa"/>
          </w:tcPr>
          <w:p>
            <w:pPr>
              <w:jc w:val="center"/>
            </w:pPr>
            <w:r>
              <w:rPr>
                <w:rFonts w:hint="eastAsia" w:ascii="Times New Roman" w:hAnsi="Times New Roman" w:eastAsia="仿宋_GB2312"/>
                <w:color w:val="000000" w:themeColor="text1"/>
                <w:szCs w:val="21"/>
              </w:rPr>
              <w:t>0</w:t>
            </w:r>
          </w:p>
        </w:tc>
        <w:tc>
          <w:tcPr>
            <w:tcW w:w="892"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671" w:type="dxa"/>
            <w:vMerge w:val="continue"/>
            <w:vAlign w:val="center"/>
          </w:tcPr>
          <w:p>
            <w:pPr>
              <w:spacing w:line="240" w:lineRule="exact"/>
              <w:rPr>
                <w:rFonts w:ascii="Times New Roman" w:hAnsi="Times New Roman" w:eastAsia="仿宋_GB2312"/>
                <w:color w:val="000000" w:themeColor="text1"/>
                <w:szCs w:val="21"/>
              </w:rPr>
            </w:pPr>
          </w:p>
        </w:tc>
        <w:tc>
          <w:tcPr>
            <w:tcW w:w="890" w:type="dxa"/>
            <w:vMerge w:val="continue"/>
            <w:vAlign w:val="center"/>
          </w:tcPr>
          <w:p>
            <w:pPr>
              <w:spacing w:line="240" w:lineRule="exact"/>
              <w:jc w:val="center"/>
              <w:rPr>
                <w:rFonts w:ascii="Times New Roman" w:hAnsi="Times New Roman" w:eastAsia="仿宋_GB2312"/>
                <w:color w:val="000000" w:themeColor="text1"/>
                <w:szCs w:val="21"/>
              </w:rPr>
            </w:pPr>
          </w:p>
        </w:tc>
        <w:tc>
          <w:tcPr>
            <w:tcW w:w="2139" w:type="dxa"/>
            <w:vAlign w:val="center"/>
          </w:tcPr>
          <w:p>
            <w:pPr>
              <w:spacing w:line="240" w:lineRule="exact"/>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7.</w:t>
            </w:r>
            <w:r>
              <w:rPr>
                <w:rFonts w:hint="eastAsia" w:ascii="Times New Roman" w:eastAsia="仿宋_GB2312"/>
                <w:color w:val="000000" w:themeColor="text1"/>
                <w:szCs w:val="21"/>
              </w:rPr>
              <w:t>属于行政执法案卷</w:t>
            </w:r>
          </w:p>
        </w:tc>
        <w:tc>
          <w:tcPr>
            <w:tcW w:w="410"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2" w:type="dxa"/>
          </w:tcPr>
          <w:p>
            <w:pPr>
              <w:jc w:val="center"/>
            </w:pPr>
            <w:r>
              <w:rPr>
                <w:rFonts w:hint="eastAsia" w:ascii="Times New Roman" w:hAnsi="Times New Roman" w:eastAsia="仿宋_GB2312"/>
                <w:color w:val="000000" w:themeColor="text1"/>
                <w:szCs w:val="21"/>
              </w:rPr>
              <w:t>0</w:t>
            </w:r>
          </w:p>
        </w:tc>
        <w:tc>
          <w:tcPr>
            <w:tcW w:w="714" w:type="dxa"/>
          </w:tcPr>
          <w:p>
            <w:pPr>
              <w:jc w:val="center"/>
            </w:pPr>
            <w:r>
              <w:rPr>
                <w:rFonts w:hint="eastAsia" w:ascii="Times New Roman" w:hAnsi="Times New Roman" w:eastAsia="仿宋_GB2312"/>
                <w:color w:val="000000" w:themeColor="text1"/>
                <w:szCs w:val="21"/>
              </w:rPr>
              <w:t>0</w:t>
            </w:r>
          </w:p>
        </w:tc>
        <w:tc>
          <w:tcPr>
            <w:tcW w:w="809" w:type="dxa"/>
          </w:tcPr>
          <w:p>
            <w:pPr>
              <w:jc w:val="center"/>
            </w:pPr>
            <w:r>
              <w:rPr>
                <w:rFonts w:hint="eastAsia" w:ascii="Times New Roman" w:hAnsi="Times New Roman" w:eastAsia="仿宋_GB2312"/>
                <w:color w:val="000000" w:themeColor="text1"/>
                <w:szCs w:val="21"/>
              </w:rPr>
              <w:t>0</w:t>
            </w:r>
          </w:p>
        </w:tc>
        <w:tc>
          <w:tcPr>
            <w:tcW w:w="892"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671" w:type="dxa"/>
            <w:vMerge w:val="continue"/>
            <w:vAlign w:val="center"/>
          </w:tcPr>
          <w:p>
            <w:pPr>
              <w:spacing w:line="240" w:lineRule="exact"/>
              <w:rPr>
                <w:rFonts w:ascii="Times New Roman" w:hAnsi="Times New Roman" w:eastAsia="仿宋_GB2312"/>
                <w:color w:val="000000" w:themeColor="text1"/>
                <w:szCs w:val="21"/>
              </w:rPr>
            </w:pPr>
          </w:p>
        </w:tc>
        <w:tc>
          <w:tcPr>
            <w:tcW w:w="890" w:type="dxa"/>
            <w:vMerge w:val="continue"/>
            <w:vAlign w:val="center"/>
          </w:tcPr>
          <w:p>
            <w:pPr>
              <w:spacing w:line="240" w:lineRule="exact"/>
              <w:jc w:val="center"/>
              <w:rPr>
                <w:rFonts w:ascii="Times New Roman" w:hAnsi="Times New Roman" w:eastAsia="仿宋_GB2312"/>
                <w:color w:val="000000" w:themeColor="text1"/>
                <w:szCs w:val="21"/>
              </w:rPr>
            </w:pPr>
          </w:p>
        </w:tc>
        <w:tc>
          <w:tcPr>
            <w:tcW w:w="2139" w:type="dxa"/>
            <w:vAlign w:val="center"/>
          </w:tcPr>
          <w:p>
            <w:pPr>
              <w:spacing w:line="240" w:lineRule="exact"/>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8.</w:t>
            </w:r>
            <w:r>
              <w:rPr>
                <w:rFonts w:hint="eastAsia" w:ascii="Times New Roman" w:eastAsia="仿宋_GB2312"/>
                <w:color w:val="000000" w:themeColor="text1"/>
                <w:szCs w:val="21"/>
              </w:rPr>
              <w:t>属于行政查询事项</w:t>
            </w:r>
          </w:p>
        </w:tc>
        <w:tc>
          <w:tcPr>
            <w:tcW w:w="410"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2" w:type="dxa"/>
          </w:tcPr>
          <w:p>
            <w:pPr>
              <w:jc w:val="center"/>
            </w:pPr>
            <w:r>
              <w:rPr>
                <w:rFonts w:hint="eastAsia" w:ascii="Times New Roman" w:hAnsi="Times New Roman" w:eastAsia="仿宋_GB2312"/>
                <w:color w:val="000000" w:themeColor="text1"/>
                <w:szCs w:val="21"/>
              </w:rPr>
              <w:t>0</w:t>
            </w:r>
          </w:p>
        </w:tc>
        <w:tc>
          <w:tcPr>
            <w:tcW w:w="714" w:type="dxa"/>
          </w:tcPr>
          <w:p>
            <w:pPr>
              <w:jc w:val="center"/>
            </w:pPr>
            <w:r>
              <w:rPr>
                <w:rFonts w:hint="eastAsia" w:ascii="Times New Roman" w:hAnsi="Times New Roman" w:eastAsia="仿宋_GB2312"/>
                <w:color w:val="000000" w:themeColor="text1"/>
                <w:szCs w:val="21"/>
              </w:rPr>
              <w:t>0</w:t>
            </w:r>
          </w:p>
        </w:tc>
        <w:tc>
          <w:tcPr>
            <w:tcW w:w="809" w:type="dxa"/>
          </w:tcPr>
          <w:p>
            <w:pPr>
              <w:jc w:val="center"/>
            </w:pPr>
            <w:r>
              <w:rPr>
                <w:rFonts w:hint="eastAsia" w:ascii="Times New Roman" w:hAnsi="Times New Roman" w:eastAsia="仿宋_GB2312"/>
                <w:color w:val="000000" w:themeColor="text1"/>
                <w:szCs w:val="21"/>
              </w:rPr>
              <w:t>0</w:t>
            </w:r>
          </w:p>
        </w:tc>
        <w:tc>
          <w:tcPr>
            <w:tcW w:w="892"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671" w:type="dxa"/>
            <w:vMerge w:val="continue"/>
            <w:vAlign w:val="center"/>
          </w:tcPr>
          <w:p>
            <w:pPr>
              <w:spacing w:line="240" w:lineRule="exact"/>
              <w:rPr>
                <w:rFonts w:ascii="Times New Roman" w:hAnsi="Times New Roman" w:eastAsia="仿宋_GB2312"/>
                <w:color w:val="000000" w:themeColor="text1"/>
                <w:szCs w:val="21"/>
              </w:rPr>
            </w:pPr>
          </w:p>
        </w:tc>
        <w:tc>
          <w:tcPr>
            <w:tcW w:w="890" w:type="dxa"/>
            <w:vMerge w:val="restart"/>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（四）</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无法提供</w:t>
            </w:r>
          </w:p>
        </w:tc>
        <w:tc>
          <w:tcPr>
            <w:tcW w:w="2139" w:type="dxa"/>
            <w:vAlign w:val="center"/>
          </w:tcPr>
          <w:p>
            <w:pPr>
              <w:spacing w:line="240" w:lineRule="exact"/>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1.</w:t>
            </w:r>
            <w:r>
              <w:rPr>
                <w:rFonts w:hint="eastAsia" w:ascii="Times New Roman" w:eastAsia="仿宋_GB2312"/>
                <w:color w:val="000000" w:themeColor="text1"/>
                <w:szCs w:val="21"/>
              </w:rPr>
              <w:t>本机关不掌握相关政府信息</w:t>
            </w:r>
          </w:p>
        </w:tc>
        <w:tc>
          <w:tcPr>
            <w:tcW w:w="410"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2" w:type="dxa"/>
          </w:tcPr>
          <w:p>
            <w:pPr>
              <w:jc w:val="center"/>
            </w:pPr>
            <w:r>
              <w:rPr>
                <w:rFonts w:hint="eastAsia" w:ascii="Times New Roman" w:hAnsi="Times New Roman" w:eastAsia="仿宋_GB2312"/>
                <w:color w:val="000000" w:themeColor="text1"/>
                <w:szCs w:val="21"/>
              </w:rPr>
              <w:t>0</w:t>
            </w:r>
          </w:p>
        </w:tc>
        <w:tc>
          <w:tcPr>
            <w:tcW w:w="714" w:type="dxa"/>
          </w:tcPr>
          <w:p>
            <w:pPr>
              <w:jc w:val="center"/>
            </w:pPr>
            <w:r>
              <w:rPr>
                <w:rFonts w:hint="eastAsia" w:ascii="Times New Roman" w:hAnsi="Times New Roman" w:eastAsia="仿宋_GB2312"/>
                <w:color w:val="000000" w:themeColor="text1"/>
                <w:szCs w:val="21"/>
              </w:rPr>
              <w:t>0</w:t>
            </w:r>
          </w:p>
        </w:tc>
        <w:tc>
          <w:tcPr>
            <w:tcW w:w="809" w:type="dxa"/>
          </w:tcPr>
          <w:p>
            <w:pPr>
              <w:jc w:val="center"/>
            </w:pPr>
            <w:r>
              <w:rPr>
                <w:rFonts w:hint="eastAsia" w:ascii="Times New Roman" w:hAnsi="Times New Roman" w:eastAsia="仿宋_GB2312"/>
                <w:color w:val="000000" w:themeColor="text1"/>
                <w:szCs w:val="21"/>
              </w:rPr>
              <w:t>0</w:t>
            </w:r>
          </w:p>
        </w:tc>
        <w:tc>
          <w:tcPr>
            <w:tcW w:w="892"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671" w:type="dxa"/>
            <w:vMerge w:val="continue"/>
            <w:vAlign w:val="center"/>
          </w:tcPr>
          <w:p>
            <w:pPr>
              <w:spacing w:line="240" w:lineRule="exact"/>
              <w:rPr>
                <w:rFonts w:ascii="Times New Roman" w:hAnsi="Times New Roman" w:eastAsia="仿宋_GB2312"/>
                <w:color w:val="000000" w:themeColor="text1"/>
                <w:szCs w:val="21"/>
              </w:rPr>
            </w:pPr>
          </w:p>
        </w:tc>
        <w:tc>
          <w:tcPr>
            <w:tcW w:w="890" w:type="dxa"/>
            <w:vMerge w:val="continue"/>
            <w:vAlign w:val="center"/>
          </w:tcPr>
          <w:p>
            <w:pPr>
              <w:spacing w:line="240" w:lineRule="exact"/>
              <w:jc w:val="center"/>
              <w:rPr>
                <w:rFonts w:ascii="Times New Roman" w:hAnsi="Times New Roman" w:eastAsia="仿宋_GB2312"/>
                <w:color w:val="000000" w:themeColor="text1"/>
                <w:szCs w:val="21"/>
              </w:rPr>
            </w:pPr>
          </w:p>
        </w:tc>
        <w:tc>
          <w:tcPr>
            <w:tcW w:w="2139" w:type="dxa"/>
            <w:vAlign w:val="center"/>
          </w:tcPr>
          <w:p>
            <w:pPr>
              <w:spacing w:line="240" w:lineRule="exact"/>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2</w:t>
            </w:r>
            <w:r>
              <w:rPr>
                <w:rFonts w:hint="eastAsia" w:ascii="Times New Roman" w:eastAsia="仿宋_GB2312"/>
                <w:color w:val="000000" w:themeColor="text1"/>
                <w:szCs w:val="21"/>
              </w:rPr>
              <w:t>．没有现成信息需要另行制作</w:t>
            </w:r>
          </w:p>
        </w:tc>
        <w:tc>
          <w:tcPr>
            <w:tcW w:w="410"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2" w:type="dxa"/>
          </w:tcPr>
          <w:p>
            <w:pPr>
              <w:jc w:val="center"/>
            </w:pPr>
            <w:r>
              <w:rPr>
                <w:rFonts w:hint="eastAsia" w:ascii="Times New Roman" w:hAnsi="Times New Roman" w:eastAsia="仿宋_GB2312"/>
                <w:color w:val="000000" w:themeColor="text1"/>
                <w:szCs w:val="21"/>
              </w:rPr>
              <w:t>0</w:t>
            </w:r>
          </w:p>
        </w:tc>
        <w:tc>
          <w:tcPr>
            <w:tcW w:w="714" w:type="dxa"/>
          </w:tcPr>
          <w:p>
            <w:pPr>
              <w:jc w:val="center"/>
            </w:pPr>
            <w:r>
              <w:rPr>
                <w:rFonts w:hint="eastAsia" w:ascii="Times New Roman" w:hAnsi="Times New Roman" w:eastAsia="仿宋_GB2312"/>
                <w:color w:val="000000" w:themeColor="text1"/>
                <w:szCs w:val="21"/>
              </w:rPr>
              <w:t>0</w:t>
            </w:r>
          </w:p>
        </w:tc>
        <w:tc>
          <w:tcPr>
            <w:tcW w:w="809" w:type="dxa"/>
          </w:tcPr>
          <w:p>
            <w:pPr>
              <w:jc w:val="center"/>
            </w:pPr>
            <w:r>
              <w:rPr>
                <w:rFonts w:hint="eastAsia" w:ascii="Times New Roman" w:hAnsi="Times New Roman" w:eastAsia="仿宋_GB2312"/>
                <w:color w:val="000000" w:themeColor="text1"/>
                <w:szCs w:val="21"/>
              </w:rPr>
              <w:t>0</w:t>
            </w:r>
          </w:p>
        </w:tc>
        <w:tc>
          <w:tcPr>
            <w:tcW w:w="892"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671" w:type="dxa"/>
            <w:vMerge w:val="continue"/>
            <w:vAlign w:val="center"/>
          </w:tcPr>
          <w:p>
            <w:pPr>
              <w:spacing w:line="240" w:lineRule="exact"/>
              <w:rPr>
                <w:rFonts w:ascii="Times New Roman" w:hAnsi="Times New Roman" w:eastAsia="仿宋_GB2312"/>
                <w:color w:val="000000" w:themeColor="text1"/>
                <w:szCs w:val="21"/>
              </w:rPr>
            </w:pPr>
          </w:p>
        </w:tc>
        <w:tc>
          <w:tcPr>
            <w:tcW w:w="890" w:type="dxa"/>
            <w:vMerge w:val="continue"/>
            <w:vAlign w:val="center"/>
          </w:tcPr>
          <w:p>
            <w:pPr>
              <w:spacing w:line="240" w:lineRule="exact"/>
              <w:jc w:val="center"/>
              <w:rPr>
                <w:rFonts w:ascii="Times New Roman" w:hAnsi="Times New Roman" w:eastAsia="仿宋_GB2312"/>
                <w:color w:val="000000" w:themeColor="text1"/>
                <w:szCs w:val="21"/>
              </w:rPr>
            </w:pPr>
          </w:p>
        </w:tc>
        <w:tc>
          <w:tcPr>
            <w:tcW w:w="2139" w:type="dxa"/>
            <w:vAlign w:val="center"/>
          </w:tcPr>
          <w:p>
            <w:pPr>
              <w:spacing w:line="240" w:lineRule="exact"/>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3.</w:t>
            </w:r>
            <w:r>
              <w:rPr>
                <w:rFonts w:hint="eastAsia" w:ascii="Times New Roman" w:eastAsia="仿宋_GB2312"/>
                <w:color w:val="000000" w:themeColor="text1"/>
                <w:szCs w:val="21"/>
              </w:rPr>
              <w:t>补正后申请内容仍不明确</w:t>
            </w:r>
          </w:p>
        </w:tc>
        <w:tc>
          <w:tcPr>
            <w:tcW w:w="410"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2" w:type="dxa"/>
          </w:tcPr>
          <w:p>
            <w:pPr>
              <w:jc w:val="center"/>
            </w:pPr>
            <w:r>
              <w:rPr>
                <w:rFonts w:hint="eastAsia" w:ascii="Times New Roman" w:hAnsi="Times New Roman" w:eastAsia="仿宋_GB2312"/>
                <w:color w:val="000000" w:themeColor="text1"/>
                <w:szCs w:val="21"/>
              </w:rPr>
              <w:t>0</w:t>
            </w:r>
          </w:p>
        </w:tc>
        <w:tc>
          <w:tcPr>
            <w:tcW w:w="714" w:type="dxa"/>
          </w:tcPr>
          <w:p>
            <w:pPr>
              <w:jc w:val="center"/>
            </w:pPr>
            <w:r>
              <w:rPr>
                <w:rFonts w:hint="eastAsia" w:ascii="Times New Roman" w:hAnsi="Times New Roman" w:eastAsia="仿宋_GB2312"/>
                <w:color w:val="000000" w:themeColor="text1"/>
                <w:szCs w:val="21"/>
              </w:rPr>
              <w:t>0</w:t>
            </w:r>
          </w:p>
        </w:tc>
        <w:tc>
          <w:tcPr>
            <w:tcW w:w="809" w:type="dxa"/>
          </w:tcPr>
          <w:p>
            <w:pPr>
              <w:jc w:val="center"/>
            </w:pPr>
            <w:r>
              <w:rPr>
                <w:rFonts w:hint="eastAsia" w:ascii="Times New Roman" w:hAnsi="Times New Roman" w:eastAsia="仿宋_GB2312"/>
                <w:color w:val="000000" w:themeColor="text1"/>
                <w:szCs w:val="21"/>
              </w:rPr>
              <w:t>0</w:t>
            </w:r>
          </w:p>
        </w:tc>
        <w:tc>
          <w:tcPr>
            <w:tcW w:w="892"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671" w:type="dxa"/>
            <w:vMerge w:val="continue"/>
            <w:vAlign w:val="center"/>
          </w:tcPr>
          <w:p>
            <w:pPr>
              <w:spacing w:line="240" w:lineRule="exact"/>
              <w:rPr>
                <w:rFonts w:ascii="Times New Roman" w:hAnsi="Times New Roman" w:eastAsia="仿宋_GB2312"/>
                <w:color w:val="000000" w:themeColor="text1"/>
                <w:szCs w:val="21"/>
              </w:rPr>
            </w:pPr>
          </w:p>
        </w:tc>
        <w:tc>
          <w:tcPr>
            <w:tcW w:w="890" w:type="dxa"/>
            <w:vMerge w:val="restart"/>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（五）</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不予处理</w:t>
            </w:r>
          </w:p>
        </w:tc>
        <w:tc>
          <w:tcPr>
            <w:tcW w:w="2139" w:type="dxa"/>
            <w:vAlign w:val="center"/>
          </w:tcPr>
          <w:p>
            <w:pPr>
              <w:spacing w:line="240" w:lineRule="exact"/>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1</w:t>
            </w:r>
            <w:r>
              <w:rPr>
                <w:rFonts w:hint="eastAsia" w:ascii="Times New Roman" w:eastAsia="仿宋_GB2312"/>
                <w:color w:val="000000" w:themeColor="text1"/>
                <w:szCs w:val="21"/>
              </w:rPr>
              <w:t>．信访举报投诉类申请</w:t>
            </w:r>
          </w:p>
        </w:tc>
        <w:tc>
          <w:tcPr>
            <w:tcW w:w="410"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2" w:type="dxa"/>
          </w:tcPr>
          <w:p>
            <w:pPr>
              <w:jc w:val="center"/>
            </w:pPr>
            <w:r>
              <w:rPr>
                <w:rFonts w:hint="eastAsia" w:ascii="Times New Roman" w:hAnsi="Times New Roman" w:eastAsia="仿宋_GB2312"/>
                <w:color w:val="000000" w:themeColor="text1"/>
                <w:szCs w:val="21"/>
              </w:rPr>
              <w:t>0</w:t>
            </w:r>
          </w:p>
        </w:tc>
        <w:tc>
          <w:tcPr>
            <w:tcW w:w="714" w:type="dxa"/>
          </w:tcPr>
          <w:p>
            <w:pPr>
              <w:jc w:val="center"/>
            </w:pPr>
            <w:r>
              <w:rPr>
                <w:rFonts w:hint="eastAsia" w:ascii="Times New Roman" w:hAnsi="Times New Roman" w:eastAsia="仿宋_GB2312"/>
                <w:color w:val="000000" w:themeColor="text1"/>
                <w:szCs w:val="21"/>
              </w:rPr>
              <w:t>0</w:t>
            </w:r>
          </w:p>
        </w:tc>
        <w:tc>
          <w:tcPr>
            <w:tcW w:w="809" w:type="dxa"/>
          </w:tcPr>
          <w:p>
            <w:pPr>
              <w:jc w:val="center"/>
            </w:pPr>
            <w:r>
              <w:rPr>
                <w:rFonts w:hint="eastAsia" w:ascii="Times New Roman" w:hAnsi="Times New Roman" w:eastAsia="仿宋_GB2312"/>
                <w:color w:val="000000" w:themeColor="text1"/>
                <w:szCs w:val="21"/>
              </w:rPr>
              <w:t>0</w:t>
            </w:r>
          </w:p>
        </w:tc>
        <w:tc>
          <w:tcPr>
            <w:tcW w:w="892"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671" w:type="dxa"/>
            <w:vMerge w:val="continue"/>
            <w:vAlign w:val="center"/>
          </w:tcPr>
          <w:p>
            <w:pPr>
              <w:spacing w:line="240" w:lineRule="exact"/>
              <w:rPr>
                <w:rFonts w:ascii="Times New Roman" w:hAnsi="Times New Roman" w:eastAsia="仿宋_GB2312"/>
                <w:color w:val="000000" w:themeColor="text1"/>
                <w:szCs w:val="21"/>
              </w:rPr>
            </w:pPr>
          </w:p>
        </w:tc>
        <w:tc>
          <w:tcPr>
            <w:tcW w:w="890" w:type="dxa"/>
            <w:vMerge w:val="continue"/>
            <w:vAlign w:val="center"/>
          </w:tcPr>
          <w:p>
            <w:pPr>
              <w:spacing w:line="240" w:lineRule="exact"/>
              <w:rPr>
                <w:rFonts w:ascii="Times New Roman" w:hAnsi="Times New Roman" w:eastAsia="仿宋_GB2312"/>
                <w:color w:val="000000" w:themeColor="text1"/>
                <w:szCs w:val="21"/>
              </w:rPr>
            </w:pPr>
          </w:p>
        </w:tc>
        <w:tc>
          <w:tcPr>
            <w:tcW w:w="2139" w:type="dxa"/>
            <w:vAlign w:val="center"/>
          </w:tcPr>
          <w:p>
            <w:pPr>
              <w:spacing w:line="240" w:lineRule="exact"/>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2.</w:t>
            </w:r>
            <w:r>
              <w:rPr>
                <w:rFonts w:hint="eastAsia" w:ascii="Times New Roman" w:eastAsia="仿宋_GB2312"/>
                <w:color w:val="000000" w:themeColor="text1"/>
                <w:szCs w:val="21"/>
              </w:rPr>
              <w:t>重复申请</w:t>
            </w:r>
          </w:p>
        </w:tc>
        <w:tc>
          <w:tcPr>
            <w:tcW w:w="410"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2" w:type="dxa"/>
          </w:tcPr>
          <w:p>
            <w:pPr>
              <w:jc w:val="center"/>
            </w:pPr>
            <w:r>
              <w:rPr>
                <w:rFonts w:hint="eastAsia" w:ascii="Times New Roman" w:hAnsi="Times New Roman" w:eastAsia="仿宋_GB2312"/>
                <w:color w:val="000000" w:themeColor="text1"/>
                <w:szCs w:val="21"/>
              </w:rPr>
              <w:t>0</w:t>
            </w:r>
          </w:p>
        </w:tc>
        <w:tc>
          <w:tcPr>
            <w:tcW w:w="714" w:type="dxa"/>
          </w:tcPr>
          <w:p>
            <w:pPr>
              <w:jc w:val="center"/>
            </w:pPr>
            <w:r>
              <w:rPr>
                <w:rFonts w:hint="eastAsia" w:ascii="Times New Roman" w:hAnsi="Times New Roman" w:eastAsia="仿宋_GB2312"/>
                <w:color w:val="000000" w:themeColor="text1"/>
                <w:szCs w:val="21"/>
              </w:rPr>
              <w:t>0</w:t>
            </w:r>
          </w:p>
        </w:tc>
        <w:tc>
          <w:tcPr>
            <w:tcW w:w="809" w:type="dxa"/>
          </w:tcPr>
          <w:p>
            <w:pPr>
              <w:jc w:val="center"/>
            </w:pPr>
            <w:r>
              <w:rPr>
                <w:rFonts w:hint="eastAsia" w:ascii="Times New Roman" w:hAnsi="Times New Roman" w:eastAsia="仿宋_GB2312"/>
                <w:color w:val="000000" w:themeColor="text1"/>
                <w:szCs w:val="21"/>
              </w:rPr>
              <w:t>0</w:t>
            </w:r>
          </w:p>
        </w:tc>
        <w:tc>
          <w:tcPr>
            <w:tcW w:w="892"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671" w:type="dxa"/>
            <w:vMerge w:val="continue"/>
            <w:vAlign w:val="center"/>
          </w:tcPr>
          <w:p>
            <w:pPr>
              <w:spacing w:line="240" w:lineRule="exact"/>
              <w:rPr>
                <w:rFonts w:ascii="Times New Roman" w:hAnsi="Times New Roman" w:eastAsia="仿宋_GB2312"/>
                <w:color w:val="000000" w:themeColor="text1"/>
                <w:szCs w:val="21"/>
              </w:rPr>
            </w:pPr>
          </w:p>
        </w:tc>
        <w:tc>
          <w:tcPr>
            <w:tcW w:w="890" w:type="dxa"/>
            <w:vMerge w:val="continue"/>
            <w:vAlign w:val="center"/>
          </w:tcPr>
          <w:p>
            <w:pPr>
              <w:spacing w:line="240" w:lineRule="exact"/>
              <w:rPr>
                <w:rFonts w:ascii="Times New Roman" w:hAnsi="Times New Roman" w:eastAsia="仿宋_GB2312"/>
                <w:color w:val="000000" w:themeColor="text1"/>
                <w:szCs w:val="21"/>
              </w:rPr>
            </w:pPr>
          </w:p>
        </w:tc>
        <w:tc>
          <w:tcPr>
            <w:tcW w:w="2139" w:type="dxa"/>
            <w:vAlign w:val="center"/>
          </w:tcPr>
          <w:p>
            <w:pPr>
              <w:spacing w:line="240" w:lineRule="exact"/>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3.</w:t>
            </w:r>
            <w:r>
              <w:rPr>
                <w:rFonts w:hint="eastAsia" w:ascii="Times New Roman" w:eastAsia="仿宋_GB2312"/>
                <w:color w:val="000000" w:themeColor="text1"/>
                <w:szCs w:val="21"/>
              </w:rPr>
              <w:t>要求提供公开出版物</w:t>
            </w:r>
          </w:p>
        </w:tc>
        <w:tc>
          <w:tcPr>
            <w:tcW w:w="410"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2" w:type="dxa"/>
          </w:tcPr>
          <w:p>
            <w:pPr>
              <w:jc w:val="center"/>
            </w:pPr>
            <w:r>
              <w:rPr>
                <w:rFonts w:hint="eastAsia" w:ascii="Times New Roman" w:hAnsi="Times New Roman" w:eastAsia="仿宋_GB2312"/>
                <w:color w:val="000000" w:themeColor="text1"/>
                <w:szCs w:val="21"/>
              </w:rPr>
              <w:t>0</w:t>
            </w:r>
          </w:p>
        </w:tc>
        <w:tc>
          <w:tcPr>
            <w:tcW w:w="714" w:type="dxa"/>
          </w:tcPr>
          <w:p>
            <w:pPr>
              <w:jc w:val="center"/>
            </w:pPr>
            <w:r>
              <w:rPr>
                <w:rFonts w:hint="eastAsia" w:ascii="Times New Roman" w:hAnsi="Times New Roman" w:eastAsia="仿宋_GB2312"/>
                <w:color w:val="000000" w:themeColor="text1"/>
                <w:szCs w:val="21"/>
              </w:rPr>
              <w:t>0</w:t>
            </w:r>
          </w:p>
        </w:tc>
        <w:tc>
          <w:tcPr>
            <w:tcW w:w="809" w:type="dxa"/>
          </w:tcPr>
          <w:p>
            <w:pPr>
              <w:jc w:val="center"/>
            </w:pPr>
            <w:r>
              <w:rPr>
                <w:rFonts w:hint="eastAsia" w:ascii="Times New Roman" w:hAnsi="Times New Roman" w:eastAsia="仿宋_GB2312"/>
                <w:color w:val="000000" w:themeColor="text1"/>
                <w:szCs w:val="21"/>
              </w:rPr>
              <w:t>0</w:t>
            </w:r>
          </w:p>
        </w:tc>
        <w:tc>
          <w:tcPr>
            <w:tcW w:w="892"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671" w:type="dxa"/>
            <w:vMerge w:val="continue"/>
            <w:vAlign w:val="center"/>
          </w:tcPr>
          <w:p>
            <w:pPr>
              <w:spacing w:line="240" w:lineRule="exact"/>
              <w:rPr>
                <w:rFonts w:ascii="Times New Roman" w:hAnsi="Times New Roman" w:eastAsia="仿宋_GB2312"/>
                <w:color w:val="000000" w:themeColor="text1"/>
                <w:szCs w:val="21"/>
              </w:rPr>
            </w:pPr>
          </w:p>
        </w:tc>
        <w:tc>
          <w:tcPr>
            <w:tcW w:w="890" w:type="dxa"/>
            <w:vMerge w:val="continue"/>
            <w:vAlign w:val="center"/>
          </w:tcPr>
          <w:p>
            <w:pPr>
              <w:spacing w:line="240" w:lineRule="exact"/>
              <w:rPr>
                <w:rFonts w:ascii="Times New Roman" w:hAnsi="Times New Roman" w:eastAsia="仿宋_GB2312"/>
                <w:color w:val="000000" w:themeColor="text1"/>
                <w:szCs w:val="21"/>
              </w:rPr>
            </w:pPr>
          </w:p>
        </w:tc>
        <w:tc>
          <w:tcPr>
            <w:tcW w:w="2139" w:type="dxa"/>
            <w:vAlign w:val="center"/>
          </w:tcPr>
          <w:p>
            <w:pPr>
              <w:spacing w:line="240" w:lineRule="exact"/>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4</w:t>
            </w:r>
            <w:r>
              <w:rPr>
                <w:rFonts w:hint="eastAsia" w:ascii="Times New Roman" w:eastAsia="仿宋_GB2312"/>
                <w:color w:val="000000" w:themeColor="text1"/>
                <w:szCs w:val="21"/>
              </w:rPr>
              <w:t>．无正当理由大量反复申请</w:t>
            </w:r>
          </w:p>
        </w:tc>
        <w:tc>
          <w:tcPr>
            <w:tcW w:w="410"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2" w:type="dxa"/>
          </w:tcPr>
          <w:p>
            <w:pPr>
              <w:jc w:val="center"/>
            </w:pPr>
            <w:r>
              <w:rPr>
                <w:rFonts w:hint="eastAsia" w:ascii="Times New Roman" w:hAnsi="Times New Roman" w:eastAsia="仿宋_GB2312"/>
                <w:color w:val="000000" w:themeColor="text1"/>
                <w:szCs w:val="21"/>
              </w:rPr>
              <w:t>0</w:t>
            </w:r>
          </w:p>
        </w:tc>
        <w:tc>
          <w:tcPr>
            <w:tcW w:w="714" w:type="dxa"/>
          </w:tcPr>
          <w:p>
            <w:pPr>
              <w:jc w:val="center"/>
            </w:pPr>
            <w:r>
              <w:rPr>
                <w:rFonts w:hint="eastAsia" w:ascii="Times New Roman" w:hAnsi="Times New Roman" w:eastAsia="仿宋_GB2312"/>
                <w:color w:val="000000" w:themeColor="text1"/>
                <w:szCs w:val="21"/>
              </w:rPr>
              <w:t>0</w:t>
            </w:r>
          </w:p>
        </w:tc>
        <w:tc>
          <w:tcPr>
            <w:tcW w:w="809" w:type="dxa"/>
          </w:tcPr>
          <w:p>
            <w:pPr>
              <w:jc w:val="center"/>
            </w:pPr>
            <w:r>
              <w:rPr>
                <w:rFonts w:hint="eastAsia" w:ascii="Times New Roman" w:hAnsi="Times New Roman" w:eastAsia="仿宋_GB2312"/>
                <w:color w:val="000000" w:themeColor="text1"/>
                <w:szCs w:val="21"/>
              </w:rPr>
              <w:t>0</w:t>
            </w:r>
          </w:p>
        </w:tc>
        <w:tc>
          <w:tcPr>
            <w:tcW w:w="892"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671" w:type="dxa"/>
            <w:vMerge w:val="continue"/>
            <w:vAlign w:val="center"/>
          </w:tcPr>
          <w:p>
            <w:pPr>
              <w:spacing w:line="240" w:lineRule="exact"/>
              <w:rPr>
                <w:rFonts w:ascii="Times New Roman" w:hAnsi="Times New Roman" w:eastAsia="仿宋_GB2312"/>
                <w:color w:val="000000" w:themeColor="text1"/>
                <w:szCs w:val="21"/>
              </w:rPr>
            </w:pPr>
          </w:p>
        </w:tc>
        <w:tc>
          <w:tcPr>
            <w:tcW w:w="890" w:type="dxa"/>
            <w:vMerge w:val="continue"/>
            <w:vAlign w:val="center"/>
          </w:tcPr>
          <w:p>
            <w:pPr>
              <w:spacing w:line="240" w:lineRule="exact"/>
              <w:rPr>
                <w:rFonts w:ascii="Times New Roman" w:hAnsi="Times New Roman" w:eastAsia="仿宋_GB2312"/>
                <w:color w:val="000000" w:themeColor="text1"/>
                <w:szCs w:val="21"/>
              </w:rPr>
            </w:pPr>
          </w:p>
        </w:tc>
        <w:tc>
          <w:tcPr>
            <w:tcW w:w="2139" w:type="dxa"/>
            <w:vAlign w:val="center"/>
          </w:tcPr>
          <w:p>
            <w:pPr>
              <w:spacing w:line="240" w:lineRule="exact"/>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5.</w:t>
            </w:r>
            <w:r>
              <w:rPr>
                <w:rFonts w:hint="eastAsia" w:ascii="Times New Roman" w:eastAsia="仿宋_GB2312"/>
                <w:color w:val="000000" w:themeColor="text1"/>
                <w:szCs w:val="21"/>
              </w:rPr>
              <w:t>要求行政机关确认或重新出具已获信息</w:t>
            </w:r>
          </w:p>
        </w:tc>
        <w:tc>
          <w:tcPr>
            <w:tcW w:w="410"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2" w:type="dxa"/>
          </w:tcPr>
          <w:p>
            <w:pPr>
              <w:jc w:val="center"/>
            </w:pPr>
            <w:r>
              <w:rPr>
                <w:rFonts w:hint="eastAsia" w:ascii="Times New Roman" w:hAnsi="Times New Roman" w:eastAsia="仿宋_GB2312"/>
                <w:color w:val="000000" w:themeColor="text1"/>
                <w:szCs w:val="21"/>
              </w:rPr>
              <w:t>0</w:t>
            </w:r>
          </w:p>
        </w:tc>
        <w:tc>
          <w:tcPr>
            <w:tcW w:w="714" w:type="dxa"/>
          </w:tcPr>
          <w:p>
            <w:pPr>
              <w:jc w:val="center"/>
            </w:pPr>
            <w:r>
              <w:rPr>
                <w:rFonts w:hint="eastAsia" w:ascii="Times New Roman" w:hAnsi="Times New Roman" w:eastAsia="仿宋_GB2312"/>
                <w:color w:val="000000" w:themeColor="text1"/>
                <w:szCs w:val="21"/>
              </w:rPr>
              <w:t>0</w:t>
            </w:r>
          </w:p>
        </w:tc>
        <w:tc>
          <w:tcPr>
            <w:tcW w:w="809" w:type="dxa"/>
          </w:tcPr>
          <w:p>
            <w:pPr>
              <w:jc w:val="center"/>
            </w:pPr>
            <w:r>
              <w:rPr>
                <w:rFonts w:hint="eastAsia" w:ascii="Times New Roman" w:hAnsi="Times New Roman" w:eastAsia="仿宋_GB2312"/>
                <w:color w:val="000000" w:themeColor="text1"/>
                <w:szCs w:val="21"/>
              </w:rPr>
              <w:t>0</w:t>
            </w:r>
          </w:p>
        </w:tc>
        <w:tc>
          <w:tcPr>
            <w:tcW w:w="892"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671" w:type="dxa"/>
            <w:vMerge w:val="continue"/>
            <w:vAlign w:val="center"/>
          </w:tcPr>
          <w:p>
            <w:pPr>
              <w:spacing w:line="240" w:lineRule="exact"/>
              <w:rPr>
                <w:rFonts w:ascii="Times New Roman" w:hAnsi="Times New Roman" w:eastAsia="仿宋_GB2312"/>
                <w:color w:val="000000" w:themeColor="text1"/>
                <w:szCs w:val="21"/>
              </w:rPr>
            </w:pPr>
          </w:p>
        </w:tc>
        <w:tc>
          <w:tcPr>
            <w:tcW w:w="3029" w:type="dxa"/>
            <w:gridSpan w:val="2"/>
            <w:vAlign w:val="center"/>
          </w:tcPr>
          <w:p>
            <w:pPr>
              <w:spacing w:line="240" w:lineRule="exact"/>
              <w:rPr>
                <w:rFonts w:ascii="Times New Roman" w:hAnsi="Times New Roman" w:eastAsia="仿宋_GB2312"/>
                <w:color w:val="000000" w:themeColor="text1"/>
                <w:szCs w:val="21"/>
              </w:rPr>
            </w:pPr>
            <w:r>
              <w:rPr>
                <w:rFonts w:hint="eastAsia" w:ascii="Times New Roman" w:eastAsia="仿宋_GB2312"/>
                <w:color w:val="000000" w:themeColor="text1"/>
                <w:szCs w:val="21"/>
              </w:rPr>
              <w:t>（六）其他处理</w:t>
            </w:r>
          </w:p>
        </w:tc>
        <w:tc>
          <w:tcPr>
            <w:tcW w:w="410"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2"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4" w:type="dxa"/>
          </w:tcPr>
          <w:p>
            <w:pPr>
              <w:jc w:val="center"/>
            </w:pPr>
            <w:r>
              <w:rPr>
                <w:rFonts w:hint="eastAsia" w:ascii="Times New Roman" w:hAnsi="Times New Roman" w:eastAsia="仿宋_GB2312"/>
                <w:color w:val="000000" w:themeColor="text1"/>
                <w:szCs w:val="21"/>
              </w:rPr>
              <w:t>0</w:t>
            </w:r>
          </w:p>
        </w:tc>
        <w:tc>
          <w:tcPr>
            <w:tcW w:w="809"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892"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671" w:type="dxa"/>
            <w:vMerge w:val="continue"/>
            <w:vAlign w:val="center"/>
          </w:tcPr>
          <w:p>
            <w:pPr>
              <w:spacing w:line="240" w:lineRule="exact"/>
              <w:rPr>
                <w:rFonts w:ascii="Times New Roman" w:hAnsi="Times New Roman" w:eastAsia="仿宋_GB2312"/>
                <w:color w:val="000000" w:themeColor="text1"/>
                <w:szCs w:val="21"/>
              </w:rPr>
            </w:pPr>
          </w:p>
        </w:tc>
        <w:tc>
          <w:tcPr>
            <w:tcW w:w="3029" w:type="dxa"/>
            <w:gridSpan w:val="2"/>
            <w:vAlign w:val="center"/>
          </w:tcPr>
          <w:p>
            <w:pPr>
              <w:spacing w:line="240" w:lineRule="exact"/>
              <w:rPr>
                <w:rFonts w:ascii="Times New Roman" w:hAnsi="Times New Roman" w:eastAsia="仿宋_GB2312"/>
                <w:color w:val="000000" w:themeColor="text1"/>
                <w:szCs w:val="21"/>
              </w:rPr>
            </w:pPr>
            <w:r>
              <w:rPr>
                <w:rFonts w:hint="eastAsia" w:ascii="Times New Roman" w:eastAsia="仿宋_GB2312"/>
                <w:color w:val="000000" w:themeColor="text1"/>
                <w:szCs w:val="21"/>
              </w:rPr>
              <w:t>（七）总计</w:t>
            </w:r>
          </w:p>
        </w:tc>
        <w:tc>
          <w:tcPr>
            <w:tcW w:w="410"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2"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4" w:type="dxa"/>
          </w:tcPr>
          <w:p>
            <w:pPr>
              <w:jc w:val="center"/>
            </w:pPr>
            <w:r>
              <w:rPr>
                <w:rFonts w:hint="eastAsia" w:ascii="Times New Roman" w:hAnsi="Times New Roman" w:eastAsia="仿宋_GB2312"/>
                <w:color w:val="000000" w:themeColor="text1"/>
                <w:szCs w:val="21"/>
              </w:rPr>
              <w:t>0</w:t>
            </w:r>
          </w:p>
        </w:tc>
        <w:tc>
          <w:tcPr>
            <w:tcW w:w="809"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892"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c>
          <w:tcPr>
            <w:tcW w:w="668" w:type="dxa"/>
          </w:tcPr>
          <w:p>
            <w:pPr>
              <w:jc w:val="center"/>
            </w:pPr>
            <w:r>
              <w:rPr>
                <w:rFonts w:hint="eastAsia" w:ascii="Times New Roman" w:hAnsi="Times New Roman" w:eastAsia="仿宋_GB2312"/>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3700" w:type="dxa"/>
            <w:gridSpan w:val="3"/>
            <w:vAlign w:val="center"/>
          </w:tcPr>
          <w:p>
            <w:pPr>
              <w:spacing w:line="240" w:lineRule="exact"/>
              <w:rPr>
                <w:rFonts w:ascii="Times New Roman" w:hAnsi="Times New Roman" w:eastAsia="仿宋_GB2312"/>
                <w:color w:val="000000" w:themeColor="text1"/>
                <w:szCs w:val="21"/>
              </w:rPr>
            </w:pPr>
            <w:r>
              <w:rPr>
                <w:rFonts w:hint="eastAsia" w:ascii="Times New Roman" w:eastAsia="仿宋_GB2312"/>
                <w:color w:val="000000" w:themeColor="text1"/>
                <w:szCs w:val="21"/>
              </w:rPr>
              <w:t>四、结转下年度继续办理</w:t>
            </w:r>
          </w:p>
        </w:tc>
        <w:tc>
          <w:tcPr>
            <w:tcW w:w="410"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2"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714"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809"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892"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6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6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r>
    </w:tbl>
    <w:p>
      <w:pPr>
        <w:jc w:val="left"/>
        <w:rPr>
          <w:sz w:val="15"/>
          <w:szCs w:val="15"/>
        </w:rPr>
      </w:pPr>
    </w:p>
    <w:p>
      <w:pPr>
        <w:pStyle w:val="4"/>
        <w:widowControl/>
        <w:spacing w:before="0" w:beforeAutospacing="0" w:after="0" w:afterAutospacing="0" w:line="600" w:lineRule="exact"/>
        <w:ind w:firstLine="640" w:firstLineChars="200"/>
        <w:jc w:val="both"/>
        <w:rPr>
          <w:rFonts w:ascii="Times New Roman" w:hAnsi="黑体" w:eastAsia="黑体" w:cstheme="minorBidi"/>
          <w:color w:val="000000" w:themeColor="text1"/>
          <w:kern w:val="2"/>
          <w:sz w:val="32"/>
          <w:szCs w:val="32"/>
        </w:rPr>
      </w:pPr>
      <w:r>
        <w:rPr>
          <w:rFonts w:hint="eastAsia" w:ascii="Times New Roman" w:hAnsi="黑体" w:eastAsia="黑体" w:cstheme="minorBidi"/>
          <w:color w:val="000000" w:themeColor="text1"/>
          <w:kern w:val="2"/>
          <w:sz w:val="32"/>
          <w:szCs w:val="32"/>
        </w:rPr>
        <w:t>四、政府信息公开行政复议、行政诉讼情况</w:t>
      </w:r>
    </w:p>
    <w:tbl>
      <w:tblPr>
        <w:tblStyle w:val="6"/>
        <w:tblW w:w="8577"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9"/>
        <w:gridCol w:w="6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jc w:val="center"/>
        </w:trPr>
        <w:tc>
          <w:tcPr>
            <w:tcW w:w="2840" w:type="dxa"/>
            <w:gridSpan w:val="5"/>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行政复议</w:t>
            </w:r>
          </w:p>
        </w:tc>
        <w:tc>
          <w:tcPr>
            <w:tcW w:w="5737" w:type="dxa"/>
            <w:gridSpan w:val="10"/>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行政诉讼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jc w:val="center"/>
        </w:trPr>
        <w:tc>
          <w:tcPr>
            <w:tcW w:w="568" w:type="dxa"/>
            <w:vMerge w:val="restart"/>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结</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果</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维</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持</w:t>
            </w:r>
          </w:p>
        </w:tc>
        <w:tc>
          <w:tcPr>
            <w:tcW w:w="568" w:type="dxa"/>
            <w:vMerge w:val="restart"/>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结</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果</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纠</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正</w:t>
            </w:r>
          </w:p>
        </w:tc>
        <w:tc>
          <w:tcPr>
            <w:tcW w:w="568" w:type="dxa"/>
            <w:vMerge w:val="restart"/>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其</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他</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结</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果</w:t>
            </w:r>
          </w:p>
        </w:tc>
        <w:tc>
          <w:tcPr>
            <w:tcW w:w="568" w:type="dxa"/>
            <w:vMerge w:val="restart"/>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尚</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未</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审</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结</w:t>
            </w:r>
          </w:p>
        </w:tc>
        <w:tc>
          <w:tcPr>
            <w:tcW w:w="568" w:type="dxa"/>
            <w:vMerge w:val="restart"/>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总计</w:t>
            </w:r>
          </w:p>
        </w:tc>
        <w:tc>
          <w:tcPr>
            <w:tcW w:w="2840" w:type="dxa"/>
            <w:gridSpan w:val="5"/>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未经复议直接起诉</w:t>
            </w:r>
          </w:p>
        </w:tc>
        <w:tc>
          <w:tcPr>
            <w:tcW w:w="2897" w:type="dxa"/>
            <w:gridSpan w:val="5"/>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复议后起诉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jc w:val="center"/>
        </w:trPr>
        <w:tc>
          <w:tcPr>
            <w:tcW w:w="568" w:type="dxa"/>
            <w:vMerge w:val="continue"/>
            <w:vAlign w:val="center"/>
          </w:tcPr>
          <w:p>
            <w:pPr>
              <w:spacing w:line="240" w:lineRule="exact"/>
              <w:jc w:val="center"/>
              <w:rPr>
                <w:rFonts w:ascii="Times New Roman" w:hAnsi="Times New Roman" w:eastAsia="仿宋_GB2312"/>
                <w:color w:val="000000" w:themeColor="text1"/>
                <w:szCs w:val="21"/>
              </w:rPr>
            </w:pPr>
          </w:p>
        </w:tc>
        <w:tc>
          <w:tcPr>
            <w:tcW w:w="568" w:type="dxa"/>
            <w:vMerge w:val="continue"/>
            <w:vAlign w:val="center"/>
          </w:tcPr>
          <w:p>
            <w:pPr>
              <w:spacing w:line="240" w:lineRule="exact"/>
              <w:jc w:val="center"/>
              <w:rPr>
                <w:rFonts w:ascii="Times New Roman" w:hAnsi="Times New Roman" w:eastAsia="仿宋_GB2312"/>
                <w:color w:val="000000" w:themeColor="text1"/>
                <w:szCs w:val="21"/>
              </w:rPr>
            </w:pPr>
          </w:p>
        </w:tc>
        <w:tc>
          <w:tcPr>
            <w:tcW w:w="568" w:type="dxa"/>
            <w:vMerge w:val="continue"/>
            <w:vAlign w:val="center"/>
          </w:tcPr>
          <w:p>
            <w:pPr>
              <w:spacing w:line="240" w:lineRule="exact"/>
              <w:jc w:val="center"/>
              <w:rPr>
                <w:rFonts w:ascii="Times New Roman" w:hAnsi="Times New Roman" w:eastAsia="仿宋_GB2312"/>
                <w:color w:val="000000" w:themeColor="text1"/>
                <w:szCs w:val="21"/>
              </w:rPr>
            </w:pPr>
          </w:p>
        </w:tc>
        <w:tc>
          <w:tcPr>
            <w:tcW w:w="568" w:type="dxa"/>
            <w:vMerge w:val="continue"/>
            <w:vAlign w:val="center"/>
          </w:tcPr>
          <w:p>
            <w:pPr>
              <w:spacing w:line="240" w:lineRule="exact"/>
              <w:jc w:val="center"/>
              <w:rPr>
                <w:rFonts w:ascii="Times New Roman" w:hAnsi="Times New Roman" w:eastAsia="仿宋_GB2312"/>
                <w:color w:val="000000" w:themeColor="text1"/>
                <w:szCs w:val="21"/>
              </w:rPr>
            </w:pPr>
          </w:p>
        </w:tc>
        <w:tc>
          <w:tcPr>
            <w:tcW w:w="568" w:type="dxa"/>
            <w:vMerge w:val="continue"/>
            <w:vAlign w:val="center"/>
          </w:tcPr>
          <w:p>
            <w:pPr>
              <w:spacing w:line="240" w:lineRule="exact"/>
              <w:jc w:val="center"/>
              <w:rPr>
                <w:rFonts w:ascii="Times New Roman" w:hAnsi="Times New Roman" w:eastAsia="仿宋_GB2312"/>
                <w:color w:val="000000" w:themeColor="text1"/>
                <w:szCs w:val="21"/>
              </w:rPr>
            </w:pPr>
          </w:p>
        </w:tc>
        <w:tc>
          <w:tcPr>
            <w:tcW w:w="5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结</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果</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维</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持</w:t>
            </w:r>
          </w:p>
        </w:tc>
        <w:tc>
          <w:tcPr>
            <w:tcW w:w="5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结</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果</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纠</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正</w:t>
            </w:r>
          </w:p>
        </w:tc>
        <w:tc>
          <w:tcPr>
            <w:tcW w:w="5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其</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他</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结</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果</w:t>
            </w:r>
          </w:p>
        </w:tc>
        <w:tc>
          <w:tcPr>
            <w:tcW w:w="5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尚</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未</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审</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结</w:t>
            </w:r>
          </w:p>
        </w:tc>
        <w:tc>
          <w:tcPr>
            <w:tcW w:w="5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总</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计</w:t>
            </w:r>
          </w:p>
        </w:tc>
        <w:tc>
          <w:tcPr>
            <w:tcW w:w="5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结</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果</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维</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持</w:t>
            </w:r>
          </w:p>
        </w:tc>
        <w:tc>
          <w:tcPr>
            <w:tcW w:w="5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结</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果</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纠</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正</w:t>
            </w:r>
          </w:p>
        </w:tc>
        <w:tc>
          <w:tcPr>
            <w:tcW w:w="5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其他</w:t>
            </w:r>
          </w:p>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结果</w:t>
            </w:r>
          </w:p>
        </w:tc>
        <w:tc>
          <w:tcPr>
            <w:tcW w:w="569"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尚未审结</w:t>
            </w:r>
          </w:p>
        </w:tc>
        <w:tc>
          <w:tcPr>
            <w:tcW w:w="624"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eastAsia="仿宋_GB2312"/>
                <w:color w:val="000000" w:themeColor="text1"/>
                <w:szCs w:val="21"/>
              </w:rPr>
              <w:t>总计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jc w:val="center"/>
        </w:trPr>
        <w:tc>
          <w:tcPr>
            <w:tcW w:w="5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5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5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5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5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5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5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5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5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5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5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5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568"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569"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c>
          <w:tcPr>
            <w:tcW w:w="624" w:type="dxa"/>
            <w:vAlign w:val="center"/>
          </w:tcPr>
          <w:p>
            <w:pPr>
              <w:spacing w:line="240" w:lineRule="exact"/>
              <w:jc w:val="center"/>
              <w:rPr>
                <w:rFonts w:ascii="Times New Roman" w:hAnsi="Times New Roman" w:eastAsia="仿宋_GB2312"/>
                <w:color w:val="000000" w:themeColor="text1"/>
                <w:szCs w:val="21"/>
              </w:rPr>
            </w:pPr>
            <w:r>
              <w:rPr>
                <w:rFonts w:hint="eastAsia" w:ascii="Times New Roman" w:hAnsi="Times New Roman" w:eastAsia="仿宋_GB2312"/>
                <w:color w:val="000000" w:themeColor="text1"/>
                <w:szCs w:val="21"/>
              </w:rPr>
              <w:t>0</w:t>
            </w:r>
          </w:p>
        </w:tc>
      </w:tr>
    </w:tbl>
    <w:p>
      <w:pPr>
        <w:pStyle w:val="4"/>
        <w:widowControl/>
        <w:spacing w:before="0" w:beforeAutospacing="0" w:after="0" w:afterAutospacing="0" w:line="600" w:lineRule="exact"/>
        <w:ind w:firstLine="640" w:firstLineChars="200"/>
        <w:jc w:val="both"/>
        <w:rPr>
          <w:rFonts w:ascii="黑体" w:hAnsi="黑体" w:eastAsia="黑体"/>
          <w:color w:val="000000" w:themeColor="text1"/>
          <w:kern w:val="2"/>
          <w:sz w:val="32"/>
          <w:szCs w:val="32"/>
        </w:rPr>
      </w:pPr>
      <w:r>
        <w:rPr>
          <w:rFonts w:ascii="黑体" w:hAnsi="黑体" w:eastAsia="黑体"/>
          <w:color w:val="000000" w:themeColor="text1"/>
          <w:kern w:val="2"/>
          <w:sz w:val="32"/>
          <w:szCs w:val="32"/>
        </w:rPr>
        <w:t>五、存在的主要问题及改进情况</w:t>
      </w:r>
    </w:p>
    <w:p>
      <w:pPr>
        <w:spacing w:line="600" w:lineRule="exact"/>
        <w:ind w:firstLine="640" w:firstLineChars="200"/>
        <w:rPr>
          <w:rFonts w:ascii="Times New Roman" w:hAnsi="Times New Roman" w:eastAsia="仿宋_GB2312" w:cs="Times New Roman"/>
          <w:color w:val="000000" w:themeColor="text1"/>
          <w:sz w:val="32"/>
          <w:szCs w:val="28"/>
        </w:rPr>
      </w:pPr>
      <w:r>
        <w:rPr>
          <w:rFonts w:ascii="Times New Roman" w:hAnsi="Times New Roman" w:eastAsia="仿宋_GB2312" w:cs="Times New Roman"/>
          <w:color w:val="000000" w:themeColor="text1"/>
          <w:sz w:val="32"/>
          <w:szCs w:val="28"/>
        </w:rPr>
        <w:t>2019年，盘龙区统计局政府信息公开工作取得了一些成绩和进步，但还存在一些不足。一是个别数据在公布的时间上还不够及时。二是宣传力度不够，一些群众对统计工作还不够了解，对统计数据认识存在偏差。三是政府信息公开工作运行机制尚需继续完善和规范。今后，盘龙区统计局将在以下几个方面加强政府信息公开工作。</w:t>
      </w:r>
    </w:p>
    <w:p>
      <w:pPr>
        <w:spacing w:line="600" w:lineRule="exact"/>
        <w:ind w:firstLine="640" w:firstLineChars="200"/>
        <w:rPr>
          <w:rFonts w:ascii="Times New Roman" w:hAnsi="Times New Roman" w:eastAsia="仿宋_GB2312" w:cs="Times New Roman"/>
          <w:color w:val="000000" w:themeColor="text1"/>
          <w:sz w:val="32"/>
          <w:szCs w:val="28"/>
        </w:rPr>
      </w:pPr>
      <w:r>
        <w:rPr>
          <w:rFonts w:ascii="Times New Roman" w:hAnsi="Times New Roman" w:eastAsia="仿宋_GB2312" w:cs="Times New Roman"/>
          <w:color w:val="000000" w:themeColor="text1"/>
          <w:sz w:val="32"/>
          <w:szCs w:val="28"/>
        </w:rPr>
        <w:t>一是按照《中华人民共和国政府信息公开条例》《中华人民共和国统计法》要求，正确处理好公开与保密、主动公开与依申请公开的关系，进一步扩大政府统计信息主动公开范围，积极做好依申请公开政府信息工作，及时公布。</w:t>
      </w:r>
    </w:p>
    <w:p>
      <w:pPr>
        <w:spacing w:line="600" w:lineRule="exact"/>
        <w:ind w:firstLine="640" w:firstLineChars="200"/>
        <w:rPr>
          <w:rFonts w:ascii="Times New Roman" w:hAnsi="Times New Roman" w:eastAsia="仿宋_GB2312" w:cs="Times New Roman"/>
          <w:color w:val="000000" w:themeColor="text1"/>
          <w:sz w:val="32"/>
          <w:szCs w:val="28"/>
        </w:rPr>
      </w:pPr>
      <w:r>
        <w:rPr>
          <w:rFonts w:ascii="Times New Roman" w:hAnsi="Times New Roman" w:eastAsia="仿宋_GB2312" w:cs="Times New Roman"/>
          <w:color w:val="000000" w:themeColor="text1"/>
          <w:sz w:val="32"/>
          <w:szCs w:val="28"/>
        </w:rPr>
        <w:t>二是不断扩展途径，加大宣传力度。在继续做好原有的工作基础上，不断创新，不断扩展政府信息公开途径，加大新媒体、政务大厅窗口、图书馆等方面的政府信息公开力度。</w:t>
      </w:r>
    </w:p>
    <w:p>
      <w:pPr>
        <w:spacing w:line="600" w:lineRule="exact"/>
        <w:ind w:firstLine="640" w:firstLineChars="200"/>
        <w:rPr>
          <w:rFonts w:ascii="Times New Roman" w:hAnsi="Times New Roman" w:eastAsia="仿宋_GB2312" w:cs="Times New Roman"/>
          <w:color w:val="000000" w:themeColor="text1"/>
          <w:sz w:val="32"/>
          <w:szCs w:val="28"/>
        </w:rPr>
      </w:pPr>
      <w:r>
        <w:rPr>
          <w:rFonts w:ascii="Times New Roman" w:hAnsi="Times New Roman" w:eastAsia="仿宋_GB2312" w:cs="Times New Roman"/>
          <w:color w:val="000000" w:themeColor="text1"/>
          <w:sz w:val="32"/>
          <w:szCs w:val="28"/>
        </w:rPr>
        <w:t>三是持续完善制度，加强长效管理。在以后的工作中，要不断完善政府信息公开工作制度，进一步畅通信息报送渠道，简化审批流程，确保应公开信息及时、权威、有效公开，切实做到制度完备、工作长效。</w:t>
      </w:r>
    </w:p>
    <w:p>
      <w:pPr>
        <w:pStyle w:val="4"/>
        <w:widowControl/>
        <w:spacing w:before="0" w:beforeAutospacing="0" w:after="0" w:afterAutospacing="0" w:line="600" w:lineRule="exact"/>
        <w:ind w:firstLine="640" w:firstLineChars="200"/>
        <w:jc w:val="both"/>
        <w:rPr>
          <w:rFonts w:ascii="黑体" w:hAnsi="黑体" w:eastAsia="黑体"/>
          <w:color w:val="000000" w:themeColor="text1"/>
          <w:kern w:val="2"/>
          <w:sz w:val="32"/>
          <w:szCs w:val="32"/>
        </w:rPr>
      </w:pPr>
      <w:r>
        <w:rPr>
          <w:rFonts w:ascii="黑体" w:hAnsi="黑体" w:eastAsia="黑体"/>
          <w:color w:val="000000" w:themeColor="text1"/>
          <w:kern w:val="2"/>
          <w:sz w:val="32"/>
          <w:szCs w:val="32"/>
        </w:rPr>
        <w:t>六、其他需要报告的事项</w:t>
      </w:r>
    </w:p>
    <w:p>
      <w:pPr>
        <w:spacing w:line="600" w:lineRule="exact"/>
        <w:ind w:firstLine="640" w:firstLineChars="200"/>
        <w:rPr>
          <w:rFonts w:ascii="Times New Roman" w:hAnsi="Times New Roman" w:eastAsia="仿宋_GB2312" w:cs="Times New Roman"/>
          <w:color w:val="000000" w:themeColor="text1"/>
          <w:sz w:val="32"/>
          <w:szCs w:val="28"/>
        </w:rPr>
      </w:pPr>
      <w:r>
        <w:rPr>
          <w:rFonts w:ascii="Times New Roman" w:hAnsi="Times New Roman" w:eastAsia="仿宋_GB2312" w:cs="Times New Roman"/>
          <w:color w:val="000000" w:themeColor="text1"/>
          <w:sz w:val="32"/>
          <w:szCs w:val="28"/>
        </w:rPr>
        <w:t>盘龙区统计局无其他需要报告事项。</w:t>
      </w: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077E"/>
    <w:rsid w:val="00004390"/>
    <w:rsid w:val="000143F3"/>
    <w:rsid w:val="000231AB"/>
    <w:rsid w:val="00053AAA"/>
    <w:rsid w:val="000D3928"/>
    <w:rsid w:val="000E6DB3"/>
    <w:rsid w:val="00103BC3"/>
    <w:rsid w:val="001066CD"/>
    <w:rsid w:val="00121DEE"/>
    <w:rsid w:val="00144C95"/>
    <w:rsid w:val="00156934"/>
    <w:rsid w:val="00164038"/>
    <w:rsid w:val="00165018"/>
    <w:rsid w:val="00174D63"/>
    <w:rsid w:val="001B1A1E"/>
    <w:rsid w:val="001C4F7C"/>
    <w:rsid w:val="001C6561"/>
    <w:rsid w:val="00220ADE"/>
    <w:rsid w:val="002222CB"/>
    <w:rsid w:val="002B442D"/>
    <w:rsid w:val="002C4E9C"/>
    <w:rsid w:val="002C63BB"/>
    <w:rsid w:val="002E077E"/>
    <w:rsid w:val="002E0DFA"/>
    <w:rsid w:val="002F3032"/>
    <w:rsid w:val="00310FF8"/>
    <w:rsid w:val="003142CD"/>
    <w:rsid w:val="003150AB"/>
    <w:rsid w:val="00317B4B"/>
    <w:rsid w:val="003920B5"/>
    <w:rsid w:val="003A74D2"/>
    <w:rsid w:val="003B3163"/>
    <w:rsid w:val="003B5256"/>
    <w:rsid w:val="003E0841"/>
    <w:rsid w:val="003E4EA4"/>
    <w:rsid w:val="003F2BAC"/>
    <w:rsid w:val="00407A92"/>
    <w:rsid w:val="00414209"/>
    <w:rsid w:val="0044587A"/>
    <w:rsid w:val="0045319A"/>
    <w:rsid w:val="00471D6F"/>
    <w:rsid w:val="004A57EA"/>
    <w:rsid w:val="004C2AAF"/>
    <w:rsid w:val="004F478D"/>
    <w:rsid w:val="00520A29"/>
    <w:rsid w:val="00544035"/>
    <w:rsid w:val="00571A46"/>
    <w:rsid w:val="00586A92"/>
    <w:rsid w:val="005A7CCC"/>
    <w:rsid w:val="005C1DE9"/>
    <w:rsid w:val="005D2995"/>
    <w:rsid w:val="005E4486"/>
    <w:rsid w:val="005F0FD8"/>
    <w:rsid w:val="006511DF"/>
    <w:rsid w:val="00676F04"/>
    <w:rsid w:val="00684165"/>
    <w:rsid w:val="006A30CA"/>
    <w:rsid w:val="007026A6"/>
    <w:rsid w:val="00710A69"/>
    <w:rsid w:val="007457C3"/>
    <w:rsid w:val="0076194F"/>
    <w:rsid w:val="007B22E5"/>
    <w:rsid w:val="007C6953"/>
    <w:rsid w:val="007D1A6E"/>
    <w:rsid w:val="007D1B52"/>
    <w:rsid w:val="007E2E71"/>
    <w:rsid w:val="008442EC"/>
    <w:rsid w:val="0085174C"/>
    <w:rsid w:val="0088371F"/>
    <w:rsid w:val="008B0109"/>
    <w:rsid w:val="008C54F7"/>
    <w:rsid w:val="00926F34"/>
    <w:rsid w:val="00937720"/>
    <w:rsid w:val="00953A23"/>
    <w:rsid w:val="009C7E9E"/>
    <w:rsid w:val="009F2950"/>
    <w:rsid w:val="009F29E0"/>
    <w:rsid w:val="00A002FA"/>
    <w:rsid w:val="00A37222"/>
    <w:rsid w:val="00AA4830"/>
    <w:rsid w:val="00AF352A"/>
    <w:rsid w:val="00B075B2"/>
    <w:rsid w:val="00B70AE6"/>
    <w:rsid w:val="00B86DDB"/>
    <w:rsid w:val="00BC62EB"/>
    <w:rsid w:val="00BE09C9"/>
    <w:rsid w:val="00BE42D7"/>
    <w:rsid w:val="00BF173B"/>
    <w:rsid w:val="00C2138D"/>
    <w:rsid w:val="00C238DD"/>
    <w:rsid w:val="00C33109"/>
    <w:rsid w:val="00C54B5C"/>
    <w:rsid w:val="00C65E5C"/>
    <w:rsid w:val="00C73C58"/>
    <w:rsid w:val="00D20AA1"/>
    <w:rsid w:val="00D2698E"/>
    <w:rsid w:val="00D51350"/>
    <w:rsid w:val="00D51F79"/>
    <w:rsid w:val="00D74250"/>
    <w:rsid w:val="00D9608F"/>
    <w:rsid w:val="00DA343A"/>
    <w:rsid w:val="00DA6A96"/>
    <w:rsid w:val="00DA75A2"/>
    <w:rsid w:val="00DB2CF2"/>
    <w:rsid w:val="00DC3E44"/>
    <w:rsid w:val="00DE1E18"/>
    <w:rsid w:val="00DE58BD"/>
    <w:rsid w:val="00E10D2B"/>
    <w:rsid w:val="00E4546E"/>
    <w:rsid w:val="00E53A80"/>
    <w:rsid w:val="00E56A6D"/>
    <w:rsid w:val="00E82E4A"/>
    <w:rsid w:val="00E832B8"/>
    <w:rsid w:val="00EB4D9E"/>
    <w:rsid w:val="00EF3C51"/>
    <w:rsid w:val="00F31F77"/>
    <w:rsid w:val="00F7511B"/>
    <w:rsid w:val="00F761A1"/>
    <w:rsid w:val="00F959B6"/>
    <w:rsid w:val="00FD71B8"/>
    <w:rsid w:val="00FE129B"/>
    <w:rsid w:val="00FE65AD"/>
    <w:rsid w:val="00FF7DD8"/>
    <w:rsid w:val="0C584E70"/>
    <w:rsid w:val="74AD36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0"/>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8">
    <w:name w:val="Strong"/>
    <w:basedOn w:val="7"/>
    <w:qFormat/>
    <w:uiPriority w:val="22"/>
    <w:rPr>
      <w:b/>
    </w:rPr>
  </w:style>
  <w:style w:type="character" w:customStyle="1" w:styleId="9">
    <w:name w:val="页眉 Char"/>
    <w:basedOn w:val="7"/>
    <w:link w:val="3"/>
    <w:semiHidden/>
    <w:uiPriority w:val="99"/>
    <w:rPr>
      <w:sz w:val="18"/>
      <w:szCs w:val="18"/>
    </w:rPr>
  </w:style>
  <w:style w:type="character" w:customStyle="1" w:styleId="10">
    <w:name w:val="页脚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F21CC6-327C-4057-B4B2-7B10A835CD88}">
  <ds:schemaRefs/>
</ds:datastoreItem>
</file>

<file path=docProps/app.xml><?xml version="1.0" encoding="utf-8"?>
<Properties xmlns="http://schemas.openxmlformats.org/officeDocument/2006/extended-properties" xmlns:vt="http://schemas.openxmlformats.org/officeDocument/2006/docPropsVTypes">
  <Template>Normal</Template>
  <Pages>6</Pages>
  <Words>421</Words>
  <Characters>2406</Characters>
  <Lines>20</Lines>
  <Paragraphs>5</Paragraphs>
  <TotalTime>119</TotalTime>
  <ScaleCrop>false</ScaleCrop>
  <LinksUpToDate>false</LinksUpToDate>
  <CharactersWithSpaces>2822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2019-12-09T06:31:00Z</dcterms:created>
  <dc:creator>NTKO</dc:creator>
  <cp:lastModifiedBy>omi</cp:lastModifiedBy>
  <dcterms:modified xsi:type="dcterms:W3CDTF">2020-02-14T02:18:33Z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