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盘龙区人力资源和社会保障局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88" w:leftChars="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88" w:leftChars="0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2019年，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盘龙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区人社局把政府信息公开作为落实政府重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工作部署和推进政府自身建设的一项重要工作，坚持以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拓宽公开渠道，深化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公开内容为重点，结合人社工作，进一步提高公开意识、完善制度机制、加大公开力度，持续推进政府信息公开工作。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建立健全组织机构，压实工作责任。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专人开展门户网站运维管理、网站信息发布、受理依申请公开等工作。各科室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、经办机构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根据工作需要自行编撰工作简报，经分管领导审核、保密审查等工作步骤后进行公开发布。全局各项政务公开工作责任明晰，有序推进。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配套制度建设，根据《中华人民共和国政府信息公开条例》《关于印发昆明市盘龙区2019年政务公开工作要点分工方案》（盘政办通〔2019〕90号）等相关文件要求，明确职责、程序、公开方式和时限要求，切实保障信息公开各项制度的落实到位。建立了政府文件公开属性审查制度、公开信息审查制度，及时更新政务信息公开指南。进一步完善了“靠制度管人、按制度办事、依制度用权”政府信息公开格局，全面推进政府信息公开的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88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主动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黑体" w:cs="Times New Roman"/>
          <w:sz w:val="32"/>
          <w:szCs w:val="32"/>
        </w:rPr>
        <w:t>政府信息情况</w:t>
      </w:r>
    </w:p>
    <w:tbl>
      <w:tblPr>
        <w:tblStyle w:val="6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567"/>
        <w:gridCol w:w="1317"/>
        <w:gridCol w:w="951"/>
        <w:gridCol w:w="1180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6"/>
            <w:shd w:val="clear" w:color="auto" w:fill="B8CCE4" w:themeFill="accent1" w:themeFillTint="66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第二十条第（一）项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376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信息内容</w:t>
            </w:r>
          </w:p>
        </w:tc>
        <w:tc>
          <w:tcPr>
            <w:tcW w:w="1884" w:type="dxa"/>
            <w:gridSpan w:val="2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本年新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制作数量</w:t>
            </w:r>
          </w:p>
        </w:tc>
        <w:tc>
          <w:tcPr>
            <w:tcW w:w="2131" w:type="dxa"/>
            <w:gridSpan w:val="2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本年新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公开数量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对外公开总数量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376" w:type="dxa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规章</w:t>
            </w:r>
          </w:p>
        </w:tc>
        <w:tc>
          <w:tcPr>
            <w:tcW w:w="1884" w:type="dxa"/>
            <w:gridSpan w:val="2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2131" w:type="dxa"/>
            <w:gridSpan w:val="2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76" w:type="dxa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规范性文件</w:t>
            </w:r>
          </w:p>
        </w:tc>
        <w:tc>
          <w:tcPr>
            <w:tcW w:w="1884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2131" w:type="dxa"/>
            <w:gridSpan w:val="2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22" w:type="dxa"/>
            <w:gridSpan w:val="6"/>
            <w:shd w:val="clear" w:color="auto" w:fill="B8CCE4" w:themeFill="accent1" w:themeFillTint="66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第二十条第（五）项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76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信息内容</w:t>
            </w:r>
          </w:p>
        </w:tc>
        <w:tc>
          <w:tcPr>
            <w:tcW w:w="1884" w:type="dxa"/>
            <w:gridSpan w:val="2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上一年项目数量</w:t>
            </w:r>
          </w:p>
        </w:tc>
        <w:tc>
          <w:tcPr>
            <w:tcW w:w="2131" w:type="dxa"/>
            <w:gridSpan w:val="2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本年增/减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处理决定数量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376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行政许可</w:t>
            </w:r>
          </w:p>
        </w:tc>
        <w:tc>
          <w:tcPr>
            <w:tcW w:w="1884" w:type="dxa"/>
            <w:gridSpan w:val="2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</w:p>
        </w:tc>
        <w:tc>
          <w:tcPr>
            <w:tcW w:w="2131" w:type="dxa"/>
            <w:gridSpan w:val="2"/>
          </w:tcPr>
          <w:p>
            <w:pPr>
              <w:jc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-2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376" w:type="dxa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其他对外管理服务事项</w:t>
            </w:r>
          </w:p>
        </w:tc>
        <w:tc>
          <w:tcPr>
            <w:tcW w:w="1884" w:type="dxa"/>
            <w:gridSpan w:val="2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19</w:t>
            </w:r>
          </w:p>
        </w:tc>
        <w:tc>
          <w:tcPr>
            <w:tcW w:w="2131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522" w:type="dxa"/>
            <w:gridSpan w:val="6"/>
            <w:shd w:val="clear" w:color="auto" w:fill="B8CCE4" w:themeFill="accent1" w:themeFillTint="66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第二十条第（六）项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376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信息内容</w:t>
            </w:r>
          </w:p>
        </w:tc>
        <w:tc>
          <w:tcPr>
            <w:tcW w:w="1884" w:type="dxa"/>
            <w:gridSpan w:val="2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上一年项目数量</w:t>
            </w:r>
          </w:p>
        </w:tc>
        <w:tc>
          <w:tcPr>
            <w:tcW w:w="2131" w:type="dxa"/>
            <w:gridSpan w:val="2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本年增/减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处理决定数量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376" w:type="dxa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行政处罚</w:t>
            </w:r>
          </w:p>
        </w:tc>
        <w:tc>
          <w:tcPr>
            <w:tcW w:w="1884" w:type="dxa"/>
            <w:gridSpan w:val="2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91</w:t>
            </w:r>
          </w:p>
        </w:tc>
        <w:tc>
          <w:tcPr>
            <w:tcW w:w="2131" w:type="dxa"/>
            <w:gridSpan w:val="2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-3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131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376" w:type="dxa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行政强制</w:t>
            </w:r>
          </w:p>
        </w:tc>
        <w:tc>
          <w:tcPr>
            <w:tcW w:w="1884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2131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522" w:type="dxa"/>
            <w:gridSpan w:val="6"/>
            <w:shd w:val="clear" w:color="auto" w:fill="B8CCE4" w:themeFill="accent1" w:themeFillTint="66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第二十条第（八）项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3" w:type="dxa"/>
            <w:gridSpan w:val="2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信息内容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上一年项目数量</w:t>
            </w: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本年增/减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943" w:type="dxa"/>
            <w:gridSpan w:val="2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行政事业性收费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522" w:type="dxa"/>
            <w:gridSpan w:val="6"/>
            <w:shd w:val="clear" w:color="auto" w:fill="B8CCE4" w:themeFill="accent1" w:themeFillTint="66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第二十条第（九）项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943" w:type="dxa"/>
            <w:gridSpan w:val="2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信息内容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采购项目数量</w:t>
            </w: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采购总金额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943" w:type="dxa"/>
            <w:gridSpan w:val="2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政府集中采购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38000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88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6"/>
        <w:tblW w:w="892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890"/>
        <w:gridCol w:w="2367"/>
        <w:gridCol w:w="525"/>
        <w:gridCol w:w="645"/>
        <w:gridCol w:w="720"/>
        <w:gridCol w:w="855"/>
        <w:gridCol w:w="900"/>
        <w:gridCol w:w="675"/>
        <w:gridCol w:w="6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928" w:type="dxa"/>
            <w:gridSpan w:val="3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992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928" w:type="dxa"/>
            <w:gridSpan w:val="3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2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自然人</w:t>
            </w:r>
          </w:p>
        </w:tc>
        <w:tc>
          <w:tcPr>
            <w:tcW w:w="3795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法人或其他组织</w:t>
            </w:r>
          </w:p>
        </w:tc>
        <w:tc>
          <w:tcPr>
            <w:tcW w:w="672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3928" w:type="dxa"/>
            <w:gridSpan w:val="3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社会公益组织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法律服务机构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</w:t>
            </w:r>
          </w:p>
        </w:tc>
        <w:tc>
          <w:tcPr>
            <w:tcW w:w="67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928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928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三、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本年度办理结果</w:t>
            </w:r>
          </w:p>
        </w:tc>
        <w:tc>
          <w:tcPr>
            <w:tcW w:w="3257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（一）予以公开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71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7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（二）部分公开（区分处理的，只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这一情形，不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其他情形）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1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0" w:type="dxa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（三）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不予公开</w:t>
            </w:r>
          </w:p>
        </w:tc>
        <w:tc>
          <w:tcPr>
            <w:tcW w:w="236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1.属于国家秘密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1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2．其他法律行政法规禁止公开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1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3.危及“三安全一稳定”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1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4.保护第三方合法权益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1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5.属于三类内部事务信息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1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6.属于四类过程性信息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1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7.属于行政执法案卷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1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8.属于行政查询事项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1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0" w:type="dxa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（四）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无法提供</w:t>
            </w:r>
          </w:p>
        </w:tc>
        <w:tc>
          <w:tcPr>
            <w:tcW w:w="236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1.本机关不掌握相关政府信息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71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2．没有现成信息需要另行制作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1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3.补正后申请内容仍不明确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71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0" w:type="dxa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（五）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不予处理</w:t>
            </w:r>
          </w:p>
        </w:tc>
        <w:tc>
          <w:tcPr>
            <w:tcW w:w="236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1．信访举报投诉类申请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1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2.重复申请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1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3.要求提供公开出版物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1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4．无正当理由大量反复申请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71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5.要求行政机关确认或重新出具已获信息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1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7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（六）其他处理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1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7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（七）总计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28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5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88" w:left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政府信息公开行政复议、行政诉讼情况</w:t>
      </w:r>
    </w:p>
    <w:tbl>
      <w:tblPr>
        <w:tblStyle w:val="6"/>
        <w:tblW w:w="887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591"/>
        <w:gridCol w:w="591"/>
        <w:gridCol w:w="591"/>
        <w:gridCol w:w="595"/>
        <w:gridCol w:w="591"/>
        <w:gridCol w:w="591"/>
        <w:gridCol w:w="591"/>
        <w:gridCol w:w="591"/>
        <w:gridCol w:w="595"/>
        <w:gridCol w:w="591"/>
        <w:gridCol w:w="591"/>
        <w:gridCol w:w="591"/>
        <w:gridCol w:w="592"/>
        <w:gridCol w:w="5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959" w:type="dxa"/>
            <w:gridSpan w:val="5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行政复议</w:t>
            </w:r>
          </w:p>
        </w:tc>
        <w:tc>
          <w:tcPr>
            <w:tcW w:w="5920" w:type="dxa"/>
            <w:gridSpan w:val="10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行政诉讼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91" w:type="dxa"/>
            <w:vMerge w:val="restar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果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维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持</w:t>
            </w:r>
          </w:p>
        </w:tc>
        <w:tc>
          <w:tcPr>
            <w:tcW w:w="591" w:type="dxa"/>
            <w:vMerge w:val="restar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果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纠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正</w:t>
            </w:r>
          </w:p>
        </w:tc>
        <w:tc>
          <w:tcPr>
            <w:tcW w:w="591" w:type="dxa"/>
            <w:vMerge w:val="restar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他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果</w:t>
            </w:r>
          </w:p>
        </w:tc>
        <w:tc>
          <w:tcPr>
            <w:tcW w:w="591" w:type="dxa"/>
            <w:vMerge w:val="restar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尚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未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审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</w:t>
            </w:r>
          </w:p>
        </w:tc>
        <w:tc>
          <w:tcPr>
            <w:tcW w:w="595" w:type="dxa"/>
            <w:vMerge w:val="restart"/>
          </w:tcPr>
          <w:p>
            <w:pPr>
              <w:jc w:val="center"/>
              <w:rPr>
                <w:sz w:val="15"/>
                <w:szCs w:val="15"/>
              </w:rPr>
            </w:pPr>
          </w:p>
          <w:p>
            <w:pPr>
              <w:rPr>
                <w:sz w:val="15"/>
                <w:szCs w:val="15"/>
              </w:rPr>
            </w:pP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总计</w:t>
            </w:r>
          </w:p>
        </w:tc>
        <w:tc>
          <w:tcPr>
            <w:tcW w:w="2959" w:type="dxa"/>
            <w:gridSpan w:val="5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未经复议直接起诉</w:t>
            </w:r>
          </w:p>
        </w:tc>
        <w:tc>
          <w:tcPr>
            <w:tcW w:w="2961" w:type="dxa"/>
            <w:gridSpan w:val="5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复议后起诉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591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1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1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1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5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1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果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维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持</w:t>
            </w:r>
          </w:p>
        </w:tc>
        <w:tc>
          <w:tcPr>
            <w:tcW w:w="591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果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纠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正</w:t>
            </w:r>
          </w:p>
        </w:tc>
        <w:tc>
          <w:tcPr>
            <w:tcW w:w="591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他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果</w:t>
            </w:r>
          </w:p>
        </w:tc>
        <w:tc>
          <w:tcPr>
            <w:tcW w:w="591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尚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未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审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</w:t>
            </w:r>
          </w:p>
        </w:tc>
        <w:tc>
          <w:tcPr>
            <w:tcW w:w="595" w:type="dxa"/>
          </w:tcPr>
          <w:p>
            <w:pPr>
              <w:jc w:val="center"/>
              <w:rPr>
                <w:sz w:val="15"/>
                <w:szCs w:val="15"/>
              </w:rPr>
            </w:pP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</w:t>
            </w:r>
          </w:p>
        </w:tc>
        <w:tc>
          <w:tcPr>
            <w:tcW w:w="591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果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维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持</w:t>
            </w:r>
          </w:p>
        </w:tc>
        <w:tc>
          <w:tcPr>
            <w:tcW w:w="591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果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纠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正</w:t>
            </w:r>
          </w:p>
        </w:tc>
        <w:tc>
          <w:tcPr>
            <w:tcW w:w="591" w:type="dxa"/>
          </w:tcPr>
          <w:p>
            <w:pPr>
              <w:jc w:val="center"/>
              <w:rPr>
                <w:sz w:val="15"/>
                <w:szCs w:val="15"/>
              </w:rPr>
            </w:pP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其他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结果</w:t>
            </w:r>
          </w:p>
        </w:tc>
        <w:tc>
          <w:tcPr>
            <w:tcW w:w="592" w:type="dxa"/>
          </w:tcPr>
          <w:p>
            <w:pPr>
              <w:jc w:val="center"/>
              <w:rPr>
                <w:sz w:val="15"/>
                <w:szCs w:val="15"/>
              </w:rPr>
            </w:pP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尚未审结</w:t>
            </w:r>
          </w:p>
        </w:tc>
        <w:tc>
          <w:tcPr>
            <w:tcW w:w="596" w:type="dxa"/>
          </w:tcPr>
          <w:p>
            <w:pPr>
              <w:jc w:val="center"/>
              <w:rPr>
                <w:sz w:val="15"/>
                <w:szCs w:val="15"/>
              </w:rPr>
            </w:pP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91" w:type="dxa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1" w:type="dxa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1" w:type="dxa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1" w:type="dxa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5" w:type="dxa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1" w:type="dxa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1" w:type="dxa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1" w:type="dxa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1" w:type="dxa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5" w:type="dxa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1" w:type="dxa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1" w:type="dxa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1" w:type="dxa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2" w:type="dxa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6" w:type="dxa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88"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政府信息公开工作存在的主要问题及改进情况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（一）存在问题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政府信息公开队伍建设有待加强。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信息公开的载体受限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（二）改进情况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一是进一步完善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信息公开管理制度，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规范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政府信息公开《指南》和《目录》的编制工作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及时公开各项政策事项、办事指南，确保政府信息公开工作深入、持续、高效地开展。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进一步加大主动公开力度，做好现有政务公开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基础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上，进一步增强公开信息的实效性和有用性。规范对微信公众平台的使用和管理工作。</w:t>
      </w:r>
      <w:r>
        <w:rPr>
          <w:rFonts w:hint="default" w:ascii="Times New Roman" w:hAnsi="Times New Roman" w:eastAsia="仿宋_GB2312" w:cs="Times New Roman"/>
          <w:b w:val="0"/>
          <w:bCs w:val="0"/>
          <w:color w:val="2B2B2B"/>
          <w:kern w:val="0"/>
          <w:sz w:val="32"/>
          <w:szCs w:val="32"/>
        </w:rPr>
        <w:t>拓宽信息公开渠道，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把涉及人民群众切身利益的事项作为公开的重点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及时、准确、全面地做好政府信息公开工作。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加大宣传力度和培训力度，积极组织相关科室政务公开工作人员参加业务培训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，进一步增强工作人员的政务公开的意识，提升工作业务水平。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88" w:leftChars="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15"/>
          <w:szCs w:val="15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无。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7E"/>
    <w:rsid w:val="000143F3"/>
    <w:rsid w:val="000E6DB3"/>
    <w:rsid w:val="00103BC3"/>
    <w:rsid w:val="001066CD"/>
    <w:rsid w:val="00144C95"/>
    <w:rsid w:val="00165018"/>
    <w:rsid w:val="00174D63"/>
    <w:rsid w:val="001B1A1E"/>
    <w:rsid w:val="001C6561"/>
    <w:rsid w:val="002222CB"/>
    <w:rsid w:val="002B442D"/>
    <w:rsid w:val="002C63BB"/>
    <w:rsid w:val="002E077E"/>
    <w:rsid w:val="003150AB"/>
    <w:rsid w:val="00317B4B"/>
    <w:rsid w:val="003A74D2"/>
    <w:rsid w:val="003E0841"/>
    <w:rsid w:val="003E4EA4"/>
    <w:rsid w:val="003F2BAC"/>
    <w:rsid w:val="00414209"/>
    <w:rsid w:val="0045319A"/>
    <w:rsid w:val="004A57EA"/>
    <w:rsid w:val="00520A29"/>
    <w:rsid w:val="00571A46"/>
    <w:rsid w:val="005E4486"/>
    <w:rsid w:val="005F0FD8"/>
    <w:rsid w:val="006A30CA"/>
    <w:rsid w:val="007E2E71"/>
    <w:rsid w:val="008C54F7"/>
    <w:rsid w:val="00926F34"/>
    <w:rsid w:val="00A002FA"/>
    <w:rsid w:val="00AF352A"/>
    <w:rsid w:val="00B075B2"/>
    <w:rsid w:val="00B70AE6"/>
    <w:rsid w:val="00BE09C9"/>
    <w:rsid w:val="00BF173B"/>
    <w:rsid w:val="00C33109"/>
    <w:rsid w:val="00D20AA1"/>
    <w:rsid w:val="00DA343A"/>
    <w:rsid w:val="00DC3E44"/>
    <w:rsid w:val="00DE1E18"/>
    <w:rsid w:val="00DE58BD"/>
    <w:rsid w:val="00E53A80"/>
    <w:rsid w:val="00E56A6D"/>
    <w:rsid w:val="00EB4D9E"/>
    <w:rsid w:val="00EF3C51"/>
    <w:rsid w:val="00FE65AD"/>
    <w:rsid w:val="00FF7DD8"/>
    <w:rsid w:val="035102DD"/>
    <w:rsid w:val="045D7701"/>
    <w:rsid w:val="08A6411D"/>
    <w:rsid w:val="0A3A4997"/>
    <w:rsid w:val="0B5D6B4F"/>
    <w:rsid w:val="0BD9193C"/>
    <w:rsid w:val="0CB5678C"/>
    <w:rsid w:val="0FCC1644"/>
    <w:rsid w:val="0FE51E31"/>
    <w:rsid w:val="1524694C"/>
    <w:rsid w:val="162E01AD"/>
    <w:rsid w:val="178959C6"/>
    <w:rsid w:val="17DF5BAE"/>
    <w:rsid w:val="1CEF6790"/>
    <w:rsid w:val="1E126C15"/>
    <w:rsid w:val="1E892849"/>
    <w:rsid w:val="1FAC2BFE"/>
    <w:rsid w:val="218428C8"/>
    <w:rsid w:val="24F047A7"/>
    <w:rsid w:val="271D045E"/>
    <w:rsid w:val="2C6C6E58"/>
    <w:rsid w:val="33931D95"/>
    <w:rsid w:val="342F0492"/>
    <w:rsid w:val="3C036F3F"/>
    <w:rsid w:val="3E7C5C21"/>
    <w:rsid w:val="424E548F"/>
    <w:rsid w:val="42A910D2"/>
    <w:rsid w:val="437D7C2C"/>
    <w:rsid w:val="46854D7F"/>
    <w:rsid w:val="4D082B11"/>
    <w:rsid w:val="4EA87A5A"/>
    <w:rsid w:val="4FD26FEB"/>
    <w:rsid w:val="50233FCF"/>
    <w:rsid w:val="5104768A"/>
    <w:rsid w:val="544E1967"/>
    <w:rsid w:val="55B25469"/>
    <w:rsid w:val="57F92D17"/>
    <w:rsid w:val="58384A7D"/>
    <w:rsid w:val="5BB938F6"/>
    <w:rsid w:val="5C1D5C71"/>
    <w:rsid w:val="5CE47A6E"/>
    <w:rsid w:val="5DEB1CD6"/>
    <w:rsid w:val="5E603380"/>
    <w:rsid w:val="5F030CB3"/>
    <w:rsid w:val="6073158A"/>
    <w:rsid w:val="64235FCF"/>
    <w:rsid w:val="6B6A759B"/>
    <w:rsid w:val="7193720C"/>
    <w:rsid w:val="725A7351"/>
    <w:rsid w:val="74AD36F0"/>
    <w:rsid w:val="75665B4F"/>
    <w:rsid w:val="771A0B0A"/>
    <w:rsid w:val="77D53483"/>
    <w:rsid w:val="7C37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F21CC6-327C-4057-B4B2-7B10A835CD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989</Characters>
  <Lines>8</Lines>
  <Paragraphs>2</Paragraphs>
  <TotalTime>138</TotalTime>
  <ScaleCrop>false</ScaleCrop>
  <LinksUpToDate>false</LinksUpToDate>
  <CharactersWithSpaces>1160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2019-12-09T06:31:00Z</dcterms:created>
  <dc:creator>NTKO</dc:creator>
  <cp:lastModifiedBy>lls</cp:lastModifiedBy>
  <cp:lastPrinted>2020-02-14T06:54:00Z</cp:lastPrinted>
  <dcterms:modified xsi:type="dcterms:W3CDTF">2020-02-14T07:20:22Z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