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盘龙区医保扶贫面临的问题及建议</w:t>
      </w:r>
    </w:p>
    <w:p>
      <w:pPr>
        <w:jc w:val="center"/>
        <w:rPr>
          <w:rFonts w:hint="eastAsia" w:asciiTheme="minorEastAsia" w:hAnsiTheme="minorEastAsia" w:eastAsiaTheme="minorEastAsia" w:cstheme="minorEastAsia"/>
          <w:sz w:val="44"/>
          <w:szCs w:val="44"/>
          <w:lang w:val="en-US" w:eastAsia="zh-CN"/>
        </w:rPr>
      </w:pPr>
    </w:p>
    <w:p>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盘龙区医疗保障局在健康扶贫工作中，认真贯彻落实中央省市相关文件精神，严格执行《昆明市盘龙区贯彻落实云南省健康扶贫30条措施的实施方案》（盘政办通〔2017〕194号）文件，在执行相关文件时，发现了一些问题，现针对这些问题作分析研判，并提出一些解决思路和建议。</w:t>
      </w:r>
    </w:p>
    <w:p>
      <w:pPr>
        <w:keepNext w:val="0"/>
        <w:keepLines w:val="0"/>
        <w:pageBreakBefore w:val="0"/>
        <w:widowControl w:val="0"/>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b/>
          <w:bCs/>
          <w:sz w:val="32"/>
          <w:szCs w:val="32"/>
          <w:lang w:val="en-US" w:eastAsia="zh-CN"/>
        </w:rPr>
      </w:pPr>
      <w:r>
        <w:rPr>
          <w:rFonts w:hint="eastAsia" w:ascii="黑体" w:hAnsi="黑体" w:eastAsia="黑体" w:cs="黑体"/>
          <w:b w:val="0"/>
          <w:bCs w:val="0"/>
          <w:sz w:val="32"/>
          <w:szCs w:val="32"/>
          <w:lang w:val="en-US" w:eastAsia="zh-CN"/>
        </w:rPr>
        <w:t>一 、医保扶贫面临的问题</w:t>
      </w:r>
    </w:p>
    <w:p>
      <w:pPr>
        <w:keepNext w:val="0"/>
        <w:keepLines w:val="0"/>
        <w:pageBreakBefore w:val="0"/>
        <w:widowControl w:val="0"/>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（一）乡镇卫生院医疗机构服务能力较弱</w:t>
      </w:r>
    </w:p>
    <w:p>
      <w:pPr>
        <w:keepNext w:val="0"/>
        <w:keepLines w:val="0"/>
        <w:pageBreakBefore w:val="0"/>
        <w:widowControl w:val="0"/>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区的建档立卡贫困人员主要集中于滇源、阿子营、双龙和松华四个街道，这四个街道的乡镇卫生院能为建档立卡贫困人员提供的医疗服务有限，无法满足建档立卡贫困人员就近就医的要求，造成这一现象的原因如下。</w:t>
      </w:r>
    </w:p>
    <w:p>
      <w:pPr>
        <w:keepNext w:val="0"/>
        <w:keepLines w:val="0"/>
        <w:pageBreakBefore w:val="0"/>
        <w:widowControl w:val="0"/>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从地理位置上看，双龙街道和松华街道距离城区较近，相比在双龙卫生院和松华卫生院看病，生病住院这两个街道的群众更愿意到昆明市第二人民医院和昆明市第一人民医院甘美国际医院就医治疗，滇源和阿子营街道因距离嵩明县更近，当地群众更习惯去嵩明县人民医院就医，因收治病人较少的缘故，医生的临床经验较少，提升业务能力的主动性不高，医院开展业务的积极性也不高，其服务能力逐年下降，据了解，双龙街道卫生院已经不开展住院医疗，只开展门诊医疗项目。</w:t>
      </w:r>
    </w:p>
    <w:p>
      <w:pPr>
        <w:keepNext w:val="0"/>
        <w:keepLines w:val="0"/>
        <w:pageBreakBefore w:val="0"/>
        <w:widowControl w:val="0"/>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（二）建档立卡贫困人员办理慢性病积极性不高</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慢性病和特殊疾病门诊待遇原本是一项能够切实减轻建档立卡贫困人员医疗费用负担的惠民政策，但在施行过程中也遇到一些问题，我区的建档立卡贫困人员办理慢性病待遇的积极性不高，原因如下:</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慢性病的审批资料中需要的资料往往需要二级或三级医院的相关诊断、诊疗和检查记录，我区的建档立卡贫困人员主要居住在离城区较远的乡镇，平时小病小痛主要在附近的乡镇卫生院就医，留存的就医记录达不到审批标准。</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2、建档立卡贫困人员没有留存相关病历资料的习惯，导致审批资料缺失。</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3、因各种原因，建档立卡贫困人员忽视慢性病的危害，有病未治，没有相关的诊疗记录。</w:t>
      </w:r>
    </w:p>
    <w:p>
      <w:pPr>
        <w:keepNext w:val="0"/>
        <w:keepLines w:val="0"/>
        <w:pageBreakBefore w:val="0"/>
        <w:widowControl w:val="0"/>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（三）“居民两病”办理未达预期</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省市相关文件要求，对于身患高血压、糖尿病但未纳入慢性病待遇保障的建档立卡贫困人员要及时纳入城乡居民医保高血压糖尿病门诊待遇，并保障相关用药，但在政策的实际执行中，几乎没有建档立卡人员申请“居民两病”待遇。</w:t>
      </w:r>
    </w:p>
    <w:p>
      <w:pPr>
        <w:keepNext w:val="0"/>
        <w:keepLines w:val="0"/>
        <w:pageBreakBefore w:val="0"/>
        <w:widowControl w:val="0"/>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2019年，国务院出台了城乡居民医保高血压糖尿病门诊用药报销政策，我省也出台了相关的贯彻落实文件，根据《云南省贯彻落实国家医疗保障局 财政部 国家卫生健康委 国家药监局完善城乡居民高血压糖尿病门诊用药保障机制指导意见实施方案》（云医保〔2019〕123号）文要求，对于需要服用降血压、降糖药物的“两病”参保患者，降血压、降血糖的药物纳入普通门诊支付范围，正常范围内支付比例50%，年度最高支付限额与普通门诊合并累计计算，不得低于400元，且对两类药物的用药范围及价格做了严格限制。</w:t>
      </w:r>
    </w:p>
    <w:p>
      <w:pPr>
        <w:keepNext w:val="0"/>
        <w:keepLines w:val="0"/>
        <w:pageBreakBefore w:val="0"/>
        <w:widowControl w:val="0"/>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目前，昆明市城乡居民普通门诊待遇是每年400元，支付比例为50%，建档立卡人员为420元，支付比例为80%，且开药范围已经包含了降血压和降血糖药物，且相对限制性较少，所以实际上，在我市，城乡居民普通门诊待遇实际上已经包含“居民两病”待遇，且待遇更好，故我区不论是建档立卡贫困人员还是普通居民申请“居民两病”待遇的人数都很少，截止目前仅318人申请相关待遇。</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（四）转诊转院政策不完善，医保兜底功能发挥不彻底</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关于调整昆明市城乡居民医疗保险转诊转院待遇的通知》（昆医保通〔2019〕58号）和《关于进一步规范建档立卡贫困患者医疗行为工作的通知》（昆卫〔2019〕74号）文件要求，自2019年12月1日起，建档立卡贫困患者在三级定点医疗机构就医时，除急危重症外，须有转诊转院手续才可享受建档立卡倾斜政策，否则，只能以普通城乡居民医保享受待遇。</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但我区的建档立卡贫困人员多居住</w:t>
      </w:r>
      <w:r>
        <w:rPr>
          <w:rFonts w:hint="eastAsia" w:ascii="仿宋_GB2312" w:hAnsi="仿宋_GB2312" w:eastAsia="仿宋_GB2312" w:cs="仿宋_GB2312"/>
          <w:sz w:val="32"/>
          <w:szCs w:val="32"/>
          <w:lang w:val="en-US" w:eastAsia="zh-CN"/>
        </w:rPr>
        <w:t>滇源、阿子营、双龙和松华</w:t>
      </w:r>
      <w:r>
        <w:rPr>
          <w:rFonts w:hint="eastAsia" w:ascii="仿宋_GB2312" w:hAnsi="仿宋_GB2312" w:eastAsia="仿宋_GB2312" w:cs="仿宋_GB2312"/>
          <w:sz w:val="32"/>
          <w:szCs w:val="32"/>
          <w:lang w:eastAsia="zh-CN"/>
        </w:rPr>
        <w:t>四个乡镇，只能在乡镇卫生院办理转院手续，若患者刚好属于乡镇卫生院无能力收治又达不到三级医院危急重症认定标准的病人，不经乡镇卫生院住院治疗后办理转诊转院手续，建档立卡贫困人员就无法享受建档立卡医保倾斜政策；若强行要求乡镇卫生院收治入院办理转诊转院手续，对于这样的病例，乡镇卫生院又没有条件做相关治疗，既造成了医疗资源浪费，又有可能耽误患者的治疗。</w:t>
      </w:r>
    </w:p>
    <w:p>
      <w:pPr>
        <w:keepNext w:val="0"/>
        <w:keepLines w:val="0"/>
        <w:pageBreakBefore w:val="0"/>
        <w:widowControl w:val="0"/>
        <w:kinsoku/>
        <w:wordWrap/>
        <w:overflowPunct/>
        <w:topLinePunct w:val="0"/>
        <w:autoSpaceDE/>
        <w:autoSpaceDN/>
        <w:bidi w:val="0"/>
        <w:adjustRightInd/>
        <w:snapToGrid w:val="0"/>
        <w:spacing w:line="600" w:lineRule="exact"/>
        <w:ind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且</w:t>
      </w:r>
      <w:r>
        <w:rPr>
          <w:rFonts w:hint="eastAsia" w:ascii="仿宋_GB2312" w:hAnsi="仿宋_GB2312" w:eastAsia="仿宋_GB2312" w:cs="仿宋_GB2312"/>
          <w:sz w:val="32"/>
          <w:szCs w:val="32"/>
        </w:rPr>
        <w:t>患有传染病</w:t>
      </w:r>
      <w:r>
        <w:rPr>
          <w:rFonts w:hint="eastAsia" w:ascii="仿宋_GB2312" w:hAnsi="仿宋_GB2312" w:eastAsia="仿宋_GB2312" w:cs="仿宋_GB2312"/>
          <w:sz w:val="32"/>
          <w:szCs w:val="32"/>
          <w:lang w:eastAsia="zh-CN"/>
        </w:rPr>
        <w:t>、恶性肿瘤、慢性肾衰等特殊疾病</w:t>
      </w:r>
      <w:r>
        <w:rPr>
          <w:rFonts w:hint="eastAsia" w:ascii="仿宋_GB2312" w:hAnsi="仿宋_GB2312" w:eastAsia="仿宋_GB2312" w:cs="仿宋_GB2312"/>
          <w:sz w:val="32"/>
          <w:szCs w:val="32"/>
        </w:rPr>
        <w:t>的建档立卡</w:t>
      </w:r>
      <w:r>
        <w:rPr>
          <w:rFonts w:hint="eastAsia" w:ascii="仿宋_GB2312" w:hAnsi="仿宋_GB2312" w:eastAsia="仿宋_GB2312" w:cs="仿宋_GB2312"/>
          <w:sz w:val="32"/>
          <w:szCs w:val="32"/>
          <w:lang w:eastAsia="zh-CN"/>
        </w:rPr>
        <w:t>贫困人员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乡镇卫生院等首诊医院无条件收治，</w:t>
      </w:r>
      <w:r>
        <w:rPr>
          <w:rFonts w:hint="eastAsia" w:ascii="仿宋_GB2312" w:hAnsi="仿宋_GB2312" w:eastAsia="仿宋_GB2312" w:cs="仿宋_GB2312"/>
          <w:sz w:val="32"/>
          <w:szCs w:val="32"/>
        </w:rPr>
        <w:t>只能直接到</w:t>
      </w:r>
      <w:r>
        <w:rPr>
          <w:rFonts w:hint="eastAsia" w:ascii="仿宋_GB2312" w:hAnsi="仿宋_GB2312" w:eastAsia="仿宋_GB2312" w:cs="仿宋_GB2312"/>
          <w:sz w:val="32"/>
          <w:szCs w:val="32"/>
          <w:lang w:eastAsia="zh-CN"/>
        </w:rPr>
        <w:t>昆明</w:t>
      </w:r>
      <w:r>
        <w:rPr>
          <w:rFonts w:hint="eastAsia" w:ascii="仿宋_GB2312" w:hAnsi="仿宋_GB2312" w:eastAsia="仿宋_GB2312" w:cs="仿宋_GB2312"/>
          <w:sz w:val="32"/>
          <w:szCs w:val="32"/>
        </w:rPr>
        <w:t>市第三人民医院</w:t>
      </w:r>
      <w:r>
        <w:rPr>
          <w:rFonts w:hint="eastAsia" w:ascii="仿宋_GB2312" w:hAnsi="仿宋_GB2312" w:eastAsia="仿宋_GB2312" w:cs="仿宋_GB2312"/>
          <w:sz w:val="32"/>
          <w:szCs w:val="32"/>
          <w:lang w:eastAsia="zh-CN"/>
        </w:rPr>
        <w:t>等特定医院治疗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若</w:t>
      </w:r>
      <w:r>
        <w:rPr>
          <w:rFonts w:hint="eastAsia" w:ascii="仿宋_GB2312" w:hAnsi="仿宋_GB2312" w:eastAsia="仿宋_GB2312" w:cs="仿宋_GB2312"/>
          <w:sz w:val="32"/>
          <w:szCs w:val="32"/>
        </w:rPr>
        <w:t>医</w:t>
      </w:r>
      <w:r>
        <w:rPr>
          <w:rFonts w:hint="eastAsia" w:ascii="仿宋_GB2312" w:hAnsi="仿宋_GB2312" w:eastAsia="仿宋_GB2312" w:cs="仿宋_GB2312"/>
          <w:sz w:val="32"/>
          <w:szCs w:val="32"/>
          <w:lang w:eastAsia="zh-CN"/>
        </w:rPr>
        <w:t>生对病情</w:t>
      </w:r>
      <w:r>
        <w:rPr>
          <w:rFonts w:hint="eastAsia" w:ascii="仿宋_GB2312" w:hAnsi="仿宋_GB2312" w:eastAsia="仿宋_GB2312" w:cs="仿宋_GB2312"/>
          <w:sz w:val="32"/>
          <w:szCs w:val="32"/>
        </w:rPr>
        <w:t>判断为不符合“急危重症患者”条件，</w:t>
      </w:r>
      <w:r>
        <w:rPr>
          <w:rFonts w:hint="eastAsia" w:ascii="仿宋_GB2312" w:hAnsi="仿宋_GB2312" w:eastAsia="仿宋_GB2312" w:cs="仿宋_GB2312"/>
          <w:sz w:val="32"/>
          <w:szCs w:val="32"/>
          <w:lang w:eastAsia="zh-CN"/>
        </w:rPr>
        <w:t>会</w:t>
      </w:r>
      <w:r>
        <w:rPr>
          <w:rFonts w:hint="eastAsia" w:ascii="仿宋_GB2312" w:hAnsi="仿宋_GB2312" w:eastAsia="仿宋_GB2312" w:cs="仿宋_GB2312"/>
          <w:sz w:val="32"/>
          <w:szCs w:val="32"/>
        </w:rPr>
        <w:t>导致病人</w:t>
      </w:r>
      <w:r>
        <w:rPr>
          <w:rFonts w:hint="eastAsia" w:ascii="仿宋_GB2312" w:hAnsi="仿宋_GB2312" w:eastAsia="仿宋_GB2312" w:cs="仿宋_GB2312"/>
          <w:sz w:val="32"/>
          <w:szCs w:val="32"/>
          <w:lang w:eastAsia="zh-CN"/>
        </w:rPr>
        <w:t>只能</w:t>
      </w:r>
      <w:r>
        <w:rPr>
          <w:rFonts w:hint="eastAsia" w:ascii="仿宋_GB2312" w:hAnsi="仿宋_GB2312" w:eastAsia="仿宋_GB2312" w:cs="仿宋_GB2312"/>
          <w:sz w:val="32"/>
          <w:szCs w:val="32"/>
        </w:rPr>
        <w:t>按普通居民</w:t>
      </w:r>
      <w:r>
        <w:rPr>
          <w:rFonts w:hint="eastAsia" w:ascii="仿宋_GB2312" w:hAnsi="仿宋_GB2312" w:eastAsia="仿宋_GB2312" w:cs="仿宋_GB2312"/>
          <w:sz w:val="32"/>
          <w:szCs w:val="32"/>
          <w:lang w:eastAsia="zh-CN"/>
        </w:rPr>
        <w:t>待遇</w:t>
      </w:r>
      <w:r>
        <w:rPr>
          <w:rFonts w:hint="eastAsia" w:ascii="仿宋_GB2312" w:hAnsi="仿宋_GB2312" w:eastAsia="仿宋_GB2312" w:cs="仿宋_GB2312"/>
          <w:sz w:val="32"/>
          <w:szCs w:val="32"/>
        </w:rPr>
        <w:t>结算。</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建档立卡人员虽然能够享受基本医疗保障待遇，但其医疗救助和兜底保障待遇却无法享受，医保虽然起到了基本医疗保障作用，但兜底功能发挥却不彻底。</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eastAsia="zh-CN"/>
        </w:rPr>
      </w:pPr>
      <w:r>
        <w:rPr>
          <w:rFonts w:hint="eastAsia" w:ascii="楷体" w:hAnsi="楷体" w:eastAsia="楷体" w:cs="楷体"/>
          <w:sz w:val="32"/>
          <w:szCs w:val="32"/>
          <w:lang w:val="en-US" w:eastAsia="zh-CN"/>
        </w:rPr>
        <w:t>(五）</w:t>
      </w:r>
      <w:r>
        <w:rPr>
          <w:rFonts w:hint="eastAsia" w:ascii="楷体" w:hAnsi="楷体" w:eastAsia="楷体" w:cs="楷体"/>
          <w:sz w:val="32"/>
          <w:szCs w:val="32"/>
          <w:lang w:eastAsia="zh-CN"/>
        </w:rPr>
        <w:t>家庭医生服务流于形式，考核机制有待完善</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家庭医生服务是公共卫生服务的重要组成部分，对于保障建档立卡贫困人员的健康起着重要作用，若能做到未病先治、有病早发现，就能减少小病变大病情况的出现，对防止因病返贫意义重大。</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目前，昆明市家庭医生费用支付主要由三部分组成，卫生健康部门、医保部门和城乡居民每年各支付</w:t>
      </w:r>
      <w:r>
        <w:rPr>
          <w:rFonts w:hint="eastAsia" w:ascii="仿宋_GB2312" w:hAnsi="仿宋_GB2312" w:eastAsia="仿宋_GB2312" w:cs="仿宋_GB2312"/>
          <w:sz w:val="32"/>
          <w:szCs w:val="32"/>
          <w:lang w:val="en-US" w:eastAsia="zh-CN"/>
        </w:rPr>
        <w:t>12元/人，共计36元/人，因为按人头付费，医疗机构的签约积极性很高，但相应的服务却跟不上，医保目前也没有针对家庭医生服务的考核办法，对医疗机构的约束能力有限。</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（六）异地就医报销比例较低，异地“一站式”结算不完善</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异地参保的建档立卡贫困人员因在异地医保系统中未标示为建档立卡人员，且异地结算未实现后两重保障一站式结算，异地参保的建档立卡贫困人员无法按建档立卡医保倾斜政策享受待遇，导致其报销比例较低。</w:t>
      </w:r>
    </w:p>
    <w:p>
      <w:pPr>
        <w:keepNext w:val="0"/>
        <w:keepLines w:val="0"/>
        <w:pageBreakBefore w:val="0"/>
        <w:widowControl w:val="0"/>
        <w:kinsoku/>
        <w:wordWrap/>
        <w:overflowPunct/>
        <w:topLinePunct w:val="0"/>
        <w:autoSpaceDE/>
        <w:autoSpaceDN/>
        <w:bidi w:val="0"/>
        <w:adjustRightInd/>
        <w:snapToGrid w:val="0"/>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在我市参保的建档立卡贫困人员跨统筹区刷卡就医尚无法在医保系统内实现“一站式”结算，只能享受基本医疗和大病医疗倾斜政策，无法享受医疗救助及兜底保障，但跨统筹区就医手工报销却可以享受全部四重倾斜政策，致使医疗扶贫工作在救助层面尺度不一。</w:t>
      </w:r>
    </w:p>
    <w:p>
      <w:pPr>
        <w:keepNext w:val="0"/>
        <w:keepLines w:val="0"/>
        <w:pageBreakBefore w:val="0"/>
        <w:widowControl w:val="0"/>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b/>
          <w:bCs/>
          <w:sz w:val="32"/>
          <w:szCs w:val="32"/>
          <w:lang w:val="en-US" w:eastAsia="zh-CN"/>
        </w:rPr>
      </w:pPr>
      <w:r>
        <w:rPr>
          <w:rFonts w:hint="eastAsia" w:ascii="黑体" w:hAnsi="黑体" w:eastAsia="黑体" w:cs="黑体"/>
          <w:b w:val="0"/>
          <w:bCs w:val="0"/>
          <w:sz w:val="32"/>
          <w:szCs w:val="32"/>
          <w:lang w:val="en-US" w:eastAsia="zh-CN"/>
        </w:rPr>
        <w:t>二 对医保扶贫的建议</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针对以上发现的问题，我局提出如下建议:</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（一）加大对基层医疗机构的建设力度，提升基层医疗机构的服务能力。</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要加大对基层医疗机构特别是乡镇一级卫生院的资源投入力度，既包括资金、设备等硬件支持，也包括人员配置和人员培训等软实力提升，使其具备较高的软硬件服务能力，增强为建档立卡贫困人员以及其他群众的医疗服务实力，医疗保障部门要做好相应的资源倾斜，只好相应的政策指导工作。</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（二）简化慢性病等待遇审批流程，纳入医保服务标准化信息化建设，全链条式提高服务效率。</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简化审批流程，参照“居民两病”审批流程和标准，对患有糖尿病、高血压等常见慢性病的建档立卡贫困人员，经定点医疗机构具备资质的医保医师，按相关技术规范确诊的建档立卡贫困人员，由定点医疗机构向医保经办机构出具相关证明或直接报备，医保经办机构可直接予以审批，并将相关待遇审批流程纳入医保服务信息化建设中，做到全程可查、资料可信，既保证待遇审批的严谨性，又让群众少跑路，全链条式提高经办服务效率。</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（三）提高“居民两病”待遇，提高群众的政策获得感。</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要按照地区发展情况，制定符合当地实情的“居民两病”待遇，对于经济发展较好的地区，鼓励在省级标准基础上增加待遇，特殊政策一定要与普通政策有一定的区别性，医保部门有担当精神，在“量力而行”基础上，做到“尽力而为”，让中央的惠民政策切实惠及到人民群众，提高群众的政策获得感。</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（四）因地制宜实施分级诊疗政策，不能搞“一刀切”。</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海、浙江以及江苏等地区能够顺利开展分级诊疗，是因为地区经济发达，乡镇卫生院等基层医疗机构的建设水平高，服务能力强，而我省的基层医疗机构建设水平不高，综合服务能力较弱，强行推行分级诊疗政策阻力较大，且将建档立卡贫困人员医保倾斜待遇与分级诊疗强行捆绑不符合健康扶贫的兜底政策。</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议卫生健康部门继续完善分级诊疗制度建设，在此期间，医疗保障部门继续落实相关健康扶贫政策，让每一个建档立卡贫困人员享受到建档立卡医保倾斜待遇，既发挥基本医疗保险保基本的作用，也发挥其在脱贫攻坚工作中的兜底作用。</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（五）完善家庭医生签约服务医保考核办法，提高家庭医生服务能力。</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医疗保障部门不能只出钱不管事，要及时出台相关的考核办法和细则，可以结合医保医师管理进行统一考核，根据家庭医生的服务频次和服务能力制定相应的等级付费制度，加强医保基金的激励作用，提高家庭医生的服务积极性，全方位提高家庭医生的医疗服务能力，发挥其在健康扶贫工作中的预前作用。</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（六）逐步推进城乡居民医保省级统筹，解决建档立卡人员异地就医难题。</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昆明市2020年城乡居民医保个人缴费部分为250元，建档立卡贫困人员缴费70元，其他由政府财政补助，据查，曲靖市、红河州等地的城乡居民医保筹资标准与昆明市一致，相关待遇也不大，特别是建档立卡贫困人员，因为各地均贯彻落实</w:t>
      </w:r>
      <w:r>
        <w:rPr>
          <w:rFonts w:hint="eastAsia" w:ascii="仿宋_GB2312" w:hAnsi="仿宋_GB2312" w:eastAsia="仿宋_GB2312" w:cs="仿宋_GB2312"/>
          <w:sz w:val="32"/>
          <w:szCs w:val="32"/>
        </w:rPr>
        <w:t>云南省人民政府办公厅《关于印发健康扶贫30条措施的通知》（云政办发</w:t>
      </w:r>
      <w:r>
        <w:rPr>
          <w:rFonts w:hint="eastAsia" w:ascii="仿宋_GB2312" w:hAnsi="仿宋_GB2312" w:eastAsia="仿宋_GB2312" w:cs="仿宋_GB2312"/>
          <w:snapToGrid w:val="0"/>
          <w:color w:val="000000"/>
          <w:sz w:val="32"/>
          <w:szCs w:val="32"/>
        </w:rPr>
        <w:t>〔2017〕102号）</w:t>
      </w:r>
      <w:r>
        <w:rPr>
          <w:rFonts w:hint="eastAsia" w:ascii="仿宋_GB2312" w:hAnsi="仿宋_GB2312" w:eastAsia="仿宋_GB2312" w:cs="仿宋_GB2312"/>
          <w:snapToGrid w:val="0"/>
          <w:color w:val="000000"/>
          <w:sz w:val="32"/>
          <w:szCs w:val="32"/>
          <w:lang w:eastAsia="zh-CN"/>
        </w:rPr>
        <w:t>文件精神，各地的</w:t>
      </w:r>
      <w:r>
        <w:rPr>
          <w:rFonts w:hint="eastAsia" w:ascii="仿宋_GB2312" w:hAnsi="仿宋_GB2312" w:eastAsia="仿宋_GB2312" w:cs="仿宋_GB2312"/>
          <w:sz w:val="32"/>
          <w:szCs w:val="32"/>
          <w:lang w:val="en-US" w:eastAsia="zh-CN"/>
        </w:rPr>
        <w:t>建档立卡贫困人员所享受的医保待遇几乎相同，在各州市筹资标准相差不大以及医保待遇相差不多的情况下，城乡居民医保省级统筹是完全可以实现的，而城乡居民医保由省级统筹，城乡居民省内异地就医问题自然迎刃而解，对于跨省异地就医直接结算也能起到促进作用。</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pacing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华文琥珀">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606D3E"/>
    <w:rsid w:val="3C2357B4"/>
    <w:rsid w:val="49E75252"/>
    <w:rsid w:val="52CB4D0D"/>
    <w:rsid w:val="53237063"/>
    <w:rsid w:val="60583C16"/>
    <w:rsid w:val="60624D97"/>
    <w:rsid w:val="61B478ED"/>
    <w:rsid w:val="66D11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2020-06-16T03:29:00Z</dcterms:created>
  <dc:creator>Administrator</dc:creator>
  <cp:lastModifiedBy>NTKO</cp:lastModifiedBy>
  <dcterms:modified xsi:type="dcterms:W3CDTF">2020-06-19T07:27:46Z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