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ascii="仿宋" w:hAnsi="仿宋" w:eastAsia="仿宋" w:cs="仿宋"/>
          <w:b/>
          <w:bCs/>
          <w:spacing w:val="14"/>
          <w:sz w:val="32"/>
          <w:szCs w:val="32"/>
        </w:rPr>
      </w:pPr>
    </w:p>
    <w:p>
      <w:pPr>
        <w:snapToGrid w:val="0"/>
        <w:spacing w:line="570" w:lineRule="exact"/>
        <w:jc w:val="center"/>
        <w:rPr>
          <w:rFonts w:ascii="仿宋" w:hAnsi="仿宋" w:eastAsia="仿宋" w:cs="仿宋"/>
          <w:b/>
          <w:bCs/>
          <w:spacing w:val="14"/>
          <w:sz w:val="32"/>
          <w:szCs w:val="32"/>
        </w:rPr>
      </w:pPr>
      <w:r>
        <w:rPr>
          <w:rFonts w:hint="eastAsia" w:ascii="仿宋" w:hAnsi="仿宋" w:eastAsia="仿宋" w:cs="仿宋"/>
          <w:b/>
          <w:bCs/>
          <w:sz w:val="32"/>
          <w:szCs w:val="32"/>
        </w:rPr>
        <w:t>盘龙区住建局2020</w:t>
      </w:r>
      <w:bookmarkStart w:id="0" w:name="_GoBack"/>
      <w:r>
        <w:rPr>
          <w:rFonts w:hint="eastAsia" w:ascii="仿宋" w:hAnsi="仿宋" w:eastAsia="仿宋" w:cs="仿宋"/>
          <w:b/>
          <w:bCs/>
          <w:sz w:val="32"/>
          <w:szCs w:val="32"/>
        </w:rPr>
        <w:t>年</w:t>
      </w:r>
      <w:r>
        <w:rPr>
          <w:rFonts w:hint="eastAsia" w:ascii="仿宋" w:hAnsi="仿宋" w:eastAsia="仿宋" w:cs="仿宋"/>
          <w:b/>
          <w:bCs/>
          <w:spacing w:val="14"/>
          <w:sz w:val="32"/>
          <w:szCs w:val="32"/>
        </w:rPr>
        <w:t>北京路北端连接西北绕城高速立交工程经费项目</w:t>
      </w:r>
      <w:bookmarkEnd w:id="0"/>
    </w:p>
    <w:p>
      <w:pPr>
        <w:snapToGrid w:val="0"/>
        <w:spacing w:line="570" w:lineRule="exact"/>
        <w:jc w:val="center"/>
        <w:rPr>
          <w:rFonts w:ascii="仿宋" w:hAnsi="仿宋" w:eastAsia="仿宋" w:cs="仿宋"/>
          <w:spacing w:val="14"/>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项目名称</w:t>
      </w:r>
    </w:p>
    <w:p>
      <w:pPr>
        <w:widowControl/>
        <w:ind w:firstLine="696" w:firstLineChars="200"/>
        <w:jc w:val="left"/>
        <w:rPr>
          <w:rFonts w:ascii="仿宋" w:hAnsi="仿宋" w:eastAsia="仿宋" w:cs="仿宋"/>
          <w:spacing w:val="14"/>
          <w:sz w:val="32"/>
          <w:szCs w:val="32"/>
        </w:rPr>
      </w:pPr>
      <w:r>
        <w:rPr>
          <w:rFonts w:hint="eastAsia" w:ascii="仿宋" w:hAnsi="仿宋" w:eastAsia="仿宋" w:cs="仿宋"/>
          <w:spacing w:val="14"/>
          <w:sz w:val="32"/>
          <w:szCs w:val="32"/>
        </w:rPr>
        <w:t>北京路北端连接西北绕城高速立交工程经费。</w:t>
      </w:r>
    </w:p>
    <w:p>
      <w:pPr>
        <w:widowControl/>
        <w:ind w:firstLine="696" w:firstLineChars="200"/>
        <w:jc w:val="left"/>
        <w:rPr>
          <w:rFonts w:ascii="仿宋" w:hAnsi="仿宋" w:eastAsia="仿宋" w:cs="仿宋"/>
          <w:spacing w:val="14"/>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立项依据</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按照市级下达的《二〇一二年昆明中心城区道路建设白皮书》、昆明市盘龙区发展和改革局《关于对北京路北端连接西北绕城高速立交工程可行性研究报告的批复》（盘发改[2016]55号）、《北京路北端连接西北绕城高速立交工程采用PPP模式实施方案》、《北京路北端连接西北绕城高速立交工程PPP项目物有所值评价报告》、《北京路北端连接西北绕城高速立交工程PPP项目财政可承受能力论证报告》、《关于对&lt;北京路北端连接西北绕城高速立交工程的方案予以审批的请示&gt;的批复》（盘政办复[2016]41号）等政策文件，严格按照基本建设程序实施项目，在资金使用方面遵循专款专用原则，尽量做到厉行节约，杜绝不必要的开支。</w:t>
      </w:r>
    </w:p>
    <w:p>
      <w:pPr>
        <w:widowControl/>
        <w:ind w:firstLine="640" w:firstLineChars="200"/>
        <w:jc w:val="left"/>
        <w:rPr>
          <w:rFonts w:ascii="仿宋" w:hAnsi="仿宋" w:eastAsia="仿宋" w:cs="仿宋"/>
          <w:kern w:val="0"/>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项目实施单位</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单位名称：盘龙区住房和城乡建设局</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组织机构代码：015119258</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地址：昆明市官渡区吴井路65号</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联系电话：66208422</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法人代表：张燕</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经费来源：公共财政预算</w:t>
      </w:r>
    </w:p>
    <w:p>
      <w:pPr>
        <w:widowControl/>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单位概况：一般公共预算单位</w:t>
      </w:r>
    </w:p>
    <w:p>
      <w:pPr>
        <w:widowControl/>
        <w:ind w:firstLine="640" w:firstLineChars="200"/>
        <w:jc w:val="left"/>
        <w:rPr>
          <w:rFonts w:ascii="仿宋" w:hAnsi="仿宋" w:eastAsia="仿宋" w:cs="仿宋"/>
          <w:kern w:val="0"/>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项目基本概况</w:t>
      </w:r>
    </w:p>
    <w:p>
      <w:pPr>
        <w:spacing w:line="360" w:lineRule="auto"/>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北京路北端连接西北绕城高速立交工程项目位于盘龙区龙泉街道辖区内，项目通过对北京路端头向北进行延伸，新建T型交叉口与拟建立交收费主匝道相交，同时新建四条匝道实现北京路与西北绕城高速的完全互通（匝道总长约2968米）；工程设置一处收费站，对过往车辆进行集中收费管理；此外，工程实施还将对东大沟部分河道进行改造。</w:t>
      </w:r>
    </w:p>
    <w:p>
      <w:pPr>
        <w:spacing w:line="360" w:lineRule="auto"/>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北京路北端连接西北绕城高速立交工程由北京路延长线主线、主线收费匝道和四个转向匝道、东大沟改造等主体工程及附属工程组成，具体包括道路工程、桥涵工程、房建工程、排水工程、综合管线工程、交通工程、绿化工程和照明工程。</w:t>
      </w:r>
    </w:p>
    <w:p>
      <w:pPr>
        <w:spacing w:line="360" w:lineRule="auto"/>
        <w:ind w:firstLine="640" w:firstLineChars="200"/>
        <w:jc w:val="left"/>
        <w:rPr>
          <w:rFonts w:ascii="仿宋" w:hAnsi="仿宋" w:eastAsia="仿宋" w:cs="仿宋"/>
          <w:color w:val="000000" w:themeColor="text1"/>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项目实施内容</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协调发改、规划、土地、建设等有关部门，促使各相关前期手续顺利办理；组织初步设计评审工作，协调做好施工图设计及图纸审查工作；协调各管线设计；参与工程现场设计协调；办理规划许可、施工许可等行政审批手续。</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负责编制项目年度用款和工程进度计划；按时编报工程报表；组织开展项目初步设计概算编制，修改工作；组织开展工程施工、监理、设备采购等招投标工作；办理有关工程合同、协议报审及管理；核拨工程预付款、进度款及决算款；组织编制工程结算、竣工决算；配合并参与决算审计工作。</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（3）负责设计、施工、监理单位的协调管理工作；协调处理项目建设过程中出现的各种问题；负责工程质量、安全、工程量核定、组织竣工验收工作。</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（4）建立工程台账，向需查询工程资料的指挥部工作人员及相关部门人员提供台账资料；负责对工程资料进行收集、整理和归档，在工程竣工验收完毕时将工程资料移交档案馆。</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（5）负责施工过程中管线单位的协调工作，召开管线单位协调会，及时解决管线单位提出的问题。对接管线单位的图纸设计、规划审批及工程施工。</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（6）负责协调交警部门在施工期间做好道路周边机动车和非机动车的疏导工作，根据需要，负责办理交通管制手续，保障工程顺利进行。</w:t>
      </w:r>
    </w:p>
    <w:p>
      <w:pPr>
        <w:widowControl/>
        <w:ind w:firstLine="640" w:firstLineChars="200"/>
        <w:jc w:val="left"/>
        <w:rPr>
          <w:rFonts w:ascii="仿宋" w:hAnsi="仿宋" w:eastAsia="仿宋" w:cs="仿宋"/>
          <w:color w:val="000000" w:themeColor="text1"/>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资金安排情况</w:t>
      </w:r>
    </w:p>
    <w:p>
      <w:pPr>
        <w:numPr>
          <w:ilvl w:val="0"/>
          <w:numId w:val="2"/>
        </w:numPr>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资金管理办法。严格按照专项资金的管理制度执行，层层审核、专款专用，无挪用、截留、虚列项目支出等违规情况，支出手续健全，审批严谨，严格执行专项资金管理办法。</w:t>
      </w:r>
    </w:p>
    <w:p>
      <w:pPr>
        <w:numPr>
          <w:ilvl w:val="0"/>
          <w:numId w:val="2"/>
        </w:numPr>
        <w:rPr>
          <w:rFonts w:ascii="仿宋" w:hAnsi="仿宋" w:eastAsia="仿宋" w:cs="仿宋"/>
          <w:b/>
          <w:bCs/>
          <w:kern w:val="0"/>
          <w:sz w:val="32"/>
          <w:szCs w:val="32"/>
        </w:rPr>
      </w:pPr>
      <w:r>
        <w:rPr>
          <w:rFonts w:hint="eastAsia" w:ascii="仿宋" w:hAnsi="仿宋" w:eastAsia="仿宋" w:cs="仿宋"/>
          <w:color w:val="000000" w:themeColor="text1"/>
          <w:sz w:val="32"/>
          <w:szCs w:val="32"/>
        </w:rPr>
        <w:t>资金执行情况。北京路北端连接西北绕城高速立交工程预算收入为5780.26万元；实际支出为2450.12万元。</w:t>
      </w:r>
    </w:p>
    <w:p>
      <w:pPr>
        <w:ind w:left="420"/>
        <w:rPr>
          <w:rFonts w:ascii="仿宋" w:hAnsi="仿宋" w:eastAsia="仿宋" w:cs="仿宋"/>
          <w:b/>
          <w:bCs/>
          <w:kern w:val="0"/>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项目实施计划</w:t>
      </w:r>
    </w:p>
    <w:p>
      <w:pPr>
        <w:widowControl/>
        <w:ind w:left="420" w:leftChars="200" w:firstLine="640" w:firstLineChars="200"/>
        <w:jc w:val="left"/>
        <w:rPr>
          <w:rFonts w:ascii="仿宋" w:hAnsi="仿宋" w:eastAsia="仿宋" w:cs="仿宋"/>
          <w:color w:val="000000" w:themeColor="text1"/>
          <w:sz w:val="32"/>
          <w:szCs w:val="32"/>
        </w:rPr>
      </w:pPr>
      <w:r>
        <w:rPr>
          <w:rFonts w:hint="eastAsia" w:ascii="仿宋" w:hAnsi="仿宋" w:eastAsia="仿宋" w:cs="仿宋"/>
          <w:sz w:val="32"/>
          <w:szCs w:val="32"/>
        </w:rPr>
        <w:t>项目于2017年3月开工建设，现项目已完工，已完成工程进度100%。计划2020年投入使用，开通运营。</w:t>
      </w:r>
      <w:r>
        <w:rPr>
          <w:rFonts w:hint="eastAsia" w:ascii="仿宋" w:hAnsi="仿宋" w:eastAsia="仿宋" w:cs="仿宋"/>
          <w:color w:val="000000" w:themeColor="text1"/>
          <w:sz w:val="32"/>
          <w:szCs w:val="32"/>
        </w:rPr>
        <w:t>按照国家基本建设程序和国家发布的PPP系列指导文件的相关规定，确保北京路北端连接西北绕城高速立交工程PPP项目的顺利实施。进一步完善片区交通,形成快速-主-次-支体化的现代化交通网络,为今后片区的进一步发展提前奠定良好的交通支撑。</w:t>
      </w:r>
    </w:p>
    <w:p>
      <w:pPr>
        <w:widowControl/>
        <w:ind w:left="420" w:leftChars="200" w:firstLine="640" w:firstLineChars="200"/>
        <w:jc w:val="left"/>
        <w:rPr>
          <w:rFonts w:ascii="仿宋" w:hAnsi="仿宋" w:eastAsia="仿宋" w:cs="仿宋"/>
          <w:color w:val="000000" w:themeColor="text1"/>
          <w:sz w:val="32"/>
          <w:szCs w:val="32"/>
        </w:rPr>
      </w:pPr>
    </w:p>
    <w:p>
      <w:pPr>
        <w:widowControl/>
        <w:numPr>
          <w:ilvl w:val="0"/>
          <w:numId w:val="1"/>
        </w:numPr>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rPr>
        <w:t>项目实施成效</w:t>
      </w:r>
    </w:p>
    <w:p>
      <w:pPr>
        <w:widowControl/>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已完成工程进度100%，确保工程质量，符合国家标准和技术规范，严格按合同约定拨付资金，严格控制项目投资，对于道路周边市民反映问题积极处理，按照预期目标实施，未出现偏离的情况。北京路北端连接西北绕城高速立交工程项目是盘龙区重要的市政道路，采用 PPP 模式是我区对政府和社会资本的合作方式重要探索，对于促进我区转变政府职能、促进投资体制改革、加快基础设施建设影响深远。采用PPP模式也提高整体社会效益和经济效益，促成公共利益最大化。</w:t>
      </w:r>
    </w:p>
    <w:p>
      <w:pPr>
        <w:widowControl/>
        <w:numPr>
          <w:ilvl w:val="0"/>
          <w:numId w:val="1"/>
        </w:numPr>
        <w:ind w:firstLine="602" w:firstLineChars="200"/>
        <w:jc w:val="left"/>
        <w:rPr>
          <w:rFonts w:ascii="仿宋" w:hAnsi="仿宋" w:eastAsia="仿宋" w:cs="仿宋"/>
          <w:b/>
          <w:bCs/>
          <w:kern w:val="0"/>
          <w:sz w:val="30"/>
          <w:szCs w:val="30"/>
        </w:rPr>
      </w:pPr>
      <w:r>
        <w:rPr>
          <w:rFonts w:hint="eastAsia" w:ascii="仿宋" w:hAnsi="仿宋" w:eastAsia="仿宋" w:cs="仿宋"/>
          <w:b/>
          <w:bCs/>
          <w:kern w:val="0"/>
          <w:sz w:val="30"/>
          <w:szCs w:val="30"/>
        </w:rPr>
        <w:t>项目绩效目标表</w:t>
      </w:r>
    </w:p>
    <w:tbl>
      <w:tblPr>
        <w:tblStyle w:val="5"/>
        <w:tblW w:w="10080" w:type="dxa"/>
        <w:tblInd w:w="-876" w:type="dxa"/>
        <w:tblLayout w:type="fixed"/>
        <w:tblCellMar>
          <w:top w:w="15" w:type="dxa"/>
          <w:left w:w="15" w:type="dxa"/>
          <w:bottom w:w="15" w:type="dxa"/>
          <w:right w:w="15" w:type="dxa"/>
        </w:tblCellMar>
      </w:tblPr>
      <w:tblGrid>
        <w:gridCol w:w="1440"/>
        <w:gridCol w:w="920"/>
        <w:gridCol w:w="722"/>
        <w:gridCol w:w="933"/>
        <w:gridCol w:w="967"/>
        <w:gridCol w:w="3075"/>
        <w:gridCol w:w="2023"/>
      </w:tblGrid>
      <w:tr>
        <w:tblPrEx>
          <w:tblLayout w:type="fixed"/>
          <w:tblCellMar>
            <w:top w:w="15" w:type="dxa"/>
            <w:left w:w="15" w:type="dxa"/>
            <w:bottom w:w="15" w:type="dxa"/>
            <w:right w:w="15" w:type="dxa"/>
          </w:tblCellMar>
        </w:tblPrEx>
        <w:trPr>
          <w:trHeight w:val="845" w:hRule="atLeast"/>
        </w:trPr>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指标名称</w:t>
            </w:r>
          </w:p>
        </w:tc>
        <w:tc>
          <w:tcPr>
            <w:tcW w:w="920" w:type="dxa"/>
            <w:tcBorders>
              <w:top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指标性质</w:t>
            </w:r>
          </w:p>
        </w:tc>
        <w:tc>
          <w:tcPr>
            <w:tcW w:w="722" w:type="dxa"/>
            <w:tcBorders>
              <w:top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指标值</w:t>
            </w:r>
          </w:p>
        </w:tc>
        <w:tc>
          <w:tcPr>
            <w:tcW w:w="933" w:type="dxa"/>
            <w:tcBorders>
              <w:top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度量单位</w:t>
            </w:r>
          </w:p>
        </w:tc>
        <w:tc>
          <w:tcPr>
            <w:tcW w:w="967" w:type="dxa"/>
            <w:tcBorders>
              <w:top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指标类型</w:t>
            </w:r>
          </w:p>
        </w:tc>
        <w:tc>
          <w:tcPr>
            <w:tcW w:w="3075" w:type="dxa"/>
            <w:tcBorders>
              <w:top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绩效指标值设定依据及数据来源</w:t>
            </w:r>
          </w:p>
        </w:tc>
        <w:tc>
          <w:tcPr>
            <w:tcW w:w="2023" w:type="dxa"/>
            <w:tcBorders>
              <w:top w:val="single" w:color="000000" w:sz="12" w:space="0"/>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说明</w:t>
            </w:r>
          </w:p>
        </w:tc>
      </w:tr>
      <w:tr>
        <w:tblPrEx>
          <w:tblLayout w:type="fixed"/>
          <w:tblCellMar>
            <w:top w:w="15" w:type="dxa"/>
            <w:left w:w="15" w:type="dxa"/>
            <w:bottom w:w="15" w:type="dxa"/>
            <w:right w:w="15" w:type="dxa"/>
          </w:tblCellMar>
        </w:tblPrEx>
        <w:trPr>
          <w:trHeight w:val="285"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b/>
                <w:color w:val="000000"/>
                <w:sz w:val="18"/>
                <w:szCs w:val="18"/>
              </w:rPr>
            </w:pPr>
            <w:r>
              <w:rPr>
                <w:rFonts w:hint="eastAsia" w:ascii="仿宋" w:hAnsi="仿宋" w:eastAsia="仿宋" w:cs="仿宋"/>
                <w:b/>
                <w:color w:val="000000"/>
                <w:kern w:val="0"/>
                <w:sz w:val="18"/>
                <w:szCs w:val="18"/>
              </w:rPr>
              <w:t>产出指标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284"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 xml:space="preserve">  数量指标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1257"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三级指标：完成北京路北端连接西北绕城高速立交工程项目建设</w:t>
            </w:r>
          </w:p>
        </w:tc>
        <w:tc>
          <w:tcPr>
            <w:tcW w:w="920"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722"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100</w:t>
            </w:r>
          </w:p>
        </w:tc>
        <w:tc>
          <w:tcPr>
            <w:tcW w:w="933"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967"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定量指标</w:t>
            </w:r>
          </w:p>
        </w:tc>
        <w:tc>
          <w:tcPr>
            <w:tcW w:w="3075"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《北京路北端连接西北绕城高速立交工程可行性研究报告的批复》（盘发改投资[2016]55号）</w:t>
            </w:r>
          </w:p>
        </w:tc>
        <w:tc>
          <w:tcPr>
            <w:tcW w:w="2023"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按照立项批复开展项目建设</w:t>
            </w:r>
          </w:p>
        </w:tc>
      </w:tr>
      <w:tr>
        <w:tblPrEx>
          <w:tblLayout w:type="fixed"/>
          <w:tblCellMar>
            <w:top w:w="15" w:type="dxa"/>
            <w:left w:w="15" w:type="dxa"/>
            <w:bottom w:w="15" w:type="dxa"/>
            <w:right w:w="15" w:type="dxa"/>
          </w:tblCellMar>
        </w:tblPrEx>
        <w:trPr>
          <w:trHeight w:val="395"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 xml:space="preserve">  质量指标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285"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三级指标：质量符合国家标准和技术规范</w:t>
            </w:r>
          </w:p>
        </w:tc>
        <w:tc>
          <w:tcPr>
            <w:tcW w:w="920"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722"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100%</w:t>
            </w:r>
          </w:p>
        </w:tc>
        <w:tc>
          <w:tcPr>
            <w:tcW w:w="933"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967"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定量指标</w:t>
            </w:r>
          </w:p>
        </w:tc>
        <w:tc>
          <w:tcPr>
            <w:tcW w:w="3075"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按照《北京路北端连接西北绕城高速立交工程PPP实施方案》明确的技术标准进行建设</w:t>
            </w:r>
          </w:p>
        </w:tc>
        <w:tc>
          <w:tcPr>
            <w:tcW w:w="2023"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按照明确的技术标准建设并验收合格</w:t>
            </w:r>
          </w:p>
        </w:tc>
      </w:tr>
      <w:tr>
        <w:tblPrEx>
          <w:tblLayout w:type="fixed"/>
          <w:tblCellMar>
            <w:top w:w="15" w:type="dxa"/>
            <w:left w:w="15" w:type="dxa"/>
            <w:bottom w:w="15" w:type="dxa"/>
            <w:right w:w="15" w:type="dxa"/>
          </w:tblCellMar>
        </w:tblPrEx>
        <w:trPr>
          <w:trHeight w:val="317"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 xml:space="preserve"> 时效指标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796"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三级指标：完成项目建设</w:t>
            </w:r>
          </w:p>
        </w:tc>
        <w:tc>
          <w:tcPr>
            <w:tcW w:w="920"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&lt;=</w:t>
            </w:r>
          </w:p>
        </w:tc>
        <w:tc>
          <w:tcPr>
            <w:tcW w:w="722"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2</w:t>
            </w:r>
          </w:p>
        </w:tc>
        <w:tc>
          <w:tcPr>
            <w:tcW w:w="933"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w:t>
            </w:r>
          </w:p>
        </w:tc>
        <w:tc>
          <w:tcPr>
            <w:tcW w:w="967"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定量指标</w:t>
            </w:r>
          </w:p>
        </w:tc>
        <w:tc>
          <w:tcPr>
            <w:tcW w:w="3075"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按照《北京路北端连接西北绕城高速立交工程PPP实施方案》开展建设</w:t>
            </w:r>
          </w:p>
        </w:tc>
        <w:tc>
          <w:tcPr>
            <w:tcW w:w="2023"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按照实施方案明确的建设周期开展</w:t>
            </w:r>
          </w:p>
        </w:tc>
      </w:tr>
      <w:tr>
        <w:tblPrEx>
          <w:tblLayout w:type="fixed"/>
          <w:tblCellMar>
            <w:top w:w="15" w:type="dxa"/>
            <w:left w:w="15" w:type="dxa"/>
            <w:bottom w:w="15" w:type="dxa"/>
            <w:right w:w="15" w:type="dxa"/>
          </w:tblCellMar>
        </w:tblPrEx>
        <w:trPr>
          <w:trHeight w:val="90"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成本指标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1173"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三级指标：严格控制项目全生命周期政府支出</w:t>
            </w:r>
          </w:p>
        </w:tc>
        <w:tc>
          <w:tcPr>
            <w:tcW w:w="920"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&lt;</w:t>
            </w:r>
          </w:p>
        </w:tc>
        <w:tc>
          <w:tcPr>
            <w:tcW w:w="722"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89240.3</w:t>
            </w:r>
          </w:p>
        </w:tc>
        <w:tc>
          <w:tcPr>
            <w:tcW w:w="933"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万元</w:t>
            </w:r>
          </w:p>
        </w:tc>
        <w:tc>
          <w:tcPr>
            <w:tcW w:w="967"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定量指标</w:t>
            </w:r>
          </w:p>
        </w:tc>
        <w:tc>
          <w:tcPr>
            <w:tcW w:w="3075"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按照《北京路北端连接西北绕城高速立交工程PPP实施方案》</w:t>
            </w:r>
          </w:p>
        </w:tc>
        <w:tc>
          <w:tcPr>
            <w:tcW w:w="2023"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严控全生命周期成本不超过89240.3万元</w:t>
            </w:r>
          </w:p>
        </w:tc>
      </w:tr>
      <w:tr>
        <w:tblPrEx>
          <w:tblLayout w:type="fixed"/>
          <w:tblCellMar>
            <w:top w:w="15" w:type="dxa"/>
            <w:left w:w="15" w:type="dxa"/>
            <w:bottom w:w="15" w:type="dxa"/>
            <w:right w:w="15" w:type="dxa"/>
          </w:tblCellMar>
        </w:tblPrEx>
        <w:trPr>
          <w:trHeight w:val="285"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效益指标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440"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 xml:space="preserve"> 社会效益指标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763"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三级指标：改善出行条件</w:t>
            </w:r>
          </w:p>
        </w:tc>
        <w:tc>
          <w:tcPr>
            <w:tcW w:w="920"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722"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100</w:t>
            </w:r>
          </w:p>
        </w:tc>
        <w:tc>
          <w:tcPr>
            <w:tcW w:w="933"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967"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定量指标</w:t>
            </w:r>
          </w:p>
        </w:tc>
        <w:tc>
          <w:tcPr>
            <w:tcW w:w="3075"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切实改善出行条件</w:t>
            </w:r>
          </w:p>
        </w:tc>
        <w:tc>
          <w:tcPr>
            <w:tcW w:w="2023"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切实改善出行条件</w:t>
            </w:r>
          </w:p>
        </w:tc>
      </w:tr>
      <w:tr>
        <w:tblPrEx>
          <w:tblLayout w:type="fixed"/>
          <w:tblCellMar>
            <w:top w:w="15" w:type="dxa"/>
            <w:left w:w="15" w:type="dxa"/>
            <w:bottom w:w="15" w:type="dxa"/>
            <w:right w:w="15" w:type="dxa"/>
          </w:tblCellMar>
        </w:tblPrEx>
        <w:trPr>
          <w:trHeight w:val="306"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满意度指标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421"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rPr>
              <w:t xml:space="preserve">  服务对象满意度指标</w:t>
            </w:r>
          </w:p>
        </w:tc>
        <w:tc>
          <w:tcPr>
            <w:tcW w:w="920"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722"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33" w:type="dxa"/>
            <w:tcBorders>
              <w:bottom w:val="single" w:color="000000" w:sz="12" w:space="0"/>
              <w:right w:val="single" w:color="000000" w:sz="12" w:space="0"/>
            </w:tcBorders>
            <w:shd w:val="clear" w:color="auto" w:fill="auto"/>
            <w:vAlign w:val="center"/>
          </w:tcPr>
          <w:p>
            <w:pPr>
              <w:jc w:val="center"/>
              <w:rPr>
                <w:rFonts w:ascii="仿宋" w:hAnsi="仿宋" w:eastAsia="仿宋" w:cs="仿宋"/>
                <w:color w:val="000000"/>
                <w:sz w:val="18"/>
                <w:szCs w:val="18"/>
              </w:rPr>
            </w:pPr>
          </w:p>
        </w:tc>
        <w:tc>
          <w:tcPr>
            <w:tcW w:w="967"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3075"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c>
          <w:tcPr>
            <w:tcW w:w="2023" w:type="dxa"/>
            <w:tcBorders>
              <w:bottom w:val="single" w:color="000000" w:sz="12" w:space="0"/>
              <w:right w:val="single" w:color="000000" w:sz="12" w:space="0"/>
            </w:tcBorders>
            <w:shd w:val="clear" w:color="auto" w:fill="auto"/>
            <w:vAlign w:val="center"/>
          </w:tcPr>
          <w:p>
            <w:pPr>
              <w:jc w:val="left"/>
              <w:rPr>
                <w:rFonts w:ascii="仿宋" w:hAnsi="仿宋" w:eastAsia="仿宋" w:cs="仿宋"/>
                <w:color w:val="000000"/>
                <w:sz w:val="18"/>
                <w:szCs w:val="18"/>
              </w:rPr>
            </w:pPr>
          </w:p>
        </w:tc>
      </w:tr>
      <w:tr>
        <w:tblPrEx>
          <w:tblLayout w:type="fixed"/>
          <w:tblCellMar>
            <w:top w:w="15" w:type="dxa"/>
            <w:left w:w="15" w:type="dxa"/>
            <w:bottom w:w="15" w:type="dxa"/>
            <w:right w:w="15" w:type="dxa"/>
          </w:tblCellMar>
        </w:tblPrEx>
        <w:trPr>
          <w:trHeight w:val="1086" w:hRule="atLeast"/>
        </w:trPr>
        <w:tc>
          <w:tcPr>
            <w:tcW w:w="1440" w:type="dxa"/>
            <w:tcBorders>
              <w:left w:val="single" w:color="000000" w:sz="12" w:space="0"/>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 xml:space="preserve"> 　 周边居民满意度</w:t>
            </w:r>
          </w:p>
        </w:tc>
        <w:tc>
          <w:tcPr>
            <w:tcW w:w="920"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&gt;=</w:t>
            </w:r>
          </w:p>
        </w:tc>
        <w:tc>
          <w:tcPr>
            <w:tcW w:w="722"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70</w:t>
            </w:r>
          </w:p>
        </w:tc>
        <w:tc>
          <w:tcPr>
            <w:tcW w:w="933" w:type="dxa"/>
            <w:tcBorders>
              <w:bottom w:val="single" w:color="000000" w:sz="12" w:space="0"/>
              <w:right w:val="single" w:color="000000" w:sz="12"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967"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定量指标</w:t>
            </w:r>
          </w:p>
        </w:tc>
        <w:tc>
          <w:tcPr>
            <w:tcW w:w="3075"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周边市民满意度，数据来源于市民的口碑</w:t>
            </w:r>
          </w:p>
        </w:tc>
        <w:tc>
          <w:tcPr>
            <w:tcW w:w="2023" w:type="dxa"/>
            <w:tcBorders>
              <w:bottom w:val="single" w:color="000000" w:sz="12" w:space="0"/>
              <w:right w:val="single" w:color="000000" w:sz="12" w:space="0"/>
            </w:tcBorders>
            <w:shd w:val="clear" w:color="auto" w:fill="auto"/>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周边市民满意度大于70%</w:t>
            </w:r>
          </w:p>
        </w:tc>
      </w:tr>
    </w:tbl>
    <w:p>
      <w:pPr>
        <w:rPr>
          <w:rFonts w:ascii="仿宋" w:hAnsi="仿宋" w:eastAsia="仿宋" w:cs="仿宋"/>
        </w:rPr>
      </w:pPr>
    </w:p>
    <w:sectPr>
      <w:headerReference r:id="rId3" w:type="default"/>
      <w:footerReference r:id="rId5"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MingLiU_HKSCS">
    <w:panose1 w:val="02020500000000000000"/>
    <w:charset w:val="88"/>
    <w:family w:val="roman"/>
    <w:pitch w:val="default"/>
    <w:sig w:usb0="A00002FF" w:usb1="3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Times">
    <w:altName w:val="Times New Roman"/>
    <w:panose1 w:val="02020603050405020304"/>
    <w:charset w:val="00"/>
    <w:family w:val="auto"/>
    <w:pitch w:val="default"/>
    <w:sig w:usb0="00000000" w:usb1="00000000" w:usb2="00000000" w:usb3="00000000" w:csb0="00000093"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仿宋_gb2013">
    <w:altName w:val="宋体"/>
    <w:panose1 w:val="00000000000000000000"/>
    <w:charset w:val="86"/>
    <w:family w:val="roman"/>
    <w:pitch w:val="default"/>
    <w:sig w:usb0="00000000"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Cambria Math">
    <w:panose1 w:val="02040503050406030204"/>
    <w:charset w:val="00"/>
    <w:family w:val="auto"/>
    <w:pitch w:val="default"/>
    <w:sig w:usb0="E00002FF" w:usb1="420024FF" w:usb2="00000000" w:usb3="00000000" w:csb0="2000019F"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0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MingLiU_HKSCS">
    <w:panose1 w:val="02020500000000000000"/>
    <w:charset w:val="88"/>
    <w:family w:val="auto"/>
    <w:pitch w:val="default"/>
    <w:sig w:usb0="A00002FF" w:usb1="3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B62524"/>
    <w:multiLevelType w:val="singleLevel"/>
    <w:tmpl w:val="5EB62524"/>
    <w:lvl w:ilvl="0" w:tentative="0">
      <w:start w:val="1"/>
      <w:numFmt w:val="chineseCounting"/>
      <w:suff w:val="nothing"/>
      <w:lvlText w:val="（%1）"/>
      <w:lvlJc w:val="left"/>
      <w:pPr>
        <w:ind w:left="0" w:firstLine="420"/>
      </w:pPr>
      <w:rPr>
        <w:rFonts w:hint="eastAsia"/>
      </w:rPr>
    </w:lvl>
  </w:abstractNum>
  <w:abstractNum w:abstractNumId="1">
    <w:nsid w:val="650CB686"/>
    <w:multiLevelType w:val="singleLevel"/>
    <w:tmpl w:val="650CB68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BC58FF"/>
    <w:rsid w:val="00447358"/>
    <w:rsid w:val="00B93844"/>
    <w:rsid w:val="0DE34248"/>
    <w:rsid w:val="14766600"/>
    <w:rsid w:val="165D625B"/>
    <w:rsid w:val="18922F41"/>
    <w:rsid w:val="1A16784B"/>
    <w:rsid w:val="1D0609AC"/>
    <w:rsid w:val="201B2C8D"/>
    <w:rsid w:val="20703641"/>
    <w:rsid w:val="253527BB"/>
    <w:rsid w:val="2C605A0B"/>
    <w:rsid w:val="2F3515F2"/>
    <w:rsid w:val="42C33F08"/>
    <w:rsid w:val="48192EC6"/>
    <w:rsid w:val="59AA5498"/>
    <w:rsid w:val="5EBC58FF"/>
    <w:rsid w:val="60BC2E56"/>
    <w:rsid w:val="627A50E2"/>
    <w:rsid w:val="747C7160"/>
    <w:rsid w:val="753326EA"/>
    <w:rsid w:val="7C3A3F58"/>
    <w:rsid w:val="7D97064F"/>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2165</Words>
  <Characters>284</Characters>
  <Lines>2</Lines>
  <Paragraphs>4</Paragraphs>
  <TotalTime>0</TotalTime>
  <ScaleCrop>false</ScaleCrop>
  <LinksUpToDate>false</LinksUpToDate>
  <CharactersWithSpaces>2445</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2020-07-13T03:26:00Z</dcterms:created>
  <dc:creator>user</dc:creator>
  <cp:lastModifiedBy>user</cp:lastModifiedBy>
  <dcterms:modified xsi:type="dcterms:W3CDTF">2020-07-13T07:23:12Z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