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idowControl/>
        <w:ind w:left="600"/>
        <w:jc w:val="left"/>
        <w:rPr>
          <w:rFonts w:hint="default" w:ascii="Times New Roman" w:hAnsi="Times New Roman" w:eastAsia="黑体" w:cs="Times New Roman"/>
          <w:kern w:val="0"/>
          <w:sz w:val="30"/>
          <w:szCs w:val="30"/>
        </w:rPr>
      </w:pPr>
    </w:p>
    <w:p>
      <w:pPr>
        <w:snapToGrid w:val="0"/>
        <w:spacing w:line="570" w:lineRule="exact"/>
        <w:jc w:val="center"/>
        <w:rPr>
          <w:rFonts w:hint="default" w:ascii="Times New Roman" w:hAnsi="Times New Roman" w:eastAsia="方正小标宋简体" w:cs="Times New Roman"/>
          <w:sz w:val="36"/>
          <w:szCs w:val="36"/>
          <w:lang w:val="en-US" w:eastAsia="zh-CN"/>
        </w:rPr>
      </w:pPr>
      <w:r>
        <w:rPr>
          <w:rFonts w:hint="default" w:ascii="Times New Roman" w:hAnsi="Times New Roman" w:eastAsia="方正小标宋简体" w:cs="Times New Roman"/>
          <w:sz w:val="36"/>
          <w:szCs w:val="36"/>
          <w:lang w:val="en-US" w:eastAsia="zh-CN"/>
        </w:rPr>
        <w:t>昆明市盘龙区人民政府金辰街道办事处</w:t>
      </w:r>
    </w:p>
    <w:p>
      <w:pPr>
        <w:snapToGrid w:val="0"/>
        <w:spacing w:line="570" w:lineRule="exact"/>
        <w:jc w:val="center"/>
        <w:rPr>
          <w:rFonts w:hint="default" w:ascii="Times New Roman" w:hAnsi="Times New Roman" w:eastAsia="方正小标宋简体" w:cs="Times New Roman"/>
          <w:sz w:val="36"/>
          <w:szCs w:val="36"/>
          <w:lang w:val="en-US" w:eastAsia="zh-CN"/>
        </w:rPr>
      </w:pPr>
      <w:r>
        <w:rPr>
          <w:rFonts w:hint="default" w:ascii="Times New Roman" w:hAnsi="Times New Roman" w:eastAsia="方正小标宋简体" w:cs="Times New Roman"/>
          <w:sz w:val="36"/>
          <w:szCs w:val="36"/>
          <w:lang w:val="en-US" w:eastAsia="zh-CN"/>
        </w:rPr>
        <w:t>2020年</w:t>
      </w:r>
      <w:r>
        <w:rPr>
          <w:rFonts w:hint="eastAsia" w:ascii="Times New Roman" w:hAnsi="Times New Roman" w:eastAsia="方正小标宋简体" w:cs="Times New Roman"/>
          <w:sz w:val="36"/>
          <w:szCs w:val="36"/>
          <w:lang w:val="en-US" w:eastAsia="zh-CN"/>
        </w:rPr>
        <w:t>“</w:t>
      </w:r>
      <w:r>
        <w:rPr>
          <w:rFonts w:hint="default" w:ascii="Times New Roman" w:hAnsi="Times New Roman" w:eastAsia="方正小标宋简体" w:cs="Times New Roman"/>
          <w:sz w:val="36"/>
          <w:szCs w:val="36"/>
          <w:lang w:val="en-US" w:eastAsia="zh-CN"/>
        </w:rPr>
        <w:t>街道吹哨，部门报到</w:t>
      </w:r>
      <w:r>
        <w:rPr>
          <w:rFonts w:hint="eastAsia" w:ascii="Times New Roman" w:hAnsi="Times New Roman" w:eastAsia="方正小标宋简体" w:cs="Times New Roman"/>
          <w:sz w:val="36"/>
          <w:szCs w:val="36"/>
          <w:lang w:val="en-US" w:eastAsia="zh-CN"/>
        </w:rPr>
        <w:t>”</w:t>
      </w:r>
      <w:r>
        <w:rPr>
          <w:rFonts w:hint="default" w:ascii="Times New Roman" w:hAnsi="Times New Roman" w:eastAsia="方正小标宋简体" w:cs="Times New Roman"/>
          <w:sz w:val="36"/>
          <w:szCs w:val="36"/>
          <w:lang w:val="en-US" w:eastAsia="zh-CN"/>
        </w:rPr>
        <w:t>工作经费项目</w:t>
      </w:r>
    </w:p>
    <w:p>
      <w:pPr>
        <w:snapToGrid w:val="0"/>
        <w:spacing w:line="570" w:lineRule="exact"/>
        <w:jc w:val="center"/>
        <w:rPr>
          <w:rFonts w:hint="default" w:ascii="Times New Roman" w:hAnsi="Times New Roman" w:eastAsia="方正小标宋简体" w:cs="Times New Roman"/>
          <w:sz w:val="36"/>
          <w:szCs w:val="36"/>
          <w:lang w:val="en-US" w:eastAsia="zh-CN"/>
        </w:rPr>
      </w:pPr>
    </w:p>
    <w:p>
      <w:pPr>
        <w:widowControl/>
        <w:numPr>
          <w:ilvl w:val="0"/>
          <w:numId w:val="0"/>
        </w:numPr>
        <w:ind w:firstLine="600" w:firstLineChars="200"/>
        <w:jc w:val="left"/>
        <w:rPr>
          <w:rFonts w:hint="default" w:ascii="Times New Roman" w:hAnsi="Times New Roman" w:eastAsia="黑体" w:cs="Times New Roman"/>
          <w:kern w:val="0"/>
          <w:sz w:val="30"/>
          <w:szCs w:val="30"/>
        </w:rPr>
      </w:pPr>
      <w:r>
        <w:rPr>
          <w:rFonts w:hint="eastAsia" w:ascii="Times New Roman" w:hAnsi="Times New Roman" w:eastAsia="黑体" w:cs="Times New Roman"/>
          <w:kern w:val="0"/>
          <w:sz w:val="30"/>
          <w:szCs w:val="30"/>
          <w:lang w:val="en-US" w:eastAsia="zh-CN"/>
        </w:rPr>
        <w:t>一、</w:t>
      </w:r>
      <w:r>
        <w:rPr>
          <w:rFonts w:hint="default" w:ascii="Times New Roman" w:hAnsi="Times New Roman" w:eastAsia="黑体" w:cs="Times New Roman"/>
          <w:kern w:val="0"/>
          <w:sz w:val="30"/>
          <w:szCs w:val="30"/>
        </w:rPr>
        <w:t>项目名称</w:t>
      </w:r>
    </w:p>
    <w:p>
      <w:pPr>
        <w:widowControl/>
        <w:ind w:firstLine="600" w:firstLineChars="200"/>
        <w:jc w:val="left"/>
        <w:rPr>
          <w:rFonts w:hint="default" w:ascii="Times New Roman" w:hAnsi="Times New Roman" w:eastAsia="仿宋_GB2312" w:cs="Times New Roman"/>
          <w:kern w:val="0"/>
          <w:sz w:val="30"/>
          <w:szCs w:val="30"/>
          <w:lang w:eastAsia="zh-CN"/>
        </w:rPr>
      </w:pPr>
      <w:r>
        <w:rPr>
          <w:rFonts w:hint="eastAsia" w:ascii="Times New Roman" w:hAnsi="Times New Roman" w:eastAsia="仿宋_GB2312" w:cs="Times New Roman"/>
          <w:kern w:val="0"/>
          <w:sz w:val="30"/>
          <w:szCs w:val="30"/>
          <w:lang w:val="en-US" w:eastAsia="zh-CN"/>
        </w:rPr>
        <w:t>项目名称：“</w:t>
      </w:r>
      <w:r>
        <w:rPr>
          <w:rFonts w:hint="default" w:ascii="Times New Roman" w:hAnsi="Times New Roman" w:eastAsia="仿宋_GB2312" w:cs="Times New Roman"/>
          <w:kern w:val="0"/>
          <w:sz w:val="30"/>
          <w:szCs w:val="30"/>
          <w:lang w:val="en-US" w:eastAsia="zh-CN"/>
        </w:rPr>
        <w:t>街道吹哨，部门报到</w:t>
      </w:r>
      <w:r>
        <w:rPr>
          <w:rFonts w:hint="eastAsia" w:ascii="Times New Roman" w:hAnsi="Times New Roman" w:eastAsia="仿宋_GB2312" w:cs="Times New Roman"/>
          <w:kern w:val="0"/>
          <w:sz w:val="30"/>
          <w:szCs w:val="30"/>
          <w:lang w:val="en-US" w:eastAsia="zh-CN"/>
        </w:rPr>
        <w:t>”</w:t>
      </w:r>
      <w:r>
        <w:rPr>
          <w:rFonts w:hint="default" w:ascii="Times New Roman" w:hAnsi="Times New Roman" w:eastAsia="仿宋_GB2312" w:cs="Times New Roman"/>
          <w:kern w:val="0"/>
          <w:sz w:val="30"/>
          <w:szCs w:val="30"/>
          <w:lang w:val="en-US" w:eastAsia="zh-CN"/>
        </w:rPr>
        <w:t xml:space="preserve">工作经费 </w:t>
      </w:r>
    </w:p>
    <w:p>
      <w:pPr>
        <w:widowControl/>
        <w:numPr>
          <w:ilvl w:val="0"/>
          <w:numId w:val="0"/>
        </w:numPr>
        <w:ind w:firstLine="600" w:firstLineChars="200"/>
        <w:jc w:val="left"/>
        <w:rPr>
          <w:rFonts w:hint="default" w:ascii="Times New Roman" w:hAnsi="Times New Roman" w:eastAsia="黑体" w:cs="Times New Roman"/>
          <w:kern w:val="0"/>
          <w:sz w:val="30"/>
          <w:szCs w:val="30"/>
        </w:rPr>
      </w:pPr>
      <w:r>
        <w:rPr>
          <w:rFonts w:hint="eastAsia" w:ascii="Times New Roman" w:hAnsi="Times New Roman" w:eastAsia="黑体" w:cs="Times New Roman"/>
          <w:kern w:val="0"/>
          <w:sz w:val="30"/>
          <w:szCs w:val="30"/>
          <w:lang w:val="en-US" w:eastAsia="zh-CN"/>
        </w:rPr>
        <w:t>二、</w:t>
      </w:r>
      <w:r>
        <w:rPr>
          <w:rFonts w:hint="default" w:ascii="Times New Roman" w:hAnsi="Times New Roman" w:eastAsia="黑体" w:cs="Times New Roman"/>
          <w:kern w:val="0"/>
          <w:sz w:val="30"/>
          <w:szCs w:val="30"/>
        </w:rPr>
        <w:t>立项依据</w:t>
      </w:r>
    </w:p>
    <w:p>
      <w:pPr>
        <w:widowControl/>
        <w:ind w:firstLine="640" w:firstLineChars="200"/>
        <w:jc w:val="left"/>
        <w:rPr>
          <w:rFonts w:hint="default" w:ascii="Times New Roman" w:hAnsi="Times New Roman" w:eastAsia="仿宋_GB2312" w:cs="Times New Roman"/>
          <w:kern w:val="0"/>
          <w:sz w:val="30"/>
          <w:szCs w:val="30"/>
          <w:lang w:eastAsia="zh-CN"/>
        </w:rPr>
      </w:pPr>
      <w:r>
        <w:rPr>
          <w:rFonts w:hint="default" w:ascii="Times New Roman" w:hAnsi="Times New Roman" w:eastAsia="仿宋_GB2312" w:cs="Times New Roman"/>
          <w:color w:val="000000"/>
          <w:kern w:val="0"/>
          <w:sz w:val="32"/>
          <w:szCs w:val="32"/>
          <w:lang w:val="en-US" w:eastAsia="zh-CN"/>
        </w:rPr>
        <w:t>结合金辰街道办事处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《盘龙区关于党建引领基层治理推动实现”街道吹哨、部门报到“实施方案》、金辰街道2020年党建工作计划、昆明市盘龙区市容环境整治提升2019-2020年行动方案、社会事务科2019年工作总结及2020年工作计划、《全面深化五级治理工作实施意见》盘通【2014】10号</w:t>
      </w:r>
      <w:r>
        <w:rPr>
          <w:rFonts w:hint="default" w:ascii="Times New Roman" w:hAnsi="Times New Roman" w:eastAsia="仿宋_GB2312" w:cs="Times New Roman"/>
          <w:sz w:val="32"/>
          <w:szCs w:val="32"/>
        </w:rPr>
        <w:t>等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材料，</w:t>
      </w:r>
      <w:r>
        <w:rPr>
          <w:rFonts w:hint="default" w:ascii="Times New Roman" w:hAnsi="Times New Roman" w:eastAsia="仿宋_GB2312" w:cs="Times New Roman"/>
          <w:color w:val="000000"/>
          <w:kern w:val="0"/>
          <w:sz w:val="32"/>
          <w:szCs w:val="32"/>
          <w:lang w:val="en-US" w:eastAsia="zh-CN"/>
        </w:rPr>
        <w:t>对金辰街道办事处2020年度</w:t>
      </w:r>
      <w:r>
        <w:rPr>
          <w:rFonts w:hint="eastAsia" w:ascii="Times New Roman" w:hAnsi="Times New Roman" w:eastAsia="仿宋_GB2312" w:cs="Times New Roman"/>
          <w:kern w:val="0"/>
          <w:sz w:val="30"/>
          <w:szCs w:val="30"/>
          <w:lang w:val="en-US" w:eastAsia="zh-CN"/>
        </w:rPr>
        <w:t>“</w:t>
      </w:r>
      <w:r>
        <w:rPr>
          <w:rFonts w:hint="default" w:ascii="Times New Roman" w:hAnsi="Times New Roman" w:eastAsia="仿宋_GB2312" w:cs="Times New Roman"/>
          <w:kern w:val="0"/>
          <w:sz w:val="30"/>
          <w:szCs w:val="30"/>
          <w:lang w:val="en-US" w:eastAsia="zh-CN"/>
        </w:rPr>
        <w:t>街道吹哨，部门报到</w:t>
      </w:r>
      <w:r>
        <w:rPr>
          <w:rFonts w:hint="eastAsia" w:ascii="Times New Roman" w:hAnsi="Times New Roman" w:eastAsia="仿宋_GB2312" w:cs="Times New Roman"/>
          <w:kern w:val="0"/>
          <w:sz w:val="30"/>
          <w:szCs w:val="30"/>
          <w:lang w:val="en-US" w:eastAsia="zh-CN"/>
        </w:rPr>
        <w:t>”</w:t>
      </w:r>
      <w:r>
        <w:rPr>
          <w:rFonts w:hint="default" w:ascii="Times New Roman" w:hAnsi="Times New Roman" w:eastAsia="仿宋_GB2312" w:cs="Times New Roman"/>
          <w:color w:val="000000"/>
          <w:kern w:val="0"/>
          <w:sz w:val="32"/>
          <w:szCs w:val="32"/>
          <w:lang w:val="en-US" w:eastAsia="zh-CN"/>
        </w:rPr>
        <w:t>工作绩效目标进行总规划，制定工作计划方案，确定实施的发展方向和目标，优化业务流程和工作规范，保证绩效管理体系的科学性和合理性，制定各项保障措施及应急处理方案，以确保绩效目标能够完成，落实项目支出绩效的评价重点，构建合理、可行、科学的</w:t>
      </w:r>
      <w:r>
        <w:rPr>
          <w:rFonts w:hint="default" w:ascii="Times New Roman" w:hAnsi="Times New Roman" w:eastAsia="仿宋_GB2312" w:cs="Times New Roman"/>
          <w:color w:val="000000"/>
          <w:kern w:val="0"/>
          <w:sz w:val="32"/>
          <w:szCs w:val="32"/>
          <w:lang w:eastAsia="zh-CN"/>
        </w:rPr>
        <w:t>绩效评价指标。</w:t>
      </w:r>
      <w:r>
        <w:rPr>
          <w:rFonts w:hint="default" w:ascii="Times New Roman" w:hAnsi="Times New Roman" w:eastAsia="仿宋_GB2312" w:cs="Times New Roman"/>
          <w:kern w:val="0"/>
          <w:sz w:val="30"/>
          <w:szCs w:val="30"/>
          <w:lang w:val="en-US" w:eastAsia="zh-CN"/>
        </w:rPr>
        <w:t xml:space="preserve"> </w:t>
      </w:r>
    </w:p>
    <w:p>
      <w:pPr>
        <w:widowControl/>
        <w:numPr>
          <w:ilvl w:val="0"/>
          <w:numId w:val="0"/>
        </w:numPr>
        <w:ind w:firstLine="600" w:firstLineChars="200"/>
        <w:jc w:val="left"/>
        <w:rPr>
          <w:rFonts w:hint="default" w:ascii="Times New Roman" w:hAnsi="Times New Roman" w:eastAsia="黑体" w:cs="Times New Roman"/>
          <w:kern w:val="0"/>
          <w:sz w:val="30"/>
          <w:szCs w:val="30"/>
        </w:rPr>
      </w:pPr>
      <w:r>
        <w:rPr>
          <w:rFonts w:hint="eastAsia" w:ascii="Times New Roman" w:hAnsi="Times New Roman" w:eastAsia="黑体" w:cs="Times New Roman"/>
          <w:kern w:val="0"/>
          <w:sz w:val="30"/>
          <w:szCs w:val="30"/>
          <w:lang w:val="en-US" w:eastAsia="zh-CN"/>
        </w:rPr>
        <w:t>三、</w:t>
      </w:r>
      <w:r>
        <w:rPr>
          <w:rFonts w:hint="default" w:ascii="Times New Roman" w:hAnsi="Times New Roman" w:eastAsia="黑体" w:cs="Times New Roman"/>
          <w:kern w:val="0"/>
          <w:sz w:val="30"/>
          <w:szCs w:val="30"/>
        </w:rPr>
        <w:t>项目实施单位</w:t>
      </w:r>
    </w:p>
    <w:p>
      <w:pPr>
        <w:widowControl/>
        <w:ind w:firstLine="600" w:firstLineChars="200"/>
        <w:jc w:val="left"/>
        <w:rPr>
          <w:rFonts w:hint="default" w:ascii="Times New Roman" w:hAnsi="Times New Roman" w:eastAsia="仿宋_GB2312" w:cs="Times New Roman"/>
          <w:kern w:val="0"/>
          <w:sz w:val="30"/>
          <w:szCs w:val="30"/>
        </w:rPr>
      </w:pPr>
      <w:r>
        <w:rPr>
          <w:rFonts w:hint="default" w:ascii="Times New Roman" w:hAnsi="Times New Roman" w:eastAsia="仿宋_GB2312" w:cs="Times New Roman"/>
          <w:kern w:val="0"/>
          <w:sz w:val="30"/>
          <w:szCs w:val="30"/>
        </w:rPr>
        <w:t>单位名称：</w:t>
      </w:r>
      <w:r>
        <w:rPr>
          <w:rFonts w:hint="default" w:ascii="Times New Roman" w:hAnsi="Times New Roman" w:eastAsia="仿宋_GB2312" w:cs="Times New Roman"/>
          <w:kern w:val="0"/>
          <w:sz w:val="30"/>
          <w:szCs w:val="30"/>
          <w:lang w:eastAsia="zh-CN"/>
        </w:rPr>
        <w:t>昆明市盘龙区人民政府金辰街道办事处</w:t>
      </w:r>
    </w:p>
    <w:p>
      <w:pPr>
        <w:widowControl/>
        <w:ind w:firstLine="600" w:firstLineChars="200"/>
        <w:jc w:val="left"/>
        <w:rPr>
          <w:rFonts w:hint="default" w:ascii="Times New Roman" w:hAnsi="Times New Roman" w:eastAsia="仿宋_GB2312" w:cs="Times New Roman"/>
          <w:kern w:val="0"/>
          <w:sz w:val="30"/>
          <w:szCs w:val="30"/>
        </w:rPr>
      </w:pPr>
      <w:r>
        <w:rPr>
          <w:rFonts w:hint="default" w:ascii="Times New Roman" w:hAnsi="Times New Roman" w:eastAsia="仿宋_GB2312" w:cs="Times New Roman"/>
          <w:kern w:val="0"/>
          <w:sz w:val="30"/>
          <w:szCs w:val="30"/>
        </w:rPr>
        <w:t>组织机构代码：770466536</w:t>
      </w:r>
    </w:p>
    <w:p>
      <w:pPr>
        <w:widowControl/>
        <w:ind w:firstLine="600" w:firstLineChars="200"/>
        <w:jc w:val="left"/>
        <w:rPr>
          <w:rFonts w:hint="default" w:ascii="Times New Roman" w:hAnsi="Times New Roman" w:eastAsia="仿宋_GB2312" w:cs="Times New Roman"/>
          <w:kern w:val="0"/>
          <w:sz w:val="30"/>
          <w:szCs w:val="30"/>
        </w:rPr>
      </w:pPr>
      <w:r>
        <w:rPr>
          <w:rFonts w:hint="default" w:ascii="Times New Roman" w:hAnsi="Times New Roman" w:eastAsia="仿宋_GB2312" w:cs="Times New Roman"/>
          <w:kern w:val="0"/>
          <w:sz w:val="30"/>
          <w:szCs w:val="30"/>
        </w:rPr>
        <w:t>地址：云南省昆明市盘龙区北京路1006号</w:t>
      </w:r>
    </w:p>
    <w:p>
      <w:pPr>
        <w:widowControl/>
        <w:ind w:firstLine="600" w:firstLineChars="200"/>
        <w:jc w:val="left"/>
        <w:rPr>
          <w:rFonts w:hint="default" w:ascii="Times New Roman" w:hAnsi="Times New Roman" w:eastAsia="仿宋_GB2312" w:cs="Times New Roman"/>
          <w:kern w:val="0"/>
          <w:sz w:val="30"/>
          <w:szCs w:val="30"/>
        </w:rPr>
      </w:pPr>
      <w:r>
        <w:rPr>
          <w:rFonts w:hint="default" w:ascii="Times New Roman" w:hAnsi="Times New Roman" w:eastAsia="仿宋_GB2312" w:cs="Times New Roman"/>
          <w:kern w:val="0"/>
          <w:sz w:val="30"/>
          <w:szCs w:val="30"/>
        </w:rPr>
        <w:t>联系电话：</w:t>
      </w:r>
      <w:r>
        <w:rPr>
          <w:rFonts w:hint="default" w:ascii="Times New Roman" w:hAnsi="Times New Roman" w:eastAsia="仿宋_GB2312" w:cs="Times New Roman"/>
          <w:kern w:val="0"/>
          <w:sz w:val="30"/>
          <w:szCs w:val="30"/>
          <w:lang w:val="en-US" w:eastAsia="zh-CN"/>
        </w:rPr>
        <w:t>0871-</w:t>
      </w:r>
      <w:r>
        <w:rPr>
          <w:rFonts w:hint="default" w:ascii="Times New Roman" w:hAnsi="Times New Roman" w:eastAsia="仿宋_GB2312" w:cs="Times New Roman"/>
          <w:kern w:val="0"/>
          <w:sz w:val="30"/>
          <w:szCs w:val="30"/>
        </w:rPr>
        <w:t>65701332</w:t>
      </w:r>
    </w:p>
    <w:p>
      <w:pPr>
        <w:widowControl/>
        <w:ind w:firstLine="600" w:firstLineChars="200"/>
        <w:jc w:val="left"/>
        <w:rPr>
          <w:rFonts w:hint="default" w:ascii="Times New Roman" w:hAnsi="Times New Roman" w:eastAsia="仿宋_GB2312" w:cs="Times New Roman"/>
          <w:kern w:val="0"/>
          <w:sz w:val="30"/>
          <w:szCs w:val="30"/>
        </w:rPr>
      </w:pPr>
      <w:r>
        <w:rPr>
          <w:rFonts w:hint="default" w:ascii="Times New Roman" w:hAnsi="Times New Roman" w:eastAsia="仿宋_GB2312" w:cs="Times New Roman"/>
          <w:kern w:val="0"/>
          <w:sz w:val="30"/>
          <w:szCs w:val="30"/>
        </w:rPr>
        <w:t>法人代表：岳志强</w:t>
      </w:r>
    </w:p>
    <w:p>
      <w:pPr>
        <w:widowControl/>
        <w:ind w:firstLine="600" w:firstLineChars="200"/>
        <w:jc w:val="left"/>
        <w:rPr>
          <w:rFonts w:hint="default" w:ascii="Times New Roman" w:hAnsi="Times New Roman" w:eastAsia="仿宋_GB2312" w:cs="Times New Roman"/>
          <w:kern w:val="0"/>
          <w:sz w:val="30"/>
          <w:szCs w:val="30"/>
          <w:lang w:val="en-US" w:eastAsia="zh-CN"/>
        </w:rPr>
      </w:pPr>
      <w:r>
        <w:rPr>
          <w:rFonts w:hint="default" w:ascii="Times New Roman" w:hAnsi="Times New Roman" w:eastAsia="仿宋_GB2312" w:cs="Times New Roman"/>
          <w:kern w:val="0"/>
          <w:sz w:val="30"/>
          <w:szCs w:val="30"/>
        </w:rPr>
        <w:t>经费来源：</w:t>
      </w:r>
      <w:r>
        <w:rPr>
          <w:rFonts w:hint="eastAsia" w:ascii="Times New Roman" w:hAnsi="Times New Roman" w:eastAsia="仿宋_GB2312" w:cs="Times New Roman"/>
          <w:kern w:val="0"/>
          <w:sz w:val="30"/>
          <w:szCs w:val="30"/>
          <w:lang w:val="en-US" w:eastAsia="zh-CN"/>
        </w:rPr>
        <w:t xml:space="preserve">财政拨款（本级财力安排） </w:t>
      </w:r>
    </w:p>
    <w:p>
      <w:pPr>
        <w:widowControl/>
        <w:numPr>
          <w:ilvl w:val="0"/>
          <w:numId w:val="0"/>
        </w:numPr>
        <w:ind w:firstLine="600" w:firstLineChars="200"/>
        <w:jc w:val="left"/>
        <w:rPr>
          <w:rFonts w:hint="default" w:ascii="Times New Roman" w:hAnsi="Times New Roman" w:eastAsia="黑体" w:cs="Times New Roman"/>
          <w:color w:val="auto"/>
          <w:kern w:val="0"/>
          <w:sz w:val="30"/>
          <w:szCs w:val="30"/>
        </w:rPr>
      </w:pPr>
      <w:r>
        <w:rPr>
          <w:rFonts w:hint="eastAsia" w:ascii="Times New Roman" w:hAnsi="Times New Roman" w:eastAsia="黑体" w:cs="Times New Roman"/>
          <w:color w:val="auto"/>
          <w:kern w:val="0"/>
          <w:sz w:val="30"/>
          <w:szCs w:val="30"/>
          <w:lang w:val="en-US" w:eastAsia="zh-CN"/>
        </w:rPr>
        <w:t>四、</w:t>
      </w:r>
      <w:r>
        <w:rPr>
          <w:rFonts w:hint="default" w:ascii="Times New Roman" w:hAnsi="Times New Roman" w:eastAsia="黑体" w:cs="Times New Roman"/>
          <w:color w:val="auto"/>
          <w:kern w:val="0"/>
          <w:sz w:val="30"/>
          <w:szCs w:val="30"/>
        </w:rPr>
        <w:t>项目基本概况</w:t>
      </w:r>
    </w:p>
    <w:p>
      <w:pPr>
        <w:widowControl/>
        <w:ind w:firstLine="640" w:firstLineChars="200"/>
        <w:jc w:val="left"/>
        <w:rPr>
          <w:rFonts w:hint="eastAsia" w:ascii="仿宋_GB2312" w:hAnsi="Arial" w:eastAsia="仿宋_GB2312" w:cs="Arial"/>
          <w:color w:val="auto"/>
          <w:kern w:val="0"/>
          <w:sz w:val="32"/>
          <w:szCs w:val="32"/>
        </w:rPr>
      </w:pPr>
      <w:r>
        <w:rPr>
          <w:rFonts w:hint="default" w:ascii="Times New Roman" w:hAnsi="Times New Roman" w:eastAsia="仿宋_GB2312" w:cs="Times New Roman"/>
          <w:color w:val="auto"/>
          <w:kern w:val="0"/>
          <w:sz w:val="32"/>
          <w:szCs w:val="32"/>
          <w:lang w:val="en-US" w:eastAsia="zh-CN"/>
        </w:rPr>
        <w:t>金辰街道办事处</w:t>
      </w:r>
      <w:r>
        <w:rPr>
          <w:rFonts w:hint="eastAsia" w:ascii="仿宋_GB2312" w:hAnsi="Arial" w:eastAsia="仿宋_GB2312" w:cs="Arial"/>
          <w:color w:val="auto"/>
          <w:kern w:val="0"/>
          <w:sz w:val="32"/>
          <w:szCs w:val="32"/>
        </w:rPr>
        <w:t>成立区级”街道吹哨、部门报到“领导小组，成立由党工委书记任组长，分管领导任副组长，相关科室负责人任成员的工作组。建立健全定期调度、会商研判、请示汇报、督导评价、激励宣传工作机制，推动”街道吹哨、部门报到“各项要求部署落地落实。坚持把政治建设作为根本性建设，坚持党建引领，将党的建设与基层治理深度融合，让重点和中心工作成为党建的大舞台。推进街道管理体制机制改革创新，理顺条块关系，依法确权、科学行权，构建权力优化、条块联动的责任链条。围绕推进”两学一做“常态化制度化、区域化党建、综合执法、优化营商环境、重大项目建设、应急处置等工作，建立”吹哨报到“快速响应处理机制，实现街道”哨响“部门”报到“，提升基层治理工作效能。加强平台建设，强化协同联动。强化综合保障，提供工作支撑。</w:t>
      </w:r>
    </w:p>
    <w:p>
      <w:pPr>
        <w:widowControl/>
        <w:numPr>
          <w:ilvl w:val="0"/>
          <w:numId w:val="0"/>
        </w:numPr>
        <w:ind w:firstLine="600" w:firstLineChars="200"/>
        <w:jc w:val="left"/>
        <w:rPr>
          <w:rFonts w:hint="default" w:ascii="Times New Roman" w:hAnsi="Times New Roman" w:eastAsia="黑体" w:cs="Times New Roman"/>
          <w:color w:val="auto"/>
          <w:kern w:val="0"/>
          <w:sz w:val="30"/>
          <w:szCs w:val="30"/>
        </w:rPr>
      </w:pPr>
      <w:r>
        <w:rPr>
          <w:rFonts w:hint="eastAsia" w:ascii="Times New Roman" w:hAnsi="Times New Roman" w:eastAsia="黑体" w:cs="Times New Roman"/>
          <w:color w:val="auto"/>
          <w:kern w:val="0"/>
          <w:sz w:val="30"/>
          <w:szCs w:val="30"/>
          <w:lang w:val="en-US" w:eastAsia="zh-CN"/>
        </w:rPr>
        <w:t>五、</w:t>
      </w:r>
      <w:r>
        <w:rPr>
          <w:rFonts w:hint="default" w:ascii="Times New Roman" w:hAnsi="Times New Roman" w:eastAsia="黑体" w:cs="Times New Roman"/>
          <w:color w:val="auto"/>
          <w:kern w:val="0"/>
          <w:sz w:val="30"/>
          <w:szCs w:val="30"/>
        </w:rPr>
        <w:t>项目实施内容</w:t>
      </w:r>
    </w:p>
    <w:p>
      <w:pPr>
        <w:numPr>
          <w:ilvl w:val="0"/>
          <w:numId w:val="0"/>
        </w:numPr>
        <w:spacing w:line="580" w:lineRule="exact"/>
        <w:ind w:firstLine="640" w:firstLineChars="200"/>
        <w:rPr>
          <w:rFonts w:hint="eastAsia" w:ascii="仿宋_GB2312" w:hAnsi="Arial" w:eastAsia="仿宋_GB2312" w:cs="Arial"/>
          <w:color w:val="auto"/>
          <w:kern w:val="0"/>
          <w:sz w:val="32"/>
          <w:szCs w:val="32"/>
          <w:lang w:eastAsia="zh-CN"/>
        </w:rPr>
      </w:pPr>
      <w:r>
        <w:rPr>
          <w:rFonts w:hint="eastAsia" w:ascii="仿宋_GB2312" w:hAnsi="Arial" w:eastAsia="仿宋_GB2312" w:cs="Arial"/>
          <w:color w:val="auto"/>
          <w:kern w:val="0"/>
          <w:sz w:val="32"/>
          <w:szCs w:val="32"/>
          <w:lang w:eastAsia="zh-CN"/>
        </w:rPr>
        <w:t>（</w:t>
      </w:r>
      <w:r>
        <w:rPr>
          <w:rFonts w:hint="eastAsia" w:ascii="仿宋_GB2312" w:hAnsi="Arial" w:eastAsia="仿宋_GB2312" w:cs="Arial"/>
          <w:color w:val="auto"/>
          <w:kern w:val="0"/>
          <w:sz w:val="32"/>
          <w:szCs w:val="32"/>
          <w:lang w:val="en-US" w:eastAsia="zh-CN"/>
        </w:rPr>
        <w:t>1</w:t>
      </w:r>
      <w:r>
        <w:rPr>
          <w:rFonts w:hint="eastAsia" w:ascii="仿宋_GB2312" w:hAnsi="Arial" w:eastAsia="仿宋_GB2312" w:cs="Arial"/>
          <w:color w:val="auto"/>
          <w:kern w:val="0"/>
          <w:sz w:val="32"/>
          <w:szCs w:val="32"/>
          <w:lang w:eastAsia="zh-CN"/>
        </w:rPr>
        <w:t>）坚持党对一切工作的领导，把党的政治优势转化为基层治理优势，强化党建引领，加强组织体系建设，推动区域化党建”五级联动“工作机制与”街道吹哨、部门报到“工作机制有效衔接，融合互促；</w:t>
      </w:r>
    </w:p>
    <w:p>
      <w:pPr>
        <w:numPr>
          <w:ilvl w:val="0"/>
          <w:numId w:val="0"/>
        </w:numPr>
        <w:spacing w:line="580" w:lineRule="exact"/>
        <w:ind w:firstLine="640" w:firstLineChars="200"/>
        <w:rPr>
          <w:rFonts w:hint="eastAsia" w:ascii="仿宋_GB2312" w:hAnsi="Arial" w:eastAsia="仿宋_GB2312" w:cs="Arial"/>
          <w:color w:val="auto"/>
          <w:kern w:val="0"/>
          <w:sz w:val="32"/>
          <w:szCs w:val="32"/>
          <w:lang w:eastAsia="zh-CN"/>
        </w:rPr>
      </w:pPr>
      <w:r>
        <w:rPr>
          <w:rFonts w:hint="eastAsia" w:ascii="仿宋_GB2312" w:hAnsi="Arial" w:eastAsia="仿宋_GB2312" w:cs="Arial"/>
          <w:color w:val="auto"/>
          <w:kern w:val="0"/>
          <w:sz w:val="32"/>
          <w:szCs w:val="32"/>
          <w:lang w:eastAsia="zh-CN"/>
        </w:rPr>
        <w:t>（</w:t>
      </w:r>
      <w:r>
        <w:rPr>
          <w:rFonts w:hint="eastAsia" w:ascii="仿宋_GB2312" w:hAnsi="Arial" w:eastAsia="仿宋_GB2312" w:cs="Arial"/>
          <w:color w:val="auto"/>
          <w:kern w:val="0"/>
          <w:sz w:val="32"/>
          <w:szCs w:val="32"/>
          <w:lang w:val="en-US" w:eastAsia="zh-CN"/>
        </w:rPr>
        <w:t>2</w:t>
      </w:r>
      <w:r>
        <w:rPr>
          <w:rFonts w:hint="eastAsia" w:ascii="仿宋_GB2312" w:hAnsi="Arial" w:eastAsia="仿宋_GB2312" w:cs="Arial"/>
          <w:color w:val="auto"/>
          <w:kern w:val="0"/>
          <w:sz w:val="32"/>
          <w:szCs w:val="32"/>
          <w:lang w:eastAsia="zh-CN"/>
        </w:rPr>
        <w:t>）充分发挥街道社区基层基础作用，尽可能把资源、服务和管理放到基层，赋予街道相应职责职权，强化街道统筹协调功能，使基层有职有权有物，更好为群众提供精准有效服务；</w:t>
      </w:r>
    </w:p>
    <w:p>
      <w:pPr>
        <w:numPr>
          <w:ilvl w:val="0"/>
          <w:numId w:val="0"/>
        </w:numPr>
        <w:spacing w:line="580" w:lineRule="exact"/>
        <w:ind w:firstLine="640" w:firstLineChars="200"/>
        <w:rPr>
          <w:rFonts w:hint="eastAsia" w:ascii="仿宋_GB2312" w:hAnsi="Arial" w:eastAsia="仿宋_GB2312" w:cs="Arial"/>
          <w:color w:val="auto"/>
          <w:kern w:val="0"/>
          <w:sz w:val="32"/>
          <w:szCs w:val="32"/>
          <w:lang w:eastAsia="zh-CN"/>
        </w:rPr>
      </w:pPr>
      <w:r>
        <w:rPr>
          <w:rFonts w:hint="eastAsia" w:ascii="仿宋_GB2312" w:hAnsi="Arial" w:eastAsia="仿宋_GB2312" w:cs="Arial"/>
          <w:color w:val="auto"/>
          <w:kern w:val="0"/>
          <w:sz w:val="32"/>
          <w:szCs w:val="32"/>
          <w:lang w:eastAsia="zh-CN"/>
        </w:rPr>
        <w:t>（</w:t>
      </w:r>
      <w:r>
        <w:rPr>
          <w:rFonts w:hint="eastAsia" w:ascii="仿宋_GB2312" w:hAnsi="Arial" w:eastAsia="仿宋_GB2312" w:cs="Arial"/>
          <w:color w:val="auto"/>
          <w:kern w:val="0"/>
          <w:sz w:val="32"/>
          <w:szCs w:val="32"/>
          <w:lang w:val="en-US" w:eastAsia="zh-CN"/>
        </w:rPr>
        <w:t>3</w:t>
      </w:r>
      <w:r>
        <w:rPr>
          <w:rFonts w:hint="eastAsia" w:ascii="仿宋_GB2312" w:hAnsi="Arial" w:eastAsia="仿宋_GB2312" w:cs="Arial"/>
          <w:color w:val="auto"/>
          <w:kern w:val="0"/>
          <w:sz w:val="32"/>
          <w:szCs w:val="32"/>
          <w:lang w:eastAsia="zh-CN"/>
        </w:rPr>
        <w:t>）促进各项改革有机衔接，健全各级协同管理机制，推进党政机构和街道管理体制改革后职能优化、职权协同，理顺职责关系，形成简约高效的管理机制，提高服务管理效能；</w:t>
      </w:r>
    </w:p>
    <w:p>
      <w:pPr>
        <w:numPr>
          <w:ilvl w:val="0"/>
          <w:numId w:val="0"/>
        </w:numPr>
        <w:spacing w:line="580" w:lineRule="exact"/>
        <w:ind w:firstLine="640" w:firstLineChars="200"/>
        <w:rPr>
          <w:rFonts w:hint="eastAsia" w:ascii="仿宋_GB2312" w:hAnsi="Arial" w:eastAsia="仿宋_GB2312" w:cs="Arial"/>
          <w:color w:val="auto"/>
          <w:kern w:val="0"/>
          <w:sz w:val="32"/>
          <w:szCs w:val="32"/>
          <w:lang w:eastAsia="zh-CN"/>
        </w:rPr>
      </w:pPr>
      <w:r>
        <w:rPr>
          <w:rFonts w:hint="eastAsia" w:ascii="仿宋_GB2312" w:hAnsi="Arial" w:eastAsia="仿宋_GB2312" w:cs="Arial"/>
          <w:color w:val="auto"/>
          <w:kern w:val="0"/>
          <w:sz w:val="32"/>
          <w:szCs w:val="32"/>
          <w:lang w:eastAsia="zh-CN"/>
        </w:rPr>
        <w:t>（</w:t>
      </w:r>
      <w:r>
        <w:rPr>
          <w:rFonts w:hint="eastAsia" w:ascii="仿宋_GB2312" w:hAnsi="Arial" w:eastAsia="仿宋_GB2312" w:cs="Arial"/>
          <w:color w:val="auto"/>
          <w:kern w:val="0"/>
          <w:sz w:val="32"/>
          <w:szCs w:val="32"/>
          <w:lang w:val="en-US" w:eastAsia="zh-CN"/>
        </w:rPr>
        <w:t>4</w:t>
      </w:r>
      <w:r>
        <w:rPr>
          <w:rFonts w:hint="eastAsia" w:ascii="仿宋_GB2312" w:hAnsi="Arial" w:eastAsia="仿宋_GB2312" w:cs="Arial"/>
          <w:color w:val="auto"/>
          <w:kern w:val="0"/>
          <w:sz w:val="32"/>
          <w:szCs w:val="32"/>
          <w:lang w:eastAsia="zh-CN"/>
        </w:rPr>
        <w:t>）深化”五级治理“，推动社区减负增效，细化管理网格，健全共商共治平台，建立问题事项分级分类处理机制，实现清单式管理、链条式衔接和网格式监督，提升精细化服务管理水平；</w:t>
      </w:r>
    </w:p>
    <w:p>
      <w:pPr>
        <w:numPr>
          <w:ilvl w:val="0"/>
          <w:numId w:val="0"/>
        </w:numPr>
        <w:spacing w:line="580" w:lineRule="exact"/>
        <w:ind w:firstLine="640" w:firstLineChars="200"/>
        <w:rPr>
          <w:rFonts w:hint="eastAsia" w:ascii="仿宋_GB2312" w:hAnsi="Arial" w:eastAsia="仿宋_GB2312" w:cs="Arial"/>
          <w:color w:val="auto"/>
          <w:kern w:val="0"/>
          <w:sz w:val="32"/>
          <w:szCs w:val="32"/>
          <w:lang w:eastAsia="zh-CN"/>
        </w:rPr>
      </w:pPr>
      <w:r>
        <w:rPr>
          <w:rFonts w:hint="eastAsia" w:ascii="仿宋_GB2312" w:hAnsi="Arial" w:eastAsia="仿宋_GB2312" w:cs="Arial"/>
          <w:color w:val="auto"/>
          <w:kern w:val="0"/>
          <w:sz w:val="32"/>
          <w:szCs w:val="32"/>
          <w:lang w:eastAsia="zh-CN"/>
        </w:rPr>
        <w:t>（</w:t>
      </w:r>
      <w:r>
        <w:rPr>
          <w:rFonts w:hint="eastAsia" w:ascii="仿宋_GB2312" w:hAnsi="Arial" w:eastAsia="仿宋_GB2312" w:cs="Arial"/>
          <w:color w:val="auto"/>
          <w:kern w:val="0"/>
          <w:sz w:val="32"/>
          <w:szCs w:val="32"/>
          <w:lang w:val="en-US" w:eastAsia="zh-CN"/>
        </w:rPr>
        <w:t>5</w:t>
      </w:r>
      <w:r>
        <w:rPr>
          <w:rFonts w:hint="eastAsia" w:ascii="仿宋_GB2312" w:hAnsi="Arial" w:eastAsia="仿宋_GB2312" w:cs="Arial"/>
          <w:color w:val="auto"/>
          <w:kern w:val="0"/>
          <w:sz w:val="32"/>
          <w:szCs w:val="32"/>
          <w:lang w:eastAsia="zh-CN"/>
        </w:rPr>
        <w:t>）加大简政放权改革力度，加快推进”一网通办“，激发更大的市场活力；</w:t>
      </w:r>
    </w:p>
    <w:p>
      <w:pPr>
        <w:numPr>
          <w:ilvl w:val="0"/>
          <w:numId w:val="0"/>
        </w:numPr>
        <w:spacing w:line="580" w:lineRule="exact"/>
        <w:ind w:firstLine="640" w:firstLineChars="200"/>
        <w:rPr>
          <w:rFonts w:hint="eastAsia" w:ascii="仿宋_GB2312" w:hAnsi="Arial" w:eastAsia="仿宋_GB2312" w:cs="Arial"/>
          <w:color w:val="auto"/>
          <w:kern w:val="0"/>
          <w:sz w:val="32"/>
          <w:szCs w:val="32"/>
          <w:lang w:eastAsia="zh-CN"/>
        </w:rPr>
      </w:pPr>
      <w:r>
        <w:rPr>
          <w:rFonts w:hint="eastAsia" w:ascii="仿宋_GB2312" w:hAnsi="Arial" w:eastAsia="仿宋_GB2312" w:cs="Arial"/>
          <w:color w:val="auto"/>
          <w:kern w:val="0"/>
          <w:sz w:val="32"/>
          <w:szCs w:val="32"/>
          <w:lang w:eastAsia="zh-CN"/>
        </w:rPr>
        <w:t>（</w:t>
      </w:r>
      <w:r>
        <w:rPr>
          <w:rFonts w:hint="eastAsia" w:ascii="仿宋_GB2312" w:hAnsi="Arial" w:eastAsia="仿宋_GB2312" w:cs="Arial"/>
          <w:color w:val="auto"/>
          <w:kern w:val="0"/>
          <w:sz w:val="32"/>
          <w:szCs w:val="32"/>
          <w:lang w:val="en-US" w:eastAsia="zh-CN"/>
        </w:rPr>
        <w:t>6</w:t>
      </w:r>
      <w:r>
        <w:rPr>
          <w:rFonts w:hint="eastAsia" w:ascii="仿宋_GB2312" w:hAnsi="Arial" w:eastAsia="仿宋_GB2312" w:cs="Arial"/>
          <w:color w:val="auto"/>
          <w:kern w:val="0"/>
          <w:sz w:val="32"/>
          <w:szCs w:val="32"/>
          <w:lang w:eastAsia="zh-CN"/>
        </w:rPr>
        <w:t>）围绕企业开办、行政审批、项目建设等重点，整合资源，提高效能，全力打造市场化、法治化、国际化营商环境。</w:t>
      </w:r>
    </w:p>
    <w:p>
      <w:pPr>
        <w:widowControl/>
        <w:numPr>
          <w:ilvl w:val="0"/>
          <w:numId w:val="0"/>
        </w:numPr>
        <w:ind w:firstLine="600" w:firstLineChars="200"/>
        <w:jc w:val="left"/>
        <w:rPr>
          <w:rFonts w:hint="default" w:ascii="Times New Roman" w:hAnsi="Times New Roman" w:eastAsia="黑体" w:cs="Times New Roman"/>
          <w:color w:val="auto"/>
          <w:kern w:val="0"/>
          <w:sz w:val="30"/>
          <w:szCs w:val="30"/>
        </w:rPr>
      </w:pPr>
      <w:r>
        <w:rPr>
          <w:rFonts w:hint="eastAsia" w:ascii="Times New Roman" w:hAnsi="Times New Roman" w:eastAsia="黑体" w:cs="Times New Roman"/>
          <w:color w:val="auto"/>
          <w:kern w:val="0"/>
          <w:sz w:val="30"/>
          <w:szCs w:val="30"/>
          <w:lang w:val="en-US" w:eastAsia="zh-CN"/>
        </w:rPr>
        <w:t>六、</w:t>
      </w:r>
      <w:r>
        <w:rPr>
          <w:rFonts w:hint="default" w:ascii="Times New Roman" w:hAnsi="Times New Roman" w:eastAsia="黑体" w:cs="Times New Roman"/>
          <w:color w:val="auto"/>
          <w:kern w:val="0"/>
          <w:sz w:val="30"/>
          <w:szCs w:val="30"/>
        </w:rPr>
        <w:t>资金安排情况</w:t>
      </w:r>
    </w:p>
    <w:p>
      <w:pPr>
        <w:widowControl/>
        <w:ind w:firstLine="600" w:firstLineChars="200"/>
        <w:jc w:val="left"/>
        <w:rPr>
          <w:rFonts w:hint="default" w:ascii="Times New Roman" w:hAnsi="Times New Roman" w:eastAsia="黑体" w:cs="Times New Roman"/>
          <w:color w:val="auto"/>
          <w:kern w:val="0"/>
          <w:sz w:val="30"/>
          <w:szCs w:val="30"/>
          <w:lang w:val="en-US" w:eastAsia="zh-CN"/>
        </w:rPr>
      </w:pPr>
      <w:r>
        <w:rPr>
          <w:rFonts w:hint="eastAsia" w:ascii="Times New Roman" w:hAnsi="Times New Roman" w:eastAsia="仿宋_GB2312" w:cs="Times New Roman"/>
          <w:color w:val="auto"/>
          <w:kern w:val="0"/>
          <w:sz w:val="30"/>
          <w:szCs w:val="30"/>
          <w:lang w:val="en-US" w:eastAsia="zh-CN"/>
        </w:rPr>
        <w:t>2020年“</w:t>
      </w:r>
      <w:r>
        <w:rPr>
          <w:rFonts w:hint="default" w:ascii="Times New Roman" w:hAnsi="Times New Roman" w:eastAsia="仿宋_GB2312" w:cs="Times New Roman"/>
          <w:color w:val="auto"/>
          <w:kern w:val="0"/>
          <w:sz w:val="30"/>
          <w:szCs w:val="30"/>
          <w:lang w:val="en-US" w:eastAsia="zh-CN"/>
        </w:rPr>
        <w:t>街道吹哨，部门报到</w:t>
      </w:r>
      <w:r>
        <w:rPr>
          <w:rFonts w:hint="eastAsia" w:ascii="Times New Roman" w:hAnsi="Times New Roman" w:eastAsia="仿宋_GB2312" w:cs="Times New Roman"/>
          <w:color w:val="auto"/>
          <w:kern w:val="0"/>
          <w:sz w:val="30"/>
          <w:szCs w:val="30"/>
          <w:lang w:val="en-US" w:eastAsia="zh-CN"/>
        </w:rPr>
        <w:t>”工作公共财政预算200.00万元。</w:t>
      </w:r>
    </w:p>
    <w:p>
      <w:pPr>
        <w:widowControl/>
        <w:numPr>
          <w:ilvl w:val="0"/>
          <w:numId w:val="0"/>
        </w:numPr>
        <w:ind w:firstLine="600" w:firstLineChars="200"/>
        <w:jc w:val="left"/>
        <w:rPr>
          <w:rFonts w:hint="default" w:ascii="Times New Roman" w:hAnsi="Times New Roman" w:eastAsia="黑体" w:cs="Times New Roman"/>
          <w:color w:val="auto"/>
          <w:kern w:val="0"/>
          <w:sz w:val="30"/>
          <w:szCs w:val="30"/>
        </w:rPr>
      </w:pPr>
      <w:r>
        <w:rPr>
          <w:rFonts w:hint="eastAsia" w:ascii="Times New Roman" w:hAnsi="Times New Roman" w:eastAsia="黑体" w:cs="Times New Roman"/>
          <w:color w:val="auto"/>
          <w:kern w:val="0"/>
          <w:sz w:val="30"/>
          <w:szCs w:val="30"/>
          <w:lang w:val="en-US" w:eastAsia="zh-CN"/>
        </w:rPr>
        <w:t>七、</w:t>
      </w:r>
      <w:r>
        <w:rPr>
          <w:rFonts w:hint="default" w:ascii="Times New Roman" w:hAnsi="Times New Roman" w:eastAsia="黑体" w:cs="Times New Roman"/>
          <w:color w:val="auto"/>
          <w:kern w:val="0"/>
          <w:sz w:val="30"/>
          <w:szCs w:val="30"/>
        </w:rPr>
        <w:t>项目实施计划</w:t>
      </w:r>
    </w:p>
    <w:p>
      <w:pPr>
        <w:widowControl/>
        <w:ind w:firstLine="600" w:firstLineChars="200"/>
        <w:jc w:val="left"/>
        <w:rPr>
          <w:rFonts w:hint="default" w:ascii="Times New Roman" w:hAnsi="Times New Roman" w:eastAsia="黑体" w:cs="Times New Roman"/>
          <w:color w:val="auto"/>
          <w:kern w:val="0"/>
          <w:sz w:val="30"/>
          <w:szCs w:val="30"/>
          <w:lang w:val="en-US" w:eastAsia="zh-CN"/>
        </w:rPr>
      </w:pPr>
      <w:r>
        <w:rPr>
          <w:rFonts w:hint="eastAsia" w:ascii="Times New Roman" w:hAnsi="Times New Roman" w:eastAsia="仿宋_GB2312" w:cs="Times New Roman"/>
          <w:color w:val="auto"/>
          <w:kern w:val="0"/>
          <w:sz w:val="30"/>
          <w:szCs w:val="30"/>
          <w:lang w:val="en-US" w:eastAsia="zh-CN"/>
        </w:rPr>
        <w:t>自2020年1月1日至2020年12月31日。</w:t>
      </w:r>
    </w:p>
    <w:p>
      <w:pPr>
        <w:widowControl/>
        <w:numPr>
          <w:ilvl w:val="0"/>
          <w:numId w:val="0"/>
        </w:numPr>
        <w:ind w:firstLine="600" w:firstLineChars="200"/>
        <w:jc w:val="left"/>
        <w:rPr>
          <w:rFonts w:hint="default" w:ascii="Times New Roman" w:hAnsi="Times New Roman" w:eastAsia="黑体" w:cs="Times New Roman"/>
          <w:color w:val="auto"/>
          <w:kern w:val="0"/>
          <w:sz w:val="30"/>
          <w:szCs w:val="30"/>
        </w:rPr>
      </w:pPr>
      <w:r>
        <w:rPr>
          <w:rFonts w:hint="eastAsia" w:ascii="Times New Roman" w:hAnsi="Times New Roman" w:eastAsia="黑体" w:cs="Times New Roman"/>
          <w:color w:val="auto"/>
          <w:kern w:val="0"/>
          <w:sz w:val="30"/>
          <w:szCs w:val="30"/>
          <w:lang w:val="en-US" w:eastAsia="zh-CN"/>
        </w:rPr>
        <w:t>八、</w:t>
      </w:r>
      <w:r>
        <w:rPr>
          <w:rFonts w:hint="default" w:ascii="Times New Roman" w:hAnsi="Times New Roman" w:eastAsia="黑体" w:cs="Times New Roman"/>
          <w:color w:val="auto"/>
          <w:kern w:val="0"/>
          <w:sz w:val="30"/>
          <w:szCs w:val="30"/>
        </w:rPr>
        <w:t>项目实施成效</w:t>
      </w:r>
    </w:p>
    <w:p>
      <w:pPr>
        <w:widowControl/>
        <w:ind w:firstLine="600" w:firstLineChars="200"/>
        <w:jc w:val="left"/>
        <w:rPr>
          <w:rFonts w:hint="default" w:ascii="Times New Roman" w:hAnsi="Times New Roman" w:eastAsia="仿宋_GB2312" w:cs="Times New Roman"/>
          <w:color w:val="auto"/>
          <w:kern w:val="0"/>
          <w:sz w:val="30"/>
          <w:szCs w:val="30"/>
        </w:rPr>
      </w:pPr>
      <w:r>
        <w:rPr>
          <w:rFonts w:hint="default" w:ascii="Times New Roman" w:hAnsi="Times New Roman" w:eastAsia="仿宋_GB2312" w:cs="Times New Roman"/>
          <w:color w:val="auto"/>
          <w:kern w:val="0"/>
          <w:sz w:val="30"/>
          <w:szCs w:val="30"/>
        </w:rPr>
        <w:t>“街道吹哨、部门报到”是贯彻落实党的十九届三中全会精神的重要改革举措，是强化党组织对基层治理的领导，以党建引领基层治理的重要保证，以党建为引领，把群众满意度作为重要的评价指标，形成共同参与、共同协商、共同管理的工作格局。全面贯彻落实党中央和省委、市委关于深化党和国家机构改革部署要求，进一步加强党对基层治理的领导，提升党建引领社会治理和城市治理的能力和水平，增进民生福祉，走好新时代党的群众路线。</w:t>
      </w:r>
    </w:p>
    <w:p>
      <w:pPr>
        <w:widowControl/>
        <w:numPr>
          <w:ilvl w:val="0"/>
          <w:numId w:val="0"/>
        </w:numPr>
        <w:ind w:firstLine="600" w:firstLineChars="200"/>
        <w:jc w:val="left"/>
        <w:rPr>
          <w:rFonts w:hint="default" w:ascii="Times New Roman" w:hAnsi="Times New Roman" w:eastAsia="黑体" w:cs="Times New Roman"/>
          <w:color w:val="auto"/>
          <w:kern w:val="0"/>
          <w:sz w:val="30"/>
          <w:szCs w:val="30"/>
        </w:rPr>
      </w:pPr>
      <w:r>
        <w:rPr>
          <w:rFonts w:hint="eastAsia" w:ascii="Times New Roman" w:hAnsi="Times New Roman" w:eastAsia="黑体" w:cs="Times New Roman"/>
          <w:color w:val="auto"/>
          <w:kern w:val="0"/>
          <w:sz w:val="30"/>
          <w:szCs w:val="30"/>
          <w:lang w:val="en-US" w:eastAsia="zh-CN"/>
        </w:rPr>
        <w:t>九、</w:t>
      </w:r>
      <w:r>
        <w:rPr>
          <w:rFonts w:hint="default" w:ascii="Times New Roman" w:hAnsi="Times New Roman" w:eastAsia="黑体" w:cs="Times New Roman"/>
          <w:color w:val="auto"/>
          <w:kern w:val="0"/>
          <w:sz w:val="30"/>
          <w:szCs w:val="30"/>
        </w:rPr>
        <w:t>项目绩效目标表</w:t>
      </w:r>
    </w:p>
    <w:tbl>
      <w:tblPr>
        <w:tblStyle w:val="4"/>
        <w:tblW w:w="10836" w:type="dxa"/>
        <w:tblInd w:w="-1154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16"/>
        <w:gridCol w:w="1356"/>
        <w:gridCol w:w="5748"/>
        <w:gridCol w:w="2316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16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/>
                <w:bCs/>
                <w:color w:val="auto"/>
                <w:kern w:val="0"/>
                <w:sz w:val="30"/>
                <w:szCs w:val="30"/>
                <w:vertAlign w:val="baseli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一级指标</w:t>
            </w:r>
          </w:p>
        </w:tc>
        <w:tc>
          <w:tcPr>
            <w:tcW w:w="1356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/>
                <w:bCs/>
                <w:color w:val="auto"/>
                <w:kern w:val="0"/>
                <w:sz w:val="30"/>
                <w:szCs w:val="30"/>
                <w:vertAlign w:val="baseli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二级指标</w:t>
            </w:r>
          </w:p>
        </w:tc>
        <w:tc>
          <w:tcPr>
            <w:tcW w:w="574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/>
                <w:bCs/>
                <w:color w:val="auto"/>
                <w:kern w:val="0"/>
                <w:sz w:val="30"/>
                <w:szCs w:val="30"/>
                <w:vertAlign w:val="baseli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三级指标</w:t>
            </w:r>
          </w:p>
        </w:tc>
        <w:tc>
          <w:tcPr>
            <w:tcW w:w="2316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/>
                <w:bCs/>
                <w:color w:val="auto"/>
                <w:kern w:val="0"/>
                <w:sz w:val="30"/>
                <w:szCs w:val="30"/>
                <w:vertAlign w:val="baseli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指标值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16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0"/>
                <w:sz w:val="30"/>
                <w:szCs w:val="30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产出指标</w:t>
            </w:r>
          </w:p>
        </w:tc>
        <w:tc>
          <w:tcPr>
            <w:tcW w:w="1356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0"/>
                <w:sz w:val="30"/>
                <w:szCs w:val="30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数量指标</w:t>
            </w:r>
          </w:p>
        </w:tc>
        <w:tc>
          <w:tcPr>
            <w:tcW w:w="574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0"/>
                <w:sz w:val="30"/>
                <w:szCs w:val="30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　  　 开展党建引领基层治理推动实现“街道吹哨、部门报到”工作 </w:t>
            </w:r>
          </w:p>
        </w:tc>
        <w:tc>
          <w:tcPr>
            <w:tcW w:w="2316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0"/>
                <w:sz w:val="30"/>
                <w:szCs w:val="3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  <w:r>
              <w:rPr>
                <w:rStyle w:val="6"/>
                <w:color w:val="auto"/>
                <w:lang w:val="en-US" w:eastAsia="zh-CN" w:bidi="ar"/>
              </w:rPr>
              <w:t>项工作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16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0"/>
                <w:sz w:val="30"/>
                <w:szCs w:val="30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产出指标</w:t>
            </w:r>
          </w:p>
        </w:tc>
        <w:tc>
          <w:tcPr>
            <w:tcW w:w="1356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0"/>
                <w:sz w:val="30"/>
                <w:szCs w:val="30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数量指标</w:t>
            </w:r>
          </w:p>
        </w:tc>
        <w:tc>
          <w:tcPr>
            <w:tcW w:w="574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0"/>
                <w:sz w:val="30"/>
                <w:szCs w:val="30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　 市容环境提升和城市管理综合整治八项工作</w:t>
            </w:r>
          </w:p>
        </w:tc>
        <w:tc>
          <w:tcPr>
            <w:tcW w:w="2316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0"/>
                <w:sz w:val="30"/>
                <w:szCs w:val="30"/>
                <w:vertAlign w:val="baseli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8</w:t>
            </w:r>
            <w:r>
              <w:rPr>
                <w:rStyle w:val="6"/>
                <w:color w:val="auto"/>
                <w:lang w:val="en-US" w:eastAsia="zh-CN" w:bidi="ar"/>
              </w:rPr>
              <w:t>项工作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16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0"/>
                <w:sz w:val="30"/>
                <w:szCs w:val="30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产出指标</w:t>
            </w:r>
          </w:p>
        </w:tc>
        <w:tc>
          <w:tcPr>
            <w:tcW w:w="1356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0"/>
                <w:sz w:val="30"/>
                <w:szCs w:val="30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数量指标</w:t>
            </w:r>
          </w:p>
        </w:tc>
        <w:tc>
          <w:tcPr>
            <w:tcW w:w="574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0"/>
                <w:sz w:val="30"/>
                <w:szCs w:val="30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　 对金辰街道下辖8个社区及1个管委会实现“五级治理”工作全覆盖 </w:t>
            </w:r>
          </w:p>
        </w:tc>
        <w:tc>
          <w:tcPr>
            <w:tcW w:w="2316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0"/>
                <w:sz w:val="30"/>
                <w:szCs w:val="30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下辖</w:t>
            </w:r>
            <w:r>
              <w:rPr>
                <w:rStyle w:val="7"/>
                <w:rFonts w:eastAsia="宋体"/>
                <w:color w:val="auto"/>
                <w:lang w:val="en-US" w:eastAsia="zh-CN" w:bidi="ar"/>
              </w:rPr>
              <w:t>8</w:t>
            </w:r>
            <w:r>
              <w:rPr>
                <w:rStyle w:val="6"/>
                <w:color w:val="auto"/>
                <w:lang w:val="en-US" w:eastAsia="zh-CN" w:bidi="ar"/>
              </w:rPr>
              <w:t>个社区及</w:t>
            </w:r>
            <w:r>
              <w:rPr>
                <w:rStyle w:val="7"/>
                <w:rFonts w:eastAsia="宋体"/>
                <w:color w:val="auto"/>
                <w:lang w:val="en-US" w:eastAsia="zh-CN" w:bidi="ar"/>
              </w:rPr>
              <w:t>1</w:t>
            </w:r>
            <w:r>
              <w:rPr>
                <w:rStyle w:val="6"/>
                <w:color w:val="auto"/>
                <w:lang w:val="en-US" w:eastAsia="zh-CN" w:bidi="ar"/>
              </w:rPr>
              <w:t>个管委会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16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0"/>
                <w:sz w:val="30"/>
                <w:szCs w:val="30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产出指标</w:t>
            </w:r>
          </w:p>
        </w:tc>
        <w:tc>
          <w:tcPr>
            <w:tcW w:w="1356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0"/>
                <w:sz w:val="30"/>
                <w:szCs w:val="30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质量指标</w:t>
            </w:r>
          </w:p>
        </w:tc>
        <w:tc>
          <w:tcPr>
            <w:tcW w:w="574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0"/>
                <w:sz w:val="30"/>
                <w:szCs w:val="30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　 按金辰街道2020年工作计划、方案执行开展党建引领基层治理推动实现“街道吹哨、部门报到”工作，按质按量完成工作指标要求</w:t>
            </w:r>
          </w:p>
        </w:tc>
        <w:tc>
          <w:tcPr>
            <w:tcW w:w="2316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0"/>
                <w:sz w:val="30"/>
                <w:szCs w:val="30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按质按量完成工作指标要求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16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0"/>
                <w:sz w:val="30"/>
                <w:szCs w:val="30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产出指标</w:t>
            </w:r>
          </w:p>
        </w:tc>
        <w:tc>
          <w:tcPr>
            <w:tcW w:w="1356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0"/>
                <w:sz w:val="30"/>
                <w:szCs w:val="30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时效指标</w:t>
            </w:r>
          </w:p>
        </w:tc>
        <w:tc>
          <w:tcPr>
            <w:tcW w:w="574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宋体" w:hAnsi="宋体" w:eastAsia="宋体" w:cs="宋体"/>
                <w:i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　 开展党建引领基层治理推动实现“街道吹哨、部门报到”工作，按金辰街道2020年综治维稳工作计划、方案执行开展各项工作</w:t>
            </w:r>
          </w:p>
        </w:tc>
        <w:tc>
          <w:tcPr>
            <w:tcW w:w="2316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0"/>
                <w:sz w:val="30"/>
                <w:szCs w:val="3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2020</w:t>
            </w:r>
            <w:r>
              <w:rPr>
                <w:rStyle w:val="8"/>
                <w:color w:val="auto"/>
                <w:lang w:val="en-US" w:eastAsia="zh-CN" w:bidi="ar"/>
              </w:rPr>
              <w:t>年</w:t>
            </w:r>
            <w:r>
              <w:rPr>
                <w:rStyle w:val="9"/>
                <w:rFonts w:eastAsia="宋体"/>
                <w:color w:val="auto"/>
                <w:lang w:val="en-US" w:eastAsia="zh-CN" w:bidi="ar"/>
              </w:rPr>
              <w:t>1-12</w:t>
            </w:r>
            <w:r>
              <w:rPr>
                <w:rStyle w:val="8"/>
                <w:color w:val="auto"/>
                <w:lang w:val="en-US" w:eastAsia="zh-CN" w:bidi="ar"/>
              </w:rPr>
              <w:t>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16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0"/>
                <w:sz w:val="30"/>
                <w:szCs w:val="30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产出指标</w:t>
            </w:r>
          </w:p>
        </w:tc>
        <w:tc>
          <w:tcPr>
            <w:tcW w:w="1356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0"/>
                <w:sz w:val="30"/>
                <w:szCs w:val="30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成本指标</w:t>
            </w:r>
          </w:p>
        </w:tc>
        <w:tc>
          <w:tcPr>
            <w:tcW w:w="574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0"/>
                <w:sz w:val="30"/>
                <w:szCs w:val="30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　 开展党建引领基层治理推动实现“街道吹哨、部门报到”工作、党支部规范化建设达标创建工作 </w:t>
            </w:r>
          </w:p>
        </w:tc>
        <w:tc>
          <w:tcPr>
            <w:tcW w:w="2316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0"/>
                <w:sz w:val="30"/>
                <w:szCs w:val="30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单项预算金额</w:t>
            </w:r>
            <w:r>
              <w:rPr>
                <w:rStyle w:val="9"/>
                <w:rFonts w:hint="eastAsia" w:eastAsia="宋体"/>
                <w:color w:val="auto"/>
                <w:lang w:val="en-US" w:eastAsia="zh-CN" w:bidi="ar"/>
              </w:rPr>
              <w:t>132</w:t>
            </w:r>
            <w:r>
              <w:rPr>
                <w:rStyle w:val="8"/>
                <w:color w:val="auto"/>
                <w:lang w:val="en-US" w:eastAsia="zh-CN" w:bidi="ar"/>
              </w:rPr>
              <w:t>万元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16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0"/>
                <w:sz w:val="30"/>
                <w:szCs w:val="30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产出指标</w:t>
            </w:r>
          </w:p>
        </w:tc>
        <w:tc>
          <w:tcPr>
            <w:tcW w:w="1356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0"/>
                <w:sz w:val="30"/>
                <w:szCs w:val="30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成本指标</w:t>
            </w:r>
          </w:p>
        </w:tc>
        <w:tc>
          <w:tcPr>
            <w:tcW w:w="574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0"/>
                <w:sz w:val="30"/>
                <w:szCs w:val="30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　 市容环境提升和城市管理综合整治八项工作 </w:t>
            </w:r>
          </w:p>
        </w:tc>
        <w:tc>
          <w:tcPr>
            <w:tcW w:w="2316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0"/>
                <w:sz w:val="30"/>
                <w:szCs w:val="30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单项预算金额</w:t>
            </w:r>
            <w:r>
              <w:rPr>
                <w:rStyle w:val="9"/>
                <w:rFonts w:hint="eastAsia" w:eastAsia="宋体"/>
                <w:color w:val="auto"/>
                <w:lang w:val="en-US" w:eastAsia="zh-CN" w:bidi="ar"/>
              </w:rPr>
              <w:t>53</w:t>
            </w:r>
            <w:r>
              <w:rPr>
                <w:rStyle w:val="8"/>
                <w:color w:val="auto"/>
                <w:lang w:val="en-US" w:eastAsia="zh-CN" w:bidi="ar"/>
              </w:rPr>
              <w:t>万元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16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0"/>
                <w:sz w:val="30"/>
                <w:szCs w:val="30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产出指标</w:t>
            </w:r>
          </w:p>
        </w:tc>
        <w:tc>
          <w:tcPr>
            <w:tcW w:w="1356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0"/>
                <w:sz w:val="30"/>
                <w:szCs w:val="30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成本指标</w:t>
            </w:r>
          </w:p>
        </w:tc>
        <w:tc>
          <w:tcPr>
            <w:tcW w:w="574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0"/>
                <w:sz w:val="30"/>
                <w:szCs w:val="30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　 对金辰街道下辖8个社区及1个管委会实现“五级治理”工作全覆盖 </w:t>
            </w:r>
          </w:p>
        </w:tc>
        <w:tc>
          <w:tcPr>
            <w:tcW w:w="2316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0"/>
                <w:sz w:val="30"/>
                <w:szCs w:val="30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单项预算金额</w:t>
            </w:r>
            <w:r>
              <w:rPr>
                <w:rStyle w:val="9"/>
                <w:rFonts w:hint="eastAsia" w:eastAsia="宋体"/>
                <w:color w:val="auto"/>
                <w:lang w:val="en-US" w:eastAsia="zh-CN" w:bidi="ar"/>
              </w:rPr>
              <w:t>15</w:t>
            </w:r>
            <w:r>
              <w:rPr>
                <w:rStyle w:val="8"/>
                <w:color w:val="auto"/>
                <w:lang w:val="en-US" w:eastAsia="zh-CN" w:bidi="ar"/>
              </w:rPr>
              <w:t>万元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16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0"/>
                <w:sz w:val="30"/>
                <w:szCs w:val="30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效益指标</w:t>
            </w:r>
          </w:p>
        </w:tc>
        <w:tc>
          <w:tcPr>
            <w:tcW w:w="1356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0"/>
                <w:sz w:val="30"/>
                <w:szCs w:val="30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经济效益指标</w:t>
            </w:r>
          </w:p>
        </w:tc>
        <w:tc>
          <w:tcPr>
            <w:tcW w:w="574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宋体" w:hAnsi="宋体" w:eastAsia="宋体" w:cs="宋体"/>
                <w:i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　  强化党建引领作用，以党建助推企业共同发展。强化基层党组织政治功能和服务功能，创建基层党组织党建品牌。</w:t>
            </w:r>
          </w:p>
        </w:tc>
        <w:tc>
          <w:tcPr>
            <w:tcW w:w="2316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0"/>
                <w:sz w:val="30"/>
                <w:szCs w:val="30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助推企业经济发展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16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0"/>
                <w:sz w:val="30"/>
                <w:szCs w:val="30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效益指标</w:t>
            </w:r>
          </w:p>
        </w:tc>
        <w:tc>
          <w:tcPr>
            <w:tcW w:w="1356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0"/>
                <w:sz w:val="30"/>
                <w:szCs w:val="30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社会效益</w:t>
            </w:r>
          </w:p>
        </w:tc>
        <w:tc>
          <w:tcPr>
            <w:tcW w:w="574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0"/>
                <w:sz w:val="30"/>
                <w:szCs w:val="30"/>
                <w:vertAlign w:val="baseline"/>
              </w:rPr>
            </w:pPr>
            <w:r>
              <w:rPr>
                <w:rFonts w:hint="eastAsia"/>
                <w:color w:val="auto"/>
              </w:rPr>
              <w:t xml:space="preserve"> 牢固树立抓基层、强基础的鲜明导向，大力推进社区及两新党组织规范化建设</w:t>
            </w:r>
          </w:p>
        </w:tc>
        <w:tc>
          <w:tcPr>
            <w:tcW w:w="2316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0"/>
                <w:sz w:val="30"/>
                <w:szCs w:val="30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大力推进规范化建设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16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0"/>
                <w:sz w:val="30"/>
                <w:szCs w:val="30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效益指标</w:t>
            </w:r>
          </w:p>
        </w:tc>
        <w:tc>
          <w:tcPr>
            <w:tcW w:w="1356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0"/>
                <w:sz w:val="30"/>
                <w:szCs w:val="30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可持续影响</w:t>
            </w:r>
          </w:p>
        </w:tc>
        <w:tc>
          <w:tcPr>
            <w:tcW w:w="574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0"/>
                <w:sz w:val="30"/>
                <w:szCs w:val="30"/>
                <w:vertAlign w:val="baseline"/>
              </w:rPr>
            </w:pPr>
            <w:r>
              <w:rPr>
                <w:rFonts w:hint="eastAsia"/>
                <w:color w:val="auto"/>
              </w:rPr>
              <w:t>充分运用街道、社区服务型党组织综合平台开展便民服务事项</w:t>
            </w:r>
          </w:p>
        </w:tc>
        <w:tc>
          <w:tcPr>
            <w:tcW w:w="2316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0"/>
                <w:sz w:val="30"/>
                <w:szCs w:val="30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持续开展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16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0"/>
                <w:sz w:val="30"/>
                <w:szCs w:val="30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服务对象满意度指标</w:t>
            </w:r>
          </w:p>
        </w:tc>
        <w:tc>
          <w:tcPr>
            <w:tcW w:w="1356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0"/>
                <w:sz w:val="30"/>
                <w:szCs w:val="30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群众满意度问卷调查</w:t>
            </w:r>
          </w:p>
        </w:tc>
        <w:tc>
          <w:tcPr>
            <w:tcW w:w="574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0"/>
                <w:sz w:val="30"/>
                <w:szCs w:val="30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针对党政工作开展情况，对社区党员、辖区群众开展问卷调查工作</w:t>
            </w:r>
          </w:p>
        </w:tc>
        <w:tc>
          <w:tcPr>
            <w:tcW w:w="2316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0"/>
                <w:sz w:val="30"/>
                <w:szCs w:val="30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满意率</w:t>
            </w:r>
            <w:r>
              <w:rPr>
                <w:rStyle w:val="9"/>
                <w:rFonts w:eastAsia="宋体"/>
                <w:color w:val="auto"/>
                <w:lang w:val="en-US" w:eastAsia="zh-CN" w:bidi="ar"/>
              </w:rPr>
              <w:t>80%</w:t>
            </w:r>
            <w:r>
              <w:rPr>
                <w:rStyle w:val="8"/>
                <w:color w:val="auto"/>
                <w:lang w:val="en-US" w:eastAsia="zh-CN" w:bidi="ar"/>
              </w:rPr>
              <w:t>以上</w:t>
            </w:r>
          </w:p>
        </w:tc>
      </w:tr>
    </w:tbl>
    <w:p>
      <w:pPr>
        <w:widowControl/>
        <w:ind w:left="600"/>
        <w:jc w:val="left"/>
        <w:rPr>
          <w:rFonts w:hint="default" w:ascii="Times New Roman" w:hAnsi="Times New Roman" w:eastAsia="黑体" w:cs="Times New Roman"/>
          <w:kern w:val="0"/>
          <w:sz w:val="30"/>
          <w:szCs w:val="30"/>
        </w:rPr>
      </w:pPr>
    </w:p>
    <w:p>
      <w:bookmarkStart w:id="0" w:name="_GoBack"/>
      <w:bookmarkEnd w:id="0"/>
    </w:p>
    <w:sectPr>
      <w:headerReference r:id="rId3" w:type="default"/>
      <w:headerReference r:id="rId4" w:type="even"/>
      <w:pgSz w:w="11906" w:h="16838"/>
      <w:pgMar w:top="1247" w:right="1797" w:bottom="1247" w:left="1797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方正小标宋简体">
    <w:altName w:val="黑体"/>
    <w:panose1 w:val="02010601030101010101"/>
    <w:charset w:val="86"/>
    <w:family w:val="auto"/>
    <w:pitch w:val="default"/>
    <w:sig w:usb0="00000000" w:usb1="00000000" w:usb2="00000000" w:usb3="00000000" w:csb0="00040000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pBdr>
        <w:bottom w:val="none" w:color="auto" w:sz="0" w:space="0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pBdr>
        <w:bottom w:val="none" w:color="auto" w:sz="0" w:space="0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E656B4D"/>
    <w:rsid w:val="7E656B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iPriority w:val="0"/>
  </w:style>
  <w:style w:type="table" w:default="1" w:styleId="3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4">
    <w:name w:val="Table Grid"/>
    <w:basedOn w:val="3"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Layout w:type="fixed"/>
    </w:tblPr>
  </w:style>
  <w:style w:type="character" w:customStyle="1" w:styleId="6">
    <w:name w:val="font31"/>
    <w:basedOn w:val="5"/>
    <w:uiPriority w:val="0"/>
    <w:rPr>
      <w:rFonts w:hint="eastAsia" w:ascii="宋体" w:hAnsi="宋体" w:eastAsia="宋体" w:cs="宋体"/>
      <w:color w:val="000000"/>
      <w:sz w:val="22"/>
      <w:szCs w:val="22"/>
      <w:u w:val="none"/>
    </w:rPr>
  </w:style>
  <w:style w:type="character" w:customStyle="1" w:styleId="7">
    <w:name w:val="font21"/>
    <w:basedOn w:val="5"/>
    <w:uiPriority w:val="0"/>
    <w:rPr>
      <w:rFonts w:hint="default" w:ascii="Times New Roman" w:hAnsi="Times New Roman" w:cs="Times New Roman"/>
      <w:color w:val="000000"/>
      <w:sz w:val="22"/>
      <w:szCs w:val="22"/>
      <w:u w:val="none"/>
    </w:rPr>
  </w:style>
  <w:style w:type="character" w:customStyle="1" w:styleId="8">
    <w:name w:val="font11"/>
    <w:basedOn w:val="5"/>
    <w:uiPriority w:val="0"/>
    <w:rPr>
      <w:rFonts w:hint="eastAsia" w:ascii="宋体" w:hAnsi="宋体" w:eastAsia="宋体" w:cs="宋体"/>
      <w:color w:val="000000"/>
      <w:sz w:val="22"/>
      <w:szCs w:val="22"/>
      <w:u w:val="none"/>
    </w:rPr>
  </w:style>
  <w:style w:type="character" w:customStyle="1" w:styleId="9">
    <w:name w:val="font01"/>
    <w:basedOn w:val="5"/>
    <w:uiPriority w:val="0"/>
    <w:rPr>
      <w:rFonts w:hint="default" w:ascii="Times New Roman" w:hAnsi="Times New Roman" w:cs="Times New Roman"/>
      <w:color w:val="000000"/>
      <w:sz w:val="22"/>
      <w:szCs w:val="22"/>
      <w:u w:val="none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昆明市盘龙区党政机关单位</Company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Office_11.8.6.8722_F1E327BC-269C-435d-A152-05C5408002CA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2020-07-13T01:21:00Z</dcterms:created>
  <dc:creator>Administrator</dc:creator>
  <cp:lastModifiedBy>Administrator</cp:lastModifiedBy>
  <dcterms:modified xsi:type="dcterms:W3CDTF">2020-07-13T01:21:48Z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2052-11.8.6.8722</vt:lpwstr>
  </property>
</Properties>
</file>