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cstheme="minorEastAsia"/>
          <w:bCs/>
          <w:sz w:val="52"/>
          <w:szCs w:val="52"/>
        </w:rPr>
      </w:pPr>
      <w:r>
        <w:rPr>
          <w:rFonts w:hint="eastAsia" w:asciiTheme="minorEastAsia" w:hAnsiTheme="minorEastAsia" w:eastAsiaTheme="minorEastAsia" w:cstheme="minorEastAsia"/>
          <w:bCs/>
          <w:sz w:val="52"/>
          <w:szCs w:val="52"/>
        </w:rPr>
        <w:t>创建文明城市经费项目支出</w:t>
      </w:r>
    </w:p>
    <w:p>
      <w:pPr>
        <w:jc w:val="center"/>
        <w:rPr>
          <w:rFonts w:asciiTheme="minorEastAsia" w:hAnsiTheme="minorEastAsia" w:eastAsiaTheme="minorEastAsia" w:cstheme="minorEastAsia"/>
          <w:bCs/>
          <w:sz w:val="52"/>
          <w:szCs w:val="52"/>
        </w:rPr>
      </w:pPr>
      <w:r>
        <w:rPr>
          <w:rFonts w:hint="eastAsia" w:asciiTheme="minorEastAsia" w:hAnsiTheme="minorEastAsia" w:eastAsiaTheme="minorEastAsia" w:cstheme="minorEastAsia"/>
          <w:bCs/>
          <w:sz w:val="52"/>
          <w:szCs w:val="52"/>
        </w:rPr>
        <w:t>绩效自评报告</w:t>
      </w:r>
    </w:p>
    <w:p>
      <w:pPr>
        <w:jc w:val="center"/>
        <w:rPr>
          <w:rFonts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52"/>
          <w:szCs w:val="52"/>
        </w:rPr>
        <w:t>（2019年度）</w:t>
      </w:r>
    </w:p>
    <w:p>
      <w:pPr>
        <w:spacing w:before="120" w:after="120" w:line="440" w:lineRule="atLeast"/>
        <w:ind w:firstLine="562" w:firstLineChars="200"/>
        <w:jc w:val="center"/>
        <w:rPr>
          <w:rFonts w:asciiTheme="minorEastAsia" w:hAnsiTheme="minorEastAsia" w:eastAsiaTheme="minorEastAsia" w:cstheme="minorEastAsia"/>
          <w:b/>
          <w:bCs/>
          <w:sz w:val="28"/>
          <w:szCs w:val="28"/>
        </w:rPr>
      </w:pPr>
    </w:p>
    <w:p>
      <w:pPr>
        <w:spacing w:before="120" w:after="120" w:line="440" w:lineRule="atLeast"/>
        <w:ind w:firstLine="562" w:firstLineChars="200"/>
        <w:jc w:val="center"/>
        <w:rPr>
          <w:rFonts w:asciiTheme="minorEastAsia" w:hAnsiTheme="minorEastAsia" w:eastAsiaTheme="minorEastAsia" w:cstheme="minorEastAsia"/>
          <w:b/>
          <w:bCs/>
          <w:sz w:val="28"/>
          <w:szCs w:val="28"/>
        </w:rPr>
      </w:pPr>
    </w:p>
    <w:p>
      <w:pPr>
        <w:spacing w:before="120" w:after="120" w:line="440" w:lineRule="atLeast"/>
        <w:ind w:firstLine="562" w:firstLineChars="200"/>
        <w:jc w:val="center"/>
        <w:rPr>
          <w:rFonts w:asciiTheme="minorEastAsia" w:hAnsiTheme="minorEastAsia" w:eastAsiaTheme="minorEastAsia" w:cstheme="minorEastAsia"/>
          <w:b/>
          <w:bCs/>
          <w:sz w:val="28"/>
          <w:szCs w:val="28"/>
        </w:rPr>
      </w:pPr>
    </w:p>
    <w:p>
      <w:pPr>
        <w:spacing w:before="120" w:after="120" w:line="440" w:lineRule="atLeast"/>
        <w:ind w:firstLine="562" w:firstLineChars="200"/>
        <w:jc w:val="center"/>
        <w:rPr>
          <w:rFonts w:asciiTheme="minorEastAsia" w:hAnsiTheme="minorEastAsia" w:eastAsiaTheme="minorEastAsia" w:cstheme="minorEastAsia"/>
          <w:b/>
          <w:bCs/>
          <w:sz w:val="28"/>
          <w:szCs w:val="28"/>
        </w:rPr>
      </w:pP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6lyg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sz w:val="28"/>
          <w:szCs w:val="28"/>
        </w:rPr>
        <w:t>部门名称（公章）：盘龙区人民政府东华街道办事处</w:t>
      </w: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xhF2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sz w:val="28"/>
          <w:szCs w:val="28"/>
        </w:rPr>
        <w:t>项目单位： 盘龙区人民政府东华街道办事处</w:t>
      </w: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sz w:val="28"/>
          <w:szCs w:val="28"/>
        </w:rPr>
        <w:t xml:space="preserve">主管部门： </w:t>
      </w: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sz w:val="28"/>
          <w:szCs w:val="28"/>
        </w:rPr>
        <w:t>项目名称： 2019年创建文明城市经费</w:t>
      </w: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sz w:val="28"/>
          <w:szCs w:val="28"/>
        </w:rPr>
        <w:t>绩效自评日期： 2020年4月</w:t>
      </w:r>
    </w:p>
    <w:p>
      <w:pPr>
        <w:adjustRightInd w:val="0"/>
        <w:snapToGrid w:val="0"/>
        <w:spacing w:line="360" w:lineRule="auto"/>
        <w:ind w:left="1260" w:leftChars="600"/>
        <w:rPr>
          <w:rFonts w:asciiTheme="minorEastAsia" w:hAnsiTheme="minorEastAsia" w:eastAsiaTheme="minorEastAsia" w:cstheme="minorEastAsia"/>
          <w:b/>
          <w:bCs/>
          <w:sz w:val="28"/>
          <w:szCs w:val="28"/>
        </w:rPr>
      </w:pPr>
    </w:p>
    <w:p>
      <w:pPr>
        <w:spacing w:line="440" w:lineRule="atLeast"/>
        <w:ind w:left="1218" w:leftChars="580" w:firstLine="562" w:firstLineChars="200"/>
        <w:rPr>
          <w:rFonts w:asciiTheme="minorEastAsia" w:hAnsiTheme="minorEastAsia" w:eastAsiaTheme="minorEastAsia" w:cstheme="minorEastAsia"/>
          <w:b/>
          <w:bCs/>
          <w:sz w:val="28"/>
          <w:szCs w:val="28"/>
        </w:rPr>
      </w:pPr>
    </w:p>
    <w:p>
      <w:pPr>
        <w:spacing w:line="440" w:lineRule="atLeast"/>
        <w:ind w:firstLine="562" w:firstLineChars="200"/>
        <w:jc w:val="center"/>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2020年4月</w:t>
      </w:r>
    </w:p>
    <w:p>
      <w:pPr>
        <w:spacing w:line="440" w:lineRule="atLeast"/>
        <w:ind w:firstLine="562" w:firstLineChars="200"/>
        <w:jc w:val="center"/>
        <w:rPr>
          <w:rFonts w:asciiTheme="minorEastAsia" w:hAnsiTheme="minorEastAsia" w:eastAsiaTheme="minorEastAsia" w:cstheme="minorEastAsia"/>
          <w:b/>
          <w:bCs/>
          <w:sz w:val="28"/>
          <w:szCs w:val="28"/>
        </w:rPr>
      </w:pPr>
    </w:p>
    <w:p>
      <w:pPr>
        <w:spacing w:line="440" w:lineRule="atLeast"/>
        <w:ind w:firstLine="562" w:firstLineChars="200"/>
        <w:jc w:val="center"/>
        <w:rPr>
          <w:rFonts w:asciiTheme="minorEastAsia" w:hAnsiTheme="minorEastAsia" w:eastAsiaTheme="minorEastAsia" w:cstheme="minorEastAsia"/>
          <w:b/>
          <w:bCs/>
          <w:sz w:val="28"/>
          <w:szCs w:val="28"/>
        </w:rPr>
      </w:pPr>
    </w:p>
    <w:p>
      <w:pPr>
        <w:spacing w:line="440" w:lineRule="atLeast"/>
        <w:ind w:firstLine="562" w:firstLineChars="200"/>
        <w:jc w:val="center"/>
        <w:rPr>
          <w:rFonts w:asciiTheme="minorEastAsia" w:hAnsiTheme="minorEastAsia" w:eastAsiaTheme="minorEastAsia" w:cstheme="minorEastAsia"/>
          <w:b/>
          <w:bCs/>
          <w:sz w:val="28"/>
          <w:szCs w:val="28"/>
        </w:rPr>
      </w:pPr>
    </w:p>
    <w:p>
      <w:pPr>
        <w:spacing w:line="440" w:lineRule="atLeast"/>
        <w:ind w:firstLine="562" w:firstLineChars="200"/>
        <w:rPr>
          <w:rFonts w:asciiTheme="minorEastAsia" w:hAnsiTheme="minorEastAsia" w:eastAsiaTheme="minorEastAsia" w:cstheme="minorEastAsia"/>
          <w:b/>
          <w:bCs/>
          <w:sz w:val="28"/>
          <w:szCs w:val="28"/>
        </w:rPr>
      </w:pPr>
    </w:p>
    <w:p>
      <w:pPr>
        <w:widowControl/>
        <w:spacing w:line="440" w:lineRule="atLeast"/>
        <w:ind w:firstLine="562" w:firstLineChars="200"/>
        <w:jc w:val="left"/>
        <w:rPr>
          <w:rFonts w:asciiTheme="minorEastAsia" w:hAnsiTheme="minorEastAsia" w:eastAsiaTheme="minorEastAsia" w:cstheme="minorEastAsia"/>
          <w:b/>
          <w:bCs/>
          <w:sz w:val="28"/>
          <w:szCs w:val="28"/>
        </w:rPr>
        <w:sectPr>
          <w:pgSz w:w="11906" w:h="16838"/>
          <w:pgMar w:top="1440" w:right="1800" w:bottom="1440" w:left="1800" w:header="851" w:footer="992" w:gutter="0"/>
          <w:cols w:space="425" w:num="1"/>
          <w:titlePg/>
          <w:docGrid w:type="lines" w:linePitch="312" w:charSpace="0"/>
        </w:sectPr>
      </w:pPr>
    </w:p>
    <w:p>
      <w:pPr>
        <w:pStyle w:val="5"/>
        <w:widowControl w:val="0"/>
        <w:spacing w:after="0" w:line="440" w:lineRule="atLeast"/>
        <w:ind w:left="420" w:leftChars="200" w:firstLine="560" w:firstLineChars="200"/>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eastAsia="zh-TW"/>
        </w:rPr>
        <w:t>评价小组成员：</w:t>
      </w:r>
    </w:p>
    <w:tbl>
      <w:tblPr>
        <w:tblStyle w:val="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215"/>
        <w:gridCol w:w="2295"/>
        <w:gridCol w:w="2025"/>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4"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评价小组</w:t>
            </w:r>
          </w:p>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机构职位</w:t>
            </w:r>
          </w:p>
        </w:tc>
        <w:tc>
          <w:tcPr>
            <w:tcW w:w="121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姓名</w:t>
            </w:r>
          </w:p>
        </w:tc>
        <w:tc>
          <w:tcPr>
            <w:tcW w:w="229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职务/职称</w:t>
            </w:r>
          </w:p>
        </w:tc>
        <w:tc>
          <w:tcPr>
            <w:tcW w:w="202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所属</w:t>
            </w:r>
          </w:p>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单位/处室</w:t>
            </w:r>
          </w:p>
        </w:tc>
        <w:tc>
          <w:tcPr>
            <w:tcW w:w="1343"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4"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组长</w:t>
            </w:r>
          </w:p>
        </w:tc>
        <w:tc>
          <w:tcPr>
            <w:tcW w:w="121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丁文舟</w:t>
            </w:r>
          </w:p>
        </w:tc>
        <w:tc>
          <w:tcPr>
            <w:tcW w:w="229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办事处主任</w:t>
            </w:r>
          </w:p>
        </w:tc>
        <w:tc>
          <w:tcPr>
            <w:tcW w:w="202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东华街道办事处</w:t>
            </w:r>
          </w:p>
        </w:tc>
        <w:tc>
          <w:tcPr>
            <w:tcW w:w="1343" w:type="dxa"/>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4"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副组长</w:t>
            </w:r>
          </w:p>
        </w:tc>
        <w:tc>
          <w:tcPr>
            <w:tcW w:w="121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刘舒翼</w:t>
            </w:r>
          </w:p>
        </w:tc>
        <w:tc>
          <w:tcPr>
            <w:tcW w:w="229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办事处副主任</w:t>
            </w:r>
          </w:p>
        </w:tc>
        <w:tc>
          <w:tcPr>
            <w:tcW w:w="202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东华街道办事处</w:t>
            </w:r>
          </w:p>
        </w:tc>
        <w:tc>
          <w:tcPr>
            <w:tcW w:w="1343" w:type="dxa"/>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4"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组员</w:t>
            </w:r>
          </w:p>
        </w:tc>
        <w:tc>
          <w:tcPr>
            <w:tcW w:w="121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王禧</w:t>
            </w:r>
          </w:p>
        </w:tc>
        <w:tc>
          <w:tcPr>
            <w:tcW w:w="229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党政综合办副主任</w:t>
            </w:r>
          </w:p>
        </w:tc>
        <w:tc>
          <w:tcPr>
            <w:tcW w:w="202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东华街道办事处</w:t>
            </w:r>
          </w:p>
        </w:tc>
        <w:tc>
          <w:tcPr>
            <w:tcW w:w="1343" w:type="dxa"/>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4"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组员</w:t>
            </w:r>
          </w:p>
        </w:tc>
        <w:tc>
          <w:tcPr>
            <w:tcW w:w="121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赵晓丹</w:t>
            </w:r>
          </w:p>
        </w:tc>
        <w:tc>
          <w:tcPr>
            <w:tcW w:w="229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纪检监察室副主任</w:t>
            </w:r>
          </w:p>
        </w:tc>
        <w:tc>
          <w:tcPr>
            <w:tcW w:w="202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东华街道办事处</w:t>
            </w:r>
          </w:p>
        </w:tc>
        <w:tc>
          <w:tcPr>
            <w:tcW w:w="1343" w:type="dxa"/>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trPr>
        <w:tc>
          <w:tcPr>
            <w:tcW w:w="1224"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组员</w:t>
            </w:r>
          </w:p>
        </w:tc>
        <w:tc>
          <w:tcPr>
            <w:tcW w:w="121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洪艺维</w:t>
            </w:r>
          </w:p>
        </w:tc>
        <w:tc>
          <w:tcPr>
            <w:tcW w:w="229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城市管理综合服务中心主任</w:t>
            </w:r>
          </w:p>
        </w:tc>
        <w:tc>
          <w:tcPr>
            <w:tcW w:w="202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东华街道办事处</w:t>
            </w:r>
          </w:p>
        </w:tc>
        <w:tc>
          <w:tcPr>
            <w:tcW w:w="1343" w:type="dxa"/>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4"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组员</w:t>
            </w:r>
          </w:p>
        </w:tc>
        <w:tc>
          <w:tcPr>
            <w:tcW w:w="121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王盛新</w:t>
            </w:r>
          </w:p>
        </w:tc>
        <w:tc>
          <w:tcPr>
            <w:tcW w:w="229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财政所所长</w:t>
            </w:r>
          </w:p>
        </w:tc>
        <w:tc>
          <w:tcPr>
            <w:tcW w:w="2025" w:type="dxa"/>
            <w:vAlign w:val="center"/>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东华街道办事处</w:t>
            </w:r>
          </w:p>
        </w:tc>
        <w:tc>
          <w:tcPr>
            <w:tcW w:w="1343" w:type="dxa"/>
          </w:tcPr>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5"/>
              <w:widowControl w:val="0"/>
              <w:spacing w:after="0" w:line="360" w:lineRule="auto"/>
              <w:jc w:val="both"/>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报告撰写人（签字）：</w:t>
            </w:r>
          </w:p>
          <w:p>
            <w:pPr>
              <w:pStyle w:val="5"/>
              <w:widowControl w:val="0"/>
              <w:spacing w:after="0" w:line="360" w:lineRule="auto"/>
              <w:jc w:val="center"/>
              <w:rPr>
                <w:rFonts w:asciiTheme="minorEastAsia" w:hAnsiTheme="minorEastAsia" w:eastAsiaTheme="minorEastAsia" w:cstheme="minorEastAsia"/>
                <w:kern w:val="2"/>
                <w:sz w:val="24"/>
                <w:szCs w:val="24"/>
                <w:lang w:val="zh-TW"/>
              </w:rPr>
            </w:pPr>
          </w:p>
          <w:p>
            <w:pPr>
              <w:pStyle w:val="5"/>
              <w:widowControl w:val="0"/>
              <w:spacing w:after="0" w:line="360" w:lineRule="auto"/>
              <w:jc w:val="center"/>
              <w:rPr>
                <w:rFonts w:asciiTheme="minorEastAsia" w:hAnsiTheme="minorEastAsia" w:eastAsiaTheme="minorEastAsia" w:cstheme="minorEastAsia"/>
                <w:kern w:val="2"/>
                <w:sz w:val="24"/>
                <w:szCs w:val="24"/>
                <w:lang w:val="zh-TW"/>
              </w:rPr>
            </w:pPr>
          </w:p>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rPr>
              <w:t xml:space="preserve">                                               </w:t>
            </w:r>
            <w:r>
              <w:rPr>
                <w:rFonts w:hint="eastAsia" w:asciiTheme="minorEastAsia" w:hAnsiTheme="minorEastAsia" w:eastAsiaTheme="minorEastAsia" w:cstheme="minorEastAsia"/>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5"/>
              <w:widowControl w:val="0"/>
              <w:spacing w:after="0" w:line="360" w:lineRule="auto"/>
              <w:jc w:val="both"/>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评价工作负责人（签字）：</w:t>
            </w:r>
          </w:p>
          <w:p>
            <w:pPr>
              <w:pStyle w:val="5"/>
              <w:widowControl w:val="0"/>
              <w:spacing w:after="0" w:line="360" w:lineRule="auto"/>
              <w:jc w:val="center"/>
              <w:rPr>
                <w:rFonts w:asciiTheme="minorEastAsia" w:hAnsiTheme="minorEastAsia" w:eastAsiaTheme="minorEastAsia" w:cstheme="minorEastAsia"/>
                <w:kern w:val="2"/>
                <w:sz w:val="24"/>
                <w:szCs w:val="24"/>
                <w:lang w:val="zh-TW"/>
              </w:rPr>
            </w:pPr>
          </w:p>
          <w:p>
            <w:pPr>
              <w:pStyle w:val="5"/>
              <w:widowControl w:val="0"/>
              <w:spacing w:after="0" w:line="360" w:lineRule="auto"/>
              <w:jc w:val="center"/>
              <w:rPr>
                <w:rFonts w:asciiTheme="minorEastAsia" w:hAnsiTheme="minorEastAsia" w:eastAsiaTheme="minorEastAsia" w:cstheme="minorEastAsia"/>
                <w:kern w:val="2"/>
                <w:sz w:val="24"/>
                <w:szCs w:val="24"/>
                <w:lang w:val="zh-TW"/>
              </w:rPr>
            </w:pPr>
          </w:p>
          <w:p>
            <w:pPr>
              <w:pStyle w:val="5"/>
              <w:widowControl w:val="0"/>
              <w:spacing w:after="0" w:line="360" w:lineRule="auto"/>
              <w:jc w:val="center"/>
              <w:rPr>
                <w:rFonts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rPr>
              <w:t xml:space="preserve">                                                </w:t>
            </w:r>
            <w:r>
              <w:rPr>
                <w:rFonts w:hint="eastAsia" w:asciiTheme="minorEastAsia" w:hAnsiTheme="minorEastAsia" w:eastAsiaTheme="minorEastAsia" w:cstheme="minorEastAsia"/>
                <w:kern w:val="2"/>
                <w:sz w:val="24"/>
                <w:szCs w:val="24"/>
                <w:lang w:val="zh-TW"/>
              </w:rPr>
              <w:t>年  月  日</w:t>
            </w:r>
          </w:p>
        </w:tc>
      </w:tr>
    </w:tbl>
    <w:p>
      <w:pPr>
        <w:pStyle w:val="5"/>
        <w:widowControl w:val="0"/>
        <w:spacing w:after="0" w:line="360" w:lineRule="auto"/>
        <w:jc w:val="center"/>
        <w:rPr>
          <w:rFonts w:asciiTheme="minorEastAsia" w:hAnsiTheme="minorEastAsia" w:eastAsiaTheme="minorEastAsia" w:cstheme="minorEastAsia"/>
          <w:kern w:val="2"/>
          <w:sz w:val="24"/>
          <w:szCs w:val="24"/>
          <w:lang w:val="zh-TW" w:eastAsia="zh-TW"/>
        </w:rPr>
      </w:pPr>
    </w:p>
    <w:p>
      <w:pPr>
        <w:pStyle w:val="5"/>
        <w:widowControl w:val="0"/>
        <w:spacing w:after="0" w:line="440" w:lineRule="atLeast"/>
        <w:ind w:firstLine="560" w:firstLineChars="200"/>
        <w:jc w:val="both"/>
        <w:rPr>
          <w:rFonts w:asciiTheme="minorEastAsia" w:hAnsiTheme="minorEastAsia" w:eastAsiaTheme="minorEastAsia" w:cstheme="minorEastAsia"/>
          <w:kern w:val="2"/>
          <w:sz w:val="28"/>
          <w:szCs w:val="28"/>
          <w:lang w:val="zh-TW"/>
        </w:rPr>
        <w:sectPr>
          <w:pgSz w:w="11906" w:h="16838"/>
          <w:pgMar w:top="1440" w:right="1800" w:bottom="1440" w:left="1800" w:header="851" w:footer="992" w:gutter="0"/>
          <w:cols w:space="425" w:num="1"/>
          <w:docGrid w:type="lines" w:linePitch="312" w:charSpace="0"/>
        </w:sectPr>
      </w:pPr>
    </w:p>
    <w:p>
      <w:pPr>
        <w:pStyle w:val="6"/>
        <w:jc w:val="center"/>
        <w:rPr>
          <w:rFonts w:asciiTheme="minorEastAsia" w:hAnsiTheme="minorEastAsia" w:eastAsiaTheme="minorEastAsia" w:cstheme="minorEastAsia"/>
          <w:color w:val="auto"/>
          <w:lang w:val="zh-CN"/>
        </w:rPr>
      </w:pPr>
      <w:r>
        <w:rPr>
          <w:rFonts w:hint="eastAsia" w:asciiTheme="minorEastAsia" w:hAnsiTheme="minorEastAsia" w:eastAsiaTheme="minorEastAsia" w:cstheme="minorEastAsia"/>
          <w:color w:val="auto"/>
          <w:lang w:val="zh-CN"/>
        </w:rPr>
        <w:t>目录</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摘要</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一、 项目基本情况</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（一）项目立项背景</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（二）项目立项依据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（三）项目实施内容</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（四）项目实施计划及完成情况</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（五）项目的组织及管理</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（六）项目绩效目标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二、绩效评价工作情况</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(一)评价的目的和依据</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(二)绩效评价工作方案制定过程</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(三)绩效评价原则、评价方法等</w:t>
      </w:r>
      <w:r>
        <w:rPr>
          <w:rFonts w:hint="eastAsia" w:asciiTheme="minorEastAsia" w:hAnsiTheme="minorEastAsia" w:eastAsiaTheme="minorEastAsia" w:cstheme="minorEastAsia"/>
          <w:szCs w:val="32"/>
        </w:rPr>
        <w:tab/>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(四)绩效评价实施过程</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(五)绩效评价的局限性</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三、评价结论及绩效分析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(一)评价结论</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(二)绩效分析</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四、项目主要经验及做法、存在的问题和建议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(一)主要经验及做法</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(二)存在的问题</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(三)建议和改进措施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五、附件</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附件一：指标体系</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附件二：基础数据表</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附件三：问卷调查分析报告</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附件四：批复文件、绩效目标申报表</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atLeast"/>
        <w:ind w:firstLine="560" w:firstLineChars="200"/>
        <w:rPr>
          <w:rFonts w:asciiTheme="minorEastAsia" w:hAnsiTheme="minorEastAsia" w:eastAsiaTheme="minorEastAsia" w:cstheme="minorEastAsia"/>
          <w:sz w:val="28"/>
          <w:szCs w:val="28"/>
        </w:rPr>
      </w:pPr>
    </w:p>
    <w:p>
      <w:pPr>
        <w:spacing w:line="440" w:lineRule="atLeast"/>
        <w:ind w:firstLine="720" w:firstLineChars="20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36"/>
          <w:szCs w:val="36"/>
        </w:rPr>
        <w:t>创建文明城市经费项目支出绩效自评报告</w:t>
      </w:r>
    </w:p>
    <w:p>
      <w:pPr>
        <w:spacing w:line="440" w:lineRule="atLeast"/>
        <w:ind w:firstLine="560" w:firstLineChars="200"/>
        <w:jc w:val="left"/>
        <w:rPr>
          <w:rFonts w:asciiTheme="minorEastAsia" w:hAnsiTheme="minorEastAsia" w:eastAsiaTheme="minorEastAsia" w:cstheme="minorEastAsia"/>
          <w:sz w:val="28"/>
          <w:szCs w:val="28"/>
        </w:rPr>
      </w:pPr>
    </w:p>
    <w:p>
      <w:pPr>
        <w:spacing w:line="440" w:lineRule="atLeast"/>
        <w:ind w:firstLine="560" w:firstLineChars="20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摘要</w:t>
      </w:r>
    </w:p>
    <w:p>
      <w:pPr>
        <w:numPr>
          <w:ilvl w:val="0"/>
          <w:numId w:val="1"/>
        </w:num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项目概况：</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1、项目立项背景及目的</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为切实落实好昆明市创建全国文明城市的各项工作任务及区委区政府、各级相关业务指导部门下达各项工作，以巩固和提高“创卫”成果为基础，以“惠民、利民、便民”为目标，广泛宣传发动，全力推进“创文”重点。狠抓落实、全力推动各项工作的开展持续开展健康知识普及，进一步提高辖区市民的知晓率、参与率，多形式地开展宣传、培训活动，促进各项工作持续开展。</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2、预算收支情况</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创建文明城市经费项目预算收入316.33万元，预算支出316.33万元，结余0.00元。</w:t>
      </w:r>
    </w:p>
    <w:p>
      <w:pPr>
        <w:numPr>
          <w:ilvl w:val="0"/>
          <w:numId w:val="1"/>
        </w:num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评价结论</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该项目资金立项依据充分，立项程序规范，绩效目标明确，预算编制合理，各项支出均按规定使用，对资金使用严格财经纪律，专款专用，确保了资金的使用效率。综合项目的投入、产出及效益，自评为99分</w:t>
      </w:r>
      <w:r>
        <w:rPr>
          <w:rFonts w:hint="eastAsia" w:asciiTheme="minorEastAsia" w:hAnsiTheme="minorEastAsia" w:eastAsiaTheme="minorEastAsia" w:cstheme="minorEastAsia"/>
          <w:color w:val="000000"/>
          <w:sz w:val="28"/>
          <w:szCs w:val="28"/>
        </w:rPr>
        <w:t>，评价结果为优。</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三、经验、问题和建议</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1、严格对标对表对责，确保各项工作全面达标。</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2、全面夯实“创文”基础，稳步实现“常态常效”。</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3、强化督查，严格奖惩，进一步提升创建落实水平。</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4、整合资源，全民参与。</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5、确定专人负责主体责任落实和日常痕迹管理等工作。</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资金不足。精神文明工作主要是通过活动载体来传播、引领社会风尚。开展各项活动都离不开资金的支持。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创文”指标任务艰巨，氛围宣传的覆盖率、市民的参与度满意度、环境综合整治、城市建设管理水平等都有待提升。结合2019年度双月测评、季度测评结果，发现东华街道辖区内主要存在问题在于机动车和非机动车乱停乱放、公益广告陈旧破损、小区楼道杂物堆放、消防设施检查登记不及时、门前三包落实不到位等问题。</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3、社会效益指标及社会公众或服务对象满意度指标未能完全达到预算绩效目标，由于辖区范围广、涉及事务种类繁多，无法达到100%的满意度回馈。</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（三）改进措施及建议。</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1、加大经费投入，根据上年工作开展情况及绩效自评小组的结果，结合下年工作目标、计划，科学合理的分配各块工作资金，做到不遗漏，重点突出。</w:t>
      </w:r>
    </w:p>
    <w:p>
      <w:pPr>
        <w:spacing w:line="440" w:lineRule="atLeast"/>
        <w:ind w:firstLine="560" w:firstLineChars="200"/>
        <w:jc w:val="left"/>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加大宣传力度，增强居民素质，提高居民参与度，加大经费投入，整改提升、全面达标，规范、细致做好“创文”工作。由街道各专项组、相关科室和各社区配合开展集中专项整治，加强日常管理和教育引导，对症下药、综合施策，避免此类问题再次的发生频率，确保“六个不滑坡”和“六个持续提升”，并着重进一步提升辖区文明程度和市民文明素质。</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p>
      <w:pPr>
        <w:spacing w:line="440" w:lineRule="atLeast"/>
        <w:ind w:firstLine="560" w:firstLineChars="200"/>
        <w:jc w:val="left"/>
        <w:rPr>
          <w:rFonts w:asciiTheme="minorEastAsia" w:hAnsiTheme="minorEastAsia" w:eastAsiaTheme="minorEastAsia" w:cstheme="minorEastAsia"/>
          <w:sz w:val="28"/>
          <w:szCs w:val="28"/>
        </w:rPr>
      </w:pPr>
    </w:p>
    <w:p>
      <w:pPr>
        <w:spacing w:line="440" w:lineRule="atLeast"/>
        <w:ind w:firstLine="560" w:firstLineChars="200"/>
        <w:jc w:val="left"/>
        <w:rPr>
          <w:rFonts w:asciiTheme="minorEastAsia" w:hAnsiTheme="minorEastAsia" w:eastAsiaTheme="minorEastAsia" w:cstheme="minorEastAsia"/>
          <w:sz w:val="28"/>
          <w:szCs w:val="28"/>
        </w:rPr>
      </w:pPr>
    </w:p>
    <w:p>
      <w:pPr>
        <w:spacing w:line="440" w:lineRule="atLeast"/>
        <w:ind w:firstLine="723" w:firstLineChars="200"/>
        <w:jc w:val="center"/>
        <w:rPr>
          <w:rFonts w:asciiTheme="minorEastAsia" w:hAnsiTheme="minorEastAsia" w:eastAsiaTheme="minorEastAsia" w:cstheme="minorEastAsia"/>
          <w:b/>
          <w:sz w:val="36"/>
          <w:szCs w:val="36"/>
        </w:rPr>
      </w:pPr>
    </w:p>
    <w:p>
      <w:pPr>
        <w:spacing w:line="440" w:lineRule="atLeast"/>
        <w:ind w:firstLine="723" w:firstLineChars="200"/>
        <w:jc w:val="center"/>
        <w:rPr>
          <w:rFonts w:asciiTheme="minorEastAsia" w:hAnsiTheme="minorEastAsia" w:eastAsiaTheme="minorEastAsia" w:cstheme="minorEastAsia"/>
          <w:b/>
          <w:sz w:val="36"/>
          <w:szCs w:val="36"/>
        </w:rPr>
      </w:pPr>
    </w:p>
    <w:p>
      <w:pPr>
        <w:spacing w:line="440" w:lineRule="atLeast"/>
        <w:ind w:firstLine="723" w:firstLineChars="200"/>
        <w:jc w:val="center"/>
        <w:rPr>
          <w:rFonts w:asciiTheme="minorEastAsia" w:hAnsiTheme="minorEastAsia" w:eastAsiaTheme="minorEastAsia" w:cstheme="minorEastAsia"/>
          <w:b/>
          <w:sz w:val="36"/>
          <w:szCs w:val="36"/>
        </w:rPr>
      </w:pPr>
    </w:p>
    <w:p>
      <w:pPr>
        <w:spacing w:line="440" w:lineRule="atLeast"/>
        <w:ind w:firstLine="723" w:firstLineChars="200"/>
        <w:jc w:val="center"/>
        <w:rPr>
          <w:rFonts w:asciiTheme="minorEastAsia" w:hAnsiTheme="minorEastAsia" w:eastAsiaTheme="minorEastAsia" w:cstheme="minorEastAsia"/>
          <w:b/>
          <w:sz w:val="36"/>
          <w:szCs w:val="36"/>
        </w:rPr>
      </w:pPr>
    </w:p>
    <w:p>
      <w:pPr>
        <w:spacing w:line="440" w:lineRule="atLeast"/>
        <w:ind w:firstLine="723" w:firstLineChars="200"/>
        <w:jc w:val="center"/>
        <w:rPr>
          <w:rFonts w:asciiTheme="minorEastAsia" w:hAnsiTheme="minorEastAsia" w:eastAsiaTheme="minorEastAsia" w:cstheme="minorEastAsia"/>
          <w:b/>
          <w:sz w:val="36"/>
          <w:szCs w:val="36"/>
        </w:rPr>
      </w:pPr>
    </w:p>
    <w:p>
      <w:pPr>
        <w:spacing w:line="440" w:lineRule="atLeast"/>
        <w:ind w:firstLine="723" w:firstLineChars="200"/>
        <w:jc w:val="center"/>
        <w:rPr>
          <w:rFonts w:asciiTheme="minorEastAsia" w:hAnsiTheme="minorEastAsia" w:eastAsiaTheme="minorEastAsia" w:cstheme="minorEastAsia"/>
          <w:b/>
          <w:sz w:val="36"/>
          <w:szCs w:val="36"/>
        </w:rPr>
      </w:pPr>
    </w:p>
    <w:p>
      <w:pPr>
        <w:spacing w:line="440" w:lineRule="atLeast"/>
        <w:ind w:firstLine="723" w:firstLineChars="200"/>
        <w:jc w:val="center"/>
        <w:rPr>
          <w:rFonts w:asciiTheme="minorEastAsia" w:hAnsiTheme="minorEastAsia" w:eastAsiaTheme="minorEastAsia" w:cstheme="minorEastAsia"/>
          <w:b/>
          <w:sz w:val="36"/>
          <w:szCs w:val="36"/>
        </w:rPr>
      </w:pPr>
    </w:p>
    <w:p>
      <w:pPr>
        <w:spacing w:line="440" w:lineRule="atLeast"/>
        <w:rPr>
          <w:rFonts w:asciiTheme="minorEastAsia" w:hAnsiTheme="minorEastAsia" w:eastAsiaTheme="minorEastAsia" w:cstheme="minorEastAsia"/>
          <w:b/>
          <w:sz w:val="36"/>
          <w:szCs w:val="36"/>
        </w:rPr>
      </w:pPr>
    </w:p>
    <w:p>
      <w:pPr>
        <w:spacing w:line="440" w:lineRule="atLeast"/>
        <w:rPr>
          <w:rFonts w:asciiTheme="minorEastAsia" w:hAnsiTheme="minorEastAsia" w:eastAsiaTheme="minorEastAsia" w:cstheme="minorEastAsia"/>
          <w:b/>
          <w:sz w:val="36"/>
          <w:szCs w:val="36"/>
        </w:rPr>
      </w:pPr>
    </w:p>
    <w:p>
      <w:pPr>
        <w:spacing w:line="440" w:lineRule="atLeast"/>
        <w:ind w:firstLine="723" w:firstLineChars="200"/>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正文：创建文明城市经费项目支出绩效自评报告</w:t>
      </w:r>
    </w:p>
    <w:p>
      <w:pPr>
        <w:topLinePunct/>
        <w:spacing w:line="440" w:lineRule="atLeast"/>
        <w:ind w:firstLine="560" w:firstLineChars="200"/>
        <w:rPr>
          <w:rFonts w:asciiTheme="minorEastAsia" w:hAnsiTheme="minorEastAsia" w:eastAsiaTheme="minorEastAsia" w:cstheme="minorEastAsia"/>
          <w:sz w:val="28"/>
          <w:szCs w:val="28"/>
        </w:rPr>
      </w:pP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一、项目基本情况</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（一）项目概况</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1、立项背景及目的</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为全面贯彻落实昆明市、盘龙区创建全国文明城市工作推进会的安排部署，进一步做好街道创建全国文明城市的各项工作任务，全面发动、全员参与、全力推进、着力打造优美生活环境，通过对生活环境的整治提升，城市文明程度得到全面提高，全区生活环境工作达到《全国文明城市测评体系》规定的测评标准和要求，巩固和提升“创卫”工作成果，持续开展健康知识普及，进一步提高辖区市民的知晓率、参与率，多形式地开展宣传、培训活动，促进各项工作持续开展。做好迎接各项任务，确保各项指标达标，创建工作顺利通过。力争2019年步入全国文明城市行列目标。</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2、项目实施情况。</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（1）高位统筹抓落实，健全机制促推进。着力强化领导、责任、落实三大工作机制。</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（2）集中整治抓重点，服务群众促成效。坚持抓专项整治；坚持城市管理精细化；开展为民服务中心（站）标准化建设。</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（3）营造氛围抓宣传，全面参与促带动。加大传播文明，积极发动群众；加大劝导文明，全面吸引群众；加大培育文明，不断感染群众。</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（4）做好爱国卫生组织管理；健康教育和健康促进；市容环境卫生；环境保护；重点公共场所卫生；食品和生活饮用水安全；公共卫生与医疗服务；病媒生物预防控制等方面工作。</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3、资金来源及使用情况。</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2019年度创建文明城市经费预算总投入</w:t>
      </w:r>
      <w:r>
        <w:rPr>
          <w:rFonts w:hint="eastAsia" w:asciiTheme="minorEastAsia" w:hAnsiTheme="minorEastAsia" w:eastAsiaTheme="minorEastAsia" w:cstheme="minorEastAsia"/>
          <w:sz w:val="28"/>
          <w:szCs w:val="28"/>
        </w:rPr>
        <w:t>316.33万</w:t>
      </w:r>
      <w:r>
        <w:rPr>
          <w:rFonts w:hint="eastAsia" w:asciiTheme="minorEastAsia" w:hAnsiTheme="minorEastAsia" w:eastAsiaTheme="minorEastAsia" w:cstheme="minorEastAsia"/>
          <w:color w:val="000000"/>
          <w:sz w:val="28"/>
          <w:szCs w:val="28"/>
        </w:rPr>
        <w:t>元，已从区级财政全额拨付到位。资金已全部使用完毕，项目资金主要用于创建期间各临时人员劳务、补贴发放；开展各类道德文化、科普、法制宣传活动及创城氛围打造等方面。</w:t>
      </w:r>
    </w:p>
    <w:p>
      <w:pPr>
        <w:topLinePunct/>
        <w:spacing w:line="440" w:lineRule="atLeast"/>
        <w:ind w:firstLine="56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color w:val="000000"/>
          <w:sz w:val="28"/>
          <w:szCs w:val="28"/>
        </w:rPr>
        <w:t>4、</w:t>
      </w:r>
      <w:r>
        <w:rPr>
          <w:rFonts w:hint="eastAsia" w:asciiTheme="minorEastAsia" w:hAnsiTheme="minorEastAsia" w:eastAsiaTheme="minorEastAsia" w:cstheme="minorEastAsia"/>
          <w:sz w:val="28"/>
          <w:szCs w:val="28"/>
        </w:rPr>
        <w:t>组织及管理情况。</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项目由城管科负责实施，项目各项经费支出通过相关报账手续后，由财政所进行资金拨付。项目实际支出与项目计划投入资金的用途相符，资金的拨付有完整的审批程序和手续，符合项目预算批复或合同规定的用途，做到了专款专用。</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（二）绩效目标。</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1、总目标。</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昆明市创建全国文明城市工作，按照《全国文明城市创建标准》标准， 做好迎接各项任务，确保各项指标达标，创建工作顺利通过。力争2019年步入全国文明城市行列。</w:t>
      </w:r>
    </w:p>
    <w:p>
      <w:pPr>
        <w:topLinePunct/>
        <w:spacing w:line="440" w:lineRule="atLeast"/>
        <w:ind w:firstLine="560" w:firstLineChars="200"/>
        <w:rPr>
          <w:rFonts w:ascii="仿宋_GB2312" w:hAnsi="仿宋_GB2312" w:eastAsia="仿宋_GB2312" w:cs="仿宋_GB2312"/>
          <w:color w:val="000000"/>
          <w:sz w:val="28"/>
          <w:szCs w:val="28"/>
        </w:rPr>
      </w:pPr>
      <w:r>
        <w:rPr>
          <w:rFonts w:hint="eastAsia" w:asciiTheme="minorEastAsia" w:hAnsiTheme="minorEastAsia" w:eastAsiaTheme="minorEastAsia" w:cstheme="minorEastAsia"/>
          <w:sz w:val="28"/>
          <w:szCs w:val="28"/>
        </w:rPr>
        <w:t>2、年度目标</w:t>
      </w:r>
    </w:p>
    <w:p>
      <w:pPr>
        <w:topLinePunct/>
        <w:spacing w:line="440" w:lineRule="atLeast"/>
        <w:ind w:firstLine="560" w:firstLineChars="200"/>
        <w:jc w:val="left"/>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（1）高位统筹抓落实，健全机制促推进。着力强化领导、责任、落实三大工作机制。</w:t>
      </w:r>
    </w:p>
    <w:p>
      <w:pPr>
        <w:topLinePunct/>
        <w:spacing w:line="520" w:lineRule="exact"/>
        <w:ind w:firstLine="700" w:firstLineChars="250"/>
        <w:jc w:val="left"/>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（2）集中整治抓重点，服务群众促成效。坚持抓专项整治；坚持城市管理精细化；开展为民服务中心（站）标准化建设。</w:t>
      </w:r>
    </w:p>
    <w:p>
      <w:pPr>
        <w:topLinePunct/>
        <w:spacing w:line="520" w:lineRule="exact"/>
        <w:ind w:firstLine="700" w:firstLineChars="250"/>
        <w:jc w:val="left"/>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（3）营造氛围抓宣传，全面参与促带动。加大传播文明，积极发动群众；加大劝导文明，全面吸引群众；加大培育文明，不断感染群众。</w:t>
      </w:r>
    </w:p>
    <w:p>
      <w:pPr>
        <w:topLinePunct/>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（4）做好爱国卫生组织管理；健康教育和健康促进；市容环境卫生；环境保护；重点公共场所卫生；食品和生活饮用水安全；公共卫生与医疗服务；病媒生物预防控制等方面工作。</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二、绩效评价工作情况</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（二）绩效评价工作方案制定过程</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1、指标的设计根据以往年度项目经费使用情况来设定，数据由项目承办科室统计，年终由科室进行自评。</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2、根据街道办的经费管理制度对资金进行管理，对资金进行季度使用情况分析，过程中进行绩效跟踪分析，及时调整项目进度。</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3、绩效目标实施主体为相关职能科室，实施时间截止至2019年底，绩效目标的控制和完成有承办科室负责。</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4、项目的业务范围包括政务环境整治、法治环境整治、市场环境整治、人文环境整治、生活环境整治、社会环境整治、生态环境整治，有计划的实施，定期进行反馈，及时调整计划。</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5、项目实施过程中进行绩效阶段考核，对于指标偏离较远的项目，及时进行调整。</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（三）绩效评价原则、评价方法</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1.绩效评价原则</w:t>
      </w:r>
    </w:p>
    <w:p>
      <w:pPr>
        <w:topLinePunct/>
        <w:spacing w:line="520" w:lineRule="exact"/>
        <w:ind w:firstLine="700" w:firstLineChars="25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（1）科学规范原则。绩效评价应当严格执行规定的程序，按照科学可行的要求，采用定量与定性分析相结合的方法。</w:t>
      </w:r>
    </w:p>
    <w:p>
      <w:pPr>
        <w:topLinePunct/>
        <w:spacing w:line="520" w:lineRule="exact"/>
        <w:ind w:firstLine="700" w:firstLineChars="25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（2）公正公开原则。绩效评价应当符合真实、客观、公正的要求，依法公开并接受监督。</w:t>
      </w:r>
    </w:p>
    <w:p>
      <w:pPr>
        <w:topLinePunct/>
        <w:spacing w:line="520" w:lineRule="exact"/>
        <w:ind w:firstLine="700" w:firstLineChars="250"/>
        <w:rPr>
          <w:rFonts w:asciiTheme="minorEastAsia" w:hAnsiTheme="minorEastAsia" w:eastAsiaTheme="minorEastAsia" w:cstheme="minorEastAsia"/>
          <w:sz w:val="28"/>
          <w:szCs w:val="28"/>
          <w:highlight w:val="lightGray"/>
        </w:rPr>
      </w:pPr>
      <w:r>
        <w:rPr>
          <w:rFonts w:hint="eastAsia" w:asciiTheme="minorEastAsia" w:hAnsiTheme="minorEastAsia" w:eastAsiaTheme="minorEastAsia" w:cstheme="minorEastAsia"/>
          <w:color w:val="000000"/>
          <w:sz w:val="28"/>
          <w:szCs w:val="28"/>
        </w:rPr>
        <w:t>（3）绩效相关原则。绩效评价应当针对具体支出及其产出绩效进行，评价结果应当清晰反映支出和产出绩效之间的紧密对应关系。</w:t>
      </w:r>
    </w:p>
    <w:p>
      <w:pPr>
        <w:topLinePunct/>
        <w:spacing w:line="520" w:lineRule="exac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sz w:val="28"/>
          <w:szCs w:val="28"/>
        </w:rPr>
        <w:t>2.绩效评价方法。</w:t>
      </w:r>
    </w:p>
    <w:p>
      <w:pPr>
        <w:topLinePunct/>
        <w:spacing w:line="520" w:lineRule="exact"/>
        <w:ind w:firstLine="700" w:firstLineChars="25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对于项目决策和项目管理指标，主要采用综合分析法，通过对决策及管理的各环节进行考核，与相关的流程及制度进行对比，考核决策及管理环节内控制度的建立及执行情况，按各因素及各环节分别打分考核。</w:t>
      </w:r>
    </w:p>
    <w:p>
      <w:pPr>
        <w:topLinePunct/>
        <w:spacing w:line="520" w:lineRule="exact"/>
        <w:ind w:firstLine="700" w:firstLineChars="25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对于项目绩效指标，采用比较法、因素分析法及公众评判法。社会效益、满意度等效益指标无法准确量化，采用公众评判法，通过问卷调查的方式进行考核。项目产出指标根据具体情况采用比较法及因素分析法，将产出情况按数量、质量、时效等因素分别分析，制定相应的考核指标，采用历史数据对比或者与计划数据对比的方式进行考核。</w:t>
      </w:r>
    </w:p>
    <w:p>
      <w:pPr>
        <w:topLinePunct/>
        <w:spacing w:line="520" w:lineRule="exact"/>
        <w:ind w:firstLine="700" w:firstLineChars="25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（3）成本效益分析法。是指将一定时期内的支出与效益进行对比分析，以评价绩效目标实现程度。</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（四）绩效评价实施过程</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1、数据填报和采集。</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由项目负责科室进行项目总结，汇总填报项目相关情况，形成项目年度总结报告。绩效自评小组根据科室填报的数据及总结报告内容，初步审阅并追加采集需要的材料。</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2、社会调查。</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根据采集的数据，制定绩效评价指标体系，对于采用公众评判法作为考核依据的事项，设计调查问卷进行调研。</w:t>
      </w:r>
    </w:p>
    <w:p>
      <w:pPr>
        <w:numPr>
          <w:ilvl w:val="0"/>
          <w:numId w:val="2"/>
        </w:num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数据分析和撰写报告。</w:t>
      </w:r>
    </w:p>
    <w:p>
      <w:pPr>
        <w:topLinePunct/>
        <w:spacing w:line="520" w:lineRule="exac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（1）汇总分析调研数据，编制调研报告，对相应指标进行打分评价。</w:t>
      </w:r>
    </w:p>
    <w:p>
      <w:pPr>
        <w:topLinePunct/>
        <w:spacing w:line="520" w:lineRule="exact"/>
        <w:ind w:firstLine="700" w:firstLineChars="25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（2）根据指标体系逐一进行资料及考核内容的评价工作，形成评价底稿并汇总出评价结果。</w:t>
      </w:r>
    </w:p>
    <w:p>
      <w:pPr>
        <w:topLinePunct/>
        <w:spacing w:line="520" w:lineRule="exact"/>
        <w:ind w:firstLine="700" w:firstLineChars="25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（3）根据评价过程及评价结果，撰写绩效评价报告。</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（五）本次绩效评价的局限性。</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本项目各指标均可进行相应的考评，绩效评价未存在明显重大的局限性。</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三、评价结论和绩效分析</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（一）评价结论。</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1、评价结果。</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该项目资金立项依据充分，立项程序规范，绩效目标明确，预算编制合理，各项支出均按规定使用，对资金使用严格财经纪律，专款专用，确保了资金的使用效率。综合项目的投入、产出及效益，我办事处自评为99分，评价结果为优。</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2、主要绩效。</w:t>
      </w:r>
    </w:p>
    <w:p>
      <w:pPr>
        <w:topLinePunct/>
        <w:spacing w:line="440" w:lineRule="atLeast"/>
        <w:ind w:firstLine="640" w:firstLineChars="200"/>
        <w:rPr>
          <w:rFonts w:asciiTheme="minorEastAsia" w:hAnsiTheme="minorEastAsia" w:eastAsiaTheme="minorEastAsia" w:cstheme="minorEastAsia"/>
          <w:color w:val="000000"/>
          <w:sz w:val="28"/>
          <w:szCs w:val="28"/>
        </w:rPr>
      </w:pPr>
      <w:r>
        <w:rPr>
          <w:rFonts w:hint="eastAsia" w:eastAsia="仿宋_GB2312"/>
          <w:sz w:val="32"/>
          <w:szCs w:val="32"/>
        </w:rPr>
        <w:t>（1）</w:t>
      </w:r>
      <w:r>
        <w:rPr>
          <w:rFonts w:hint="eastAsia" w:asciiTheme="minorEastAsia" w:hAnsiTheme="minorEastAsia" w:eastAsiaTheme="minorEastAsia" w:cstheme="minorEastAsia"/>
          <w:color w:val="000000"/>
          <w:sz w:val="28"/>
          <w:szCs w:val="28"/>
        </w:rPr>
        <w:t>加强对辖区市容环境进行巡查及检查，督促京云盘宸公司严格落实保洁制度，确实做好辖区道路的清扫保洁和生活垃圾的清运，做到日产日清。</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扎实开展绿化管养工作，完成东华街道办事处辖区范围内“荒地硬地变绿地”600㎡、完成新迎路口的景观提升改造、完成白邑寺公园及“五个十”小游园提升改造移交、同时做好辖区绿化苗木的抗旱保苗、病虫害防治及其它日常养护项目的实施。</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加强物业管理、考核。督促物业公司按照实地测评标准配合开展创文工作，以确保物业服务小区达到创文相关标准。对环境卫生进行清理整治，清理小广告、楼道杂物、修复破损公共设施、完善物业管理等进行对标整改。</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4）扎实开展滇池保护治理工作，完成金汁河东华段河道清淤及河堤两岸杂草割除2.3公里，清淤量约800方，完成穿金路化机厂、轻机厂、田园路片区淹水点排水管网清淤除障，清掏排水管网2千米，清淤量约500方，合计约1300方。</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5）加大宣传力度，排查维护宣传载体，动员党员干部群众和各类志愿者开展各类宣传活动、文明行为践行活动，发放倡议书、市民公约、市民闻名手册等宣传资料，并运用新媒体强化宣传，确保“创文”宣传全覆盖，大大提高了居民知晓率、参与率和满意度。</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（二）具体绩效分析。</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cs="仿宋_GB2312" w:asciiTheme="minorEastAsia" w:hAnsiTheme="minorEastAsia" w:eastAsiaTheme="minorEastAsia"/>
          <w:color w:val="000000"/>
          <w:sz w:val="28"/>
          <w:szCs w:val="28"/>
        </w:rPr>
        <w:t>根据指标评价结果显示</w:t>
      </w:r>
      <w:r>
        <w:rPr>
          <w:rFonts w:hint="eastAsia" w:cs="仿宋_GB2312" w:asciiTheme="minorEastAsia" w:hAnsiTheme="minorEastAsia" w:eastAsiaTheme="minorEastAsia"/>
          <w:color w:val="000000"/>
          <w:sz w:val="28"/>
          <w:szCs w:val="28"/>
        </w:rPr>
        <w:t>，该项目</w:t>
      </w:r>
      <w:r>
        <w:rPr>
          <w:rFonts w:cs="仿宋_GB2312" w:asciiTheme="minorEastAsia" w:hAnsiTheme="minorEastAsia" w:eastAsiaTheme="minorEastAsia"/>
          <w:color w:val="000000"/>
          <w:sz w:val="28"/>
          <w:szCs w:val="28"/>
        </w:rPr>
        <w:t>在</w:t>
      </w:r>
      <w:r>
        <w:rPr>
          <w:rFonts w:hint="eastAsia" w:asciiTheme="minorEastAsia" w:hAnsiTheme="minorEastAsia" w:eastAsiaTheme="minorEastAsia"/>
          <w:sz w:val="28"/>
          <w:szCs w:val="28"/>
        </w:rPr>
        <w:t>指标细化分解情况、</w:t>
      </w:r>
      <w:r>
        <w:rPr>
          <w:rFonts w:hint="eastAsia" w:cs="仿宋_GB2312" w:asciiTheme="minorEastAsia" w:hAnsiTheme="minorEastAsia" w:eastAsiaTheme="minorEastAsia"/>
          <w:color w:val="000000"/>
          <w:sz w:val="28"/>
          <w:szCs w:val="28"/>
        </w:rPr>
        <w:t>项目效益</w:t>
      </w:r>
      <w:r>
        <w:rPr>
          <w:rFonts w:cs="仿宋_GB2312" w:asciiTheme="minorEastAsia" w:hAnsiTheme="minorEastAsia" w:eastAsiaTheme="minorEastAsia"/>
          <w:color w:val="000000"/>
          <w:sz w:val="28"/>
          <w:szCs w:val="28"/>
        </w:rPr>
        <w:t>方面存在不足</w:t>
      </w:r>
      <w:r>
        <w:rPr>
          <w:rFonts w:hint="eastAsia" w:cs="仿宋_GB2312" w:asciiTheme="minorEastAsia" w:hAnsiTheme="minorEastAsia" w:eastAsiaTheme="minorEastAsia"/>
          <w:color w:val="000000"/>
          <w:sz w:val="28"/>
          <w:szCs w:val="28"/>
        </w:rPr>
        <w:t>，其他指标得分均为满分</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sz w:val="28"/>
          <w:szCs w:val="28"/>
        </w:rPr>
        <w:t>A221.指标细化分解情况满分3分，得分2.5分，</w:t>
      </w:r>
      <w:r>
        <w:rPr>
          <w:rFonts w:hint="eastAsia" w:ascii="仿宋_GB2312" w:hAnsi="仿宋_GB2312" w:eastAsia="仿宋_GB2312" w:cs="仿宋_GB2312"/>
          <w:color w:val="000000"/>
          <w:sz w:val="28"/>
          <w:szCs w:val="28"/>
        </w:rPr>
        <w:t>根</w:t>
      </w:r>
      <w:r>
        <w:rPr>
          <w:rFonts w:hint="eastAsia" w:asciiTheme="minorEastAsia" w:hAnsiTheme="minorEastAsia" w:eastAsiaTheme="minorEastAsia"/>
          <w:sz w:val="28"/>
          <w:szCs w:val="28"/>
        </w:rPr>
        <w:t>据部门年度重点工作任务与工作计划，绩效目标申报表分析结果，预算绩效指标不够量化细化，得分2分</w:t>
      </w:r>
      <w:r>
        <w:rPr>
          <w:rFonts w:hint="eastAsia" w:asciiTheme="minorEastAsia" w:hAnsiTheme="minorEastAsia" w:eastAsiaTheme="minorEastAsia" w:cstheme="minorEastAsia"/>
          <w:color w:val="000000"/>
          <w:sz w:val="28"/>
          <w:szCs w:val="28"/>
        </w:rPr>
        <w:t>。</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C2.项目效益满分30分，得分29.5分，创文工作资金的投入推进了政务环境、人文环境、生活环境、社会环境、生态环境、法治环境、市场环境的整体提升，创建街道辖区良好的环境卫生秩序、人居环境，为居民群众创造了一个良好的工作、学习、生活环境。实施以来产生了良好社会效益，对辖区环境产生了积极的影响。但在满意度方面存在不足，得分29.5分。</w:t>
      </w:r>
    </w:p>
    <w:p>
      <w:pPr>
        <w:spacing w:line="360" w:lineRule="auto"/>
        <w:ind w:firstLine="560" w:firstLineChars="200"/>
        <w:jc w:val="left"/>
        <w:rPr>
          <w:rFonts w:asciiTheme="minorEastAsia" w:hAnsiTheme="minorEastAsia" w:eastAsiaTheme="minorEastAsia" w:cstheme="minorEastAsia"/>
          <w:color w:val="000000"/>
          <w:sz w:val="28"/>
          <w:szCs w:val="28"/>
        </w:rPr>
      </w:pPr>
      <w:r>
        <w:rPr>
          <w:rFonts w:cs="仿宋_GB2312" w:asciiTheme="minorEastAsia" w:hAnsiTheme="minorEastAsia" w:eastAsiaTheme="minorEastAsia"/>
          <w:color w:val="000000"/>
          <w:sz w:val="28"/>
          <w:szCs w:val="28"/>
        </w:rPr>
        <w:t>其他指标均的满分</w:t>
      </w:r>
      <w:r>
        <w:rPr>
          <w:rFonts w:hint="eastAsia" w:cs="仿宋_GB2312" w:asciiTheme="minorEastAsia" w:hAnsiTheme="minorEastAsia" w:eastAsiaTheme="minorEastAsia"/>
          <w:color w:val="000000"/>
          <w:sz w:val="28"/>
          <w:szCs w:val="28"/>
        </w:rPr>
        <w:t>，</w:t>
      </w:r>
      <w:r>
        <w:rPr>
          <w:rFonts w:cs="仿宋_GB2312" w:asciiTheme="minorEastAsia" w:hAnsiTheme="minorEastAsia" w:eastAsiaTheme="minorEastAsia"/>
          <w:color w:val="000000"/>
          <w:sz w:val="28"/>
          <w:szCs w:val="28"/>
        </w:rPr>
        <w:t>具体打分情况详见附件</w:t>
      </w:r>
      <w:r>
        <w:rPr>
          <w:rFonts w:hint="eastAsia" w:cs="仿宋_GB2312" w:asciiTheme="minorEastAsia" w:hAnsiTheme="minorEastAsia" w:eastAsiaTheme="minorEastAsia"/>
          <w:color w:val="000000"/>
          <w:sz w:val="28"/>
          <w:szCs w:val="28"/>
        </w:rPr>
        <w:t>1。</w:t>
      </w:r>
    </w:p>
    <w:p>
      <w:pPr>
        <w:topLinePunct/>
        <w:spacing w:line="520" w:lineRule="exact"/>
        <w:ind w:firstLine="700" w:firstLineChars="25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四、成本效益分析</w:t>
      </w:r>
    </w:p>
    <w:p>
      <w:pPr>
        <w:topLinePunct/>
        <w:spacing w:line="520" w:lineRule="exact"/>
        <w:ind w:firstLine="700" w:firstLineChars="25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创建文明城市经费预算总投入</w:t>
      </w:r>
      <w:r>
        <w:rPr>
          <w:rFonts w:hint="eastAsia" w:asciiTheme="minorEastAsia" w:hAnsiTheme="minorEastAsia" w:eastAsiaTheme="minorEastAsia" w:cstheme="minorEastAsia"/>
          <w:sz w:val="28"/>
          <w:szCs w:val="28"/>
        </w:rPr>
        <w:t>316.33万</w:t>
      </w:r>
      <w:r>
        <w:rPr>
          <w:rFonts w:hint="eastAsia" w:asciiTheme="minorEastAsia" w:hAnsiTheme="minorEastAsia" w:eastAsiaTheme="minorEastAsia" w:cstheme="minorEastAsia"/>
          <w:color w:val="000000"/>
          <w:sz w:val="28"/>
          <w:szCs w:val="28"/>
        </w:rPr>
        <w:t>元，已从区级财政全额拨付到位。资金已全部使用完毕，项目资金主要用于创建期间绿化管养、交通整治、垃圾清运、道路及墙面美化；开展各类道德文化、科普、法制宣传活动及创城氛围打造等方面。</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该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对资金使用严格财经纪律，专款专用，确保了资金使用效率。</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五、主要经验及做法、存在的问题和建议</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1、严格对标对表对责，确保各项工作全面达标。按照“创文”工作方案，扎实推进创建工作。</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全面夯实“创文”基础，稳步实现“常态常效”。严格落实“创文”工作常态化，针对发现的问题做到亲子督查，一查到底，严整狠改。加大宣传力度，排查维护宣传载体，动员党员干部群众和各类志愿者们开展各类宣传活动，提高居民知晓率、参与率和满意率。坚持强化管理抓整治，完善全国闻名城市创建的载体。</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强化督查，严格奖惩，进一步提升创建落实水平。坚持好创文工作例会制度。对群众反映的热点、难点和督查中发现的重点问题，认真研究分析，明确责任部门，推动工作落实。强化创建工作督查考核。街道目督办负责对工作拖杳、推诿扯皮、敷衍塞责、推进落实不力的科室和社区进行督查督办，对造成重大失责的科室或个人按规定进行倒查问责</w:t>
      </w:r>
    </w:p>
    <w:p>
      <w:pPr>
        <w:topLinePunct/>
        <w:spacing w:line="440" w:lineRule="atLeas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4、整合资源，全民参与。继续加大落实创建责任，联合各行业迅速行动，广大干部群众积极参与，形成了全辖区动员、全民参与、人人动手、共建共享的良好氛围。</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5、确定专人负责主体责任落实和日常痕迹管理等工作</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p>
    <w:p>
      <w:pPr>
        <w:topLinePunct/>
        <w:spacing w:line="520" w:lineRule="exact"/>
        <w:ind w:firstLine="700" w:firstLineChars="25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资金不足。精神文明工作主要是通过活动载体来传播、引领社会风尚。开展各项活动都离不开资金的支持。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p>
    <w:p>
      <w:pPr>
        <w:spacing w:line="440" w:lineRule="atLeas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创文”指标任务艰巨，氛围宣传的覆盖率、市民的参与度满意度、环境综合整治、城市建设管理水平等都有待提升。结合2019年度双月测评、季度测评结果，发现东华街道辖区内主要存在问题在于机动车和非机动车乱停乱放、公益广告陈旧破损、小区楼道杂物堆放、消防设施检查登记不及时、门前三包落实不到位等问题。</w:t>
      </w:r>
    </w:p>
    <w:p>
      <w:pPr>
        <w:spacing w:line="600" w:lineRule="exac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3、社会效益指标及社会公众或服务对象满意度指标未能完全达到预算绩效目标，由于辖区范围广、涉及事务种类繁多，无法达到100%的满意度回馈。</w:t>
      </w:r>
    </w:p>
    <w:p>
      <w:pPr>
        <w:topLinePunct/>
        <w:spacing w:line="440"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（三）建议和改进措施。</w:t>
      </w:r>
    </w:p>
    <w:p>
      <w:pPr>
        <w:spacing w:line="600" w:lineRule="exact"/>
        <w:ind w:firstLine="560" w:firstLineChars="200"/>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1、加大经费投入，根据上年工作开展情况及绩效自评小组的结果，结合下年工作目标、计划，科学合理的分配各块工作资金，做到不遗漏，重点突出。</w:t>
      </w:r>
    </w:p>
    <w:p>
      <w:pPr>
        <w:spacing w:line="440" w:lineRule="atLeast"/>
        <w:ind w:firstLine="560" w:firstLineChars="200"/>
        <w:jc w:val="left"/>
        <w:rPr>
          <w:rFonts w:asciiTheme="minorEastAsia" w:hAnsiTheme="minorEastAsia" w:eastAsiaTheme="minorEastAsia" w:cstheme="minorEastAsia"/>
          <w:color w:val="000000"/>
          <w:sz w:val="28"/>
          <w:szCs w:val="28"/>
          <w:highlight w:val="lightGray"/>
        </w:rPr>
      </w:pPr>
      <w:r>
        <w:rPr>
          <w:rFonts w:hint="eastAsia" w:asciiTheme="minorEastAsia" w:hAnsiTheme="minorEastAsia" w:eastAsiaTheme="minorEastAsia" w:cstheme="minorEastAsia"/>
          <w:color w:val="000000"/>
          <w:sz w:val="28"/>
          <w:szCs w:val="28"/>
        </w:rPr>
        <w:t>2、加大宣传力度，增强居民素质，提高居民参与度，加大经费投入，整改提升、全面达标，规范、细致做好“创文”工作。由街道各专项组、相关科室和各社区配合开展集中专项整治，加强日常管理和教育引导，对症下药、综合施策，避免此类问题再次的发生频率，确保“六个不滑坡”和“六个持续提升”，并着重进一步提升辖区文明程度和市民文明素质。</w:t>
      </w:r>
    </w:p>
    <w:p>
      <w:pPr>
        <w:topLinePunct/>
        <w:spacing w:line="520" w:lineRule="exact"/>
        <w:ind w:firstLine="700" w:firstLineChars="25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3、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p>
      <w:pPr>
        <w:topLinePunct/>
        <w:spacing w:line="52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w:t>
      </w:r>
      <w:bookmarkStart w:id="0" w:name="_Hlk44931933"/>
      <w:r>
        <w:rPr>
          <w:rFonts w:hint="eastAsia" w:asciiTheme="minorEastAsia" w:hAnsiTheme="minorEastAsia" w:eastAsiaTheme="minorEastAsia" w:cstheme="minorEastAsia"/>
          <w:sz w:val="28"/>
          <w:szCs w:val="28"/>
        </w:rPr>
        <w:t>绩效自评结果应用</w:t>
      </w:r>
      <w:bookmarkEnd w:id="0"/>
    </w:p>
    <w:p>
      <w:pPr>
        <w:spacing w:line="440" w:lineRule="atLeast"/>
        <w:ind w:firstLine="560" w:firstLineChars="200"/>
        <w:rPr>
          <w:rFonts w:asciiTheme="minorEastAsia" w:hAnsiTheme="minorEastAsia" w:eastAsiaTheme="minorEastAsia" w:cstheme="minorEastAsia"/>
          <w:sz w:val="28"/>
          <w:szCs w:val="28"/>
        </w:rPr>
      </w:pPr>
      <w:bookmarkStart w:id="1" w:name="_Hlk44931956"/>
      <w:r>
        <w:rPr>
          <w:rFonts w:hint="eastAsia" w:asciiTheme="minorEastAsia" w:hAnsiTheme="minorEastAsia" w:eastAsiaTheme="minorEastAsia" w:cstheme="minorEastAsia"/>
          <w:color w:val="000000"/>
          <w:sz w:val="28"/>
          <w:szCs w:val="28"/>
          <w:lang w:val="zh-CN"/>
        </w:rPr>
        <w:t>东华街道办事处通过开展绩效自评工作，加强财政资金支出管理、增强资金绩效理念、强化资金管理水平、提高资金使用效益。将绩效自评结果运用到下年度预算编制工作中，与预算绩效目标编制挂钩，对评价结果优秀的项目，在安排后续资金时给与充分保障，对绩效自评中存在的问题在下年工作中及时跟进，对能整改的及时整改</w:t>
      </w:r>
      <w:bookmarkEnd w:id="1"/>
      <w:r>
        <w:rPr>
          <w:rFonts w:hint="eastAsia" w:asciiTheme="minorEastAsia" w:hAnsiTheme="minorEastAsia" w:eastAsiaTheme="minorEastAsia" w:cstheme="minorEastAsia"/>
          <w:color w:val="000000"/>
          <w:sz w:val="28"/>
          <w:szCs w:val="28"/>
          <w:lang w:val="zh-CN"/>
        </w:rPr>
        <w:t>。</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C098D6"/>
    <w:multiLevelType w:val="singleLevel"/>
    <w:tmpl w:val="DCC098D6"/>
    <w:lvl w:ilvl="0" w:tentative="0">
      <w:start w:val="1"/>
      <w:numFmt w:val="chineseCounting"/>
      <w:suff w:val="nothing"/>
      <w:lvlText w:val="%1、"/>
      <w:lvlJc w:val="left"/>
      <w:rPr>
        <w:rFonts w:hint="eastAsia"/>
      </w:rPr>
    </w:lvl>
  </w:abstractNum>
  <w:abstractNum w:abstractNumId="1">
    <w:nsid w:val="FFC52109"/>
    <w:multiLevelType w:val="singleLevel"/>
    <w:tmpl w:val="FFC52109"/>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1F7"/>
    <w:rsid w:val="003501F7"/>
    <w:rsid w:val="006B05A3"/>
    <w:rsid w:val="00FD25A4"/>
    <w:rsid w:val="01110DE2"/>
    <w:rsid w:val="013761AA"/>
    <w:rsid w:val="03464AAA"/>
    <w:rsid w:val="04045B5A"/>
    <w:rsid w:val="045E456A"/>
    <w:rsid w:val="05170911"/>
    <w:rsid w:val="07547506"/>
    <w:rsid w:val="0B196323"/>
    <w:rsid w:val="0CBB6CD3"/>
    <w:rsid w:val="0D37359E"/>
    <w:rsid w:val="0DC828EB"/>
    <w:rsid w:val="0DD67C89"/>
    <w:rsid w:val="14233A27"/>
    <w:rsid w:val="14FF3D14"/>
    <w:rsid w:val="15EE19C7"/>
    <w:rsid w:val="173B6248"/>
    <w:rsid w:val="18500789"/>
    <w:rsid w:val="1B1929C0"/>
    <w:rsid w:val="1BEC4358"/>
    <w:rsid w:val="1F482D8B"/>
    <w:rsid w:val="201141B3"/>
    <w:rsid w:val="247341A7"/>
    <w:rsid w:val="25210F83"/>
    <w:rsid w:val="26BE479E"/>
    <w:rsid w:val="26D840D7"/>
    <w:rsid w:val="2831197B"/>
    <w:rsid w:val="2B425D4A"/>
    <w:rsid w:val="2C592B3C"/>
    <w:rsid w:val="30003041"/>
    <w:rsid w:val="345A4988"/>
    <w:rsid w:val="347273BA"/>
    <w:rsid w:val="410B2BB2"/>
    <w:rsid w:val="4210365C"/>
    <w:rsid w:val="43A12317"/>
    <w:rsid w:val="44A873FD"/>
    <w:rsid w:val="45D136E4"/>
    <w:rsid w:val="46FA79DF"/>
    <w:rsid w:val="476128BB"/>
    <w:rsid w:val="48E83E76"/>
    <w:rsid w:val="4AD42A83"/>
    <w:rsid w:val="4CFA242F"/>
    <w:rsid w:val="4EBE27FE"/>
    <w:rsid w:val="52D0045E"/>
    <w:rsid w:val="5B5E313B"/>
    <w:rsid w:val="5BCB12B5"/>
    <w:rsid w:val="5C273F8E"/>
    <w:rsid w:val="5CCA28F2"/>
    <w:rsid w:val="64242D27"/>
    <w:rsid w:val="649B6DE5"/>
    <w:rsid w:val="65451C35"/>
    <w:rsid w:val="6BC61FA5"/>
    <w:rsid w:val="6DAC498B"/>
    <w:rsid w:val="6DB66EC3"/>
    <w:rsid w:val="6E3A3FC8"/>
    <w:rsid w:val="6EFF6520"/>
    <w:rsid w:val="6FCC4A75"/>
    <w:rsid w:val="73612E3D"/>
    <w:rsid w:val="73C431E3"/>
    <w:rsid w:val="744C64A5"/>
    <w:rsid w:val="756B383E"/>
    <w:rsid w:val="795A6A40"/>
    <w:rsid w:val="7A98615C"/>
    <w:rsid w:val="7BD90E8C"/>
    <w:rsid w:val="7EFA3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1070</Words>
  <Characters>6099</Characters>
  <Lines>50</Lines>
  <Paragraphs>14</Paragraphs>
  <TotalTime>6</TotalTime>
  <ScaleCrop>false</ScaleCrop>
  <LinksUpToDate>false</LinksUpToDate>
  <CharactersWithSpaces>7155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hp1</cp:lastModifiedBy>
  <cp:lastPrinted>2020-07-06T06:44:00Z</cp:lastPrinted>
  <dcterms:modified xsi:type="dcterms:W3CDTF">2020-09-21T07:26:02Z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