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城市管理工作经费项目支出</w:t>
      </w:r>
    </w:p>
    <w:p>
      <w:pPr>
        <w:jc w:val="center"/>
        <w:rPr>
          <w:rFonts w:ascii="黑体" w:hAnsi="黑体" w:eastAsia="黑体" w:cs="黑体"/>
          <w:bCs/>
          <w:sz w:val="52"/>
          <w:szCs w:val="52"/>
        </w:rPr>
      </w:pPr>
      <w:r>
        <w:rPr>
          <w:rFonts w:hint="eastAsia" w:ascii="黑体" w:hAnsi="黑体" w:eastAsia="黑体" w:cs="黑体"/>
          <w:bCs/>
          <w:sz w:val="52"/>
          <w:szCs w:val="52"/>
        </w:rPr>
        <w:t>绩效自评报告</w:t>
      </w:r>
    </w:p>
    <w:p>
      <w:pPr>
        <w:jc w:val="center"/>
        <w:rPr>
          <w:rFonts w:ascii="黑体" w:hAnsi="黑体" w:eastAsia="黑体"/>
          <w:bCs/>
          <w:sz w:val="52"/>
          <w:szCs w:val="52"/>
        </w:rPr>
      </w:pPr>
      <w:r>
        <w:rPr>
          <w:rFonts w:hint="eastAsia" w:ascii="黑体" w:hAnsi="黑体" w:eastAsia="黑体" w:cs="黑体"/>
          <w:bCs/>
          <w:sz w:val="52"/>
          <w:szCs w:val="52"/>
        </w:rPr>
        <w:t>（2019年度）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firstLine="1124" w:firstLineChars="4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宋体" w:hAnsi="宋体" w:cs="黑体"/>
          <w:b/>
          <w:bCs/>
          <w:sz w:val="28"/>
          <w:szCs w:val="28"/>
        </w:rPr>
        <w:t>昆明市盘龙区人民政府东华街道办事处</w:t>
      </w:r>
    </w:p>
    <w:p>
      <w:pPr>
        <w:adjustRightInd w:val="0"/>
        <w:snapToGrid w:val="0"/>
        <w:spacing w:line="360" w:lineRule="auto"/>
        <w:ind w:firstLine="1124" w:firstLineChars="4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宋体" w:hAnsi="宋体" w:cs="黑体"/>
          <w:b/>
          <w:bCs/>
          <w:sz w:val="28"/>
          <w:szCs w:val="28"/>
        </w:rPr>
        <w:t xml:space="preserve">昆明市盘龙区人民政府东华街道办事处 </w:t>
      </w:r>
      <w:r>
        <w:rPr>
          <w:rFonts w:ascii="Times New Roman" w:hAnsi="Times New Roman" w:eastAsia="黑体" w:cs="黑体"/>
          <w:b/>
          <w:bCs/>
          <w:sz w:val="28"/>
          <w:szCs w:val="28"/>
        </w:rPr>
        <w:t xml:space="preserve"> </w:t>
      </w:r>
    </w:p>
    <w:p>
      <w:pPr>
        <w:adjustRightInd w:val="0"/>
        <w:snapToGrid w:val="0"/>
        <w:spacing w:line="360" w:lineRule="auto"/>
        <w:ind w:firstLine="1124" w:firstLineChars="4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p>
    <w:p>
      <w:pPr>
        <w:adjustRightInd w:val="0"/>
        <w:snapToGrid w:val="0"/>
        <w:spacing w:line="360" w:lineRule="auto"/>
        <w:ind w:firstLine="1124" w:firstLineChars="4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宋体" w:hAnsi="宋体" w:cs="黑体"/>
          <w:b/>
          <w:bCs/>
          <w:sz w:val="28"/>
          <w:szCs w:val="28"/>
        </w:rPr>
        <w:t xml:space="preserve">城市管理工作经费 </w:t>
      </w:r>
    </w:p>
    <w:p>
      <w:pPr>
        <w:adjustRightInd w:val="0"/>
        <w:snapToGrid w:val="0"/>
        <w:spacing w:line="360" w:lineRule="auto"/>
        <w:ind w:firstLine="1124" w:firstLineChars="4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宋体" w:hAnsi="宋体" w:eastAsia="黑体"/>
          <w:b/>
          <w:bCs/>
          <w:sz w:val="28"/>
          <w:szCs w:val="28"/>
        </w:rPr>
        <w:t>2020</w:t>
      </w:r>
      <w:r>
        <w:rPr>
          <w:rFonts w:hint="eastAsia" w:ascii="宋体" w:hAnsi="宋体"/>
          <w:b/>
          <w:bCs/>
          <w:sz w:val="28"/>
          <w:szCs w:val="28"/>
        </w:rPr>
        <w:t xml:space="preserve">年4月 </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178"/>
        <w:gridCol w:w="2160"/>
        <w:gridCol w:w="2010"/>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178" w:type="dxa"/>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2160" w:type="dxa"/>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010" w:type="dxa"/>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418" w:type="dxa"/>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组长</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丁文舟</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办事处主任</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副组长</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刘舒翼</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办事处副主任</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成员</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王禧</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党政综合办副主任</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成员</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赵晓丹</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纪检监察室副主任</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成员</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洪艺维</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城市管理综合服务中心主任</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vAlign w:val="center"/>
          </w:tcPr>
          <w:p>
            <w:pPr>
              <w:pStyle w:val="5"/>
              <w:widowControl w:val="0"/>
              <w:spacing w:after="0" w:line="360" w:lineRule="auto"/>
              <w:jc w:val="center"/>
              <w:rPr>
                <w:rFonts w:ascii="宋体" w:hAnsi="宋体" w:cs="黑体"/>
                <w:kern w:val="2"/>
                <w:sz w:val="24"/>
                <w:szCs w:val="24"/>
                <w:lang w:val="zh-TW"/>
              </w:rPr>
            </w:pPr>
            <w:r>
              <w:rPr>
                <w:rFonts w:hint="eastAsia" w:ascii="宋体" w:hAnsi="宋体" w:cs="黑体"/>
                <w:kern w:val="2"/>
                <w:sz w:val="24"/>
                <w:szCs w:val="24"/>
                <w:lang w:val="zh-TW"/>
              </w:rPr>
              <w:t>成员</w:t>
            </w:r>
          </w:p>
        </w:tc>
        <w:tc>
          <w:tcPr>
            <w:tcW w:w="1178"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王盛新</w:t>
            </w:r>
          </w:p>
        </w:tc>
        <w:tc>
          <w:tcPr>
            <w:tcW w:w="216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财政所所长</w:t>
            </w:r>
          </w:p>
        </w:tc>
        <w:tc>
          <w:tcPr>
            <w:tcW w:w="2010" w:type="dxa"/>
            <w:vAlign w:val="center"/>
          </w:tcPr>
          <w:p>
            <w:pPr>
              <w:pStyle w:val="5"/>
              <w:widowControl w:val="0"/>
              <w:spacing w:after="0" w:line="360" w:lineRule="auto"/>
              <w:jc w:val="center"/>
              <w:rPr>
                <w:rFonts w:ascii="宋体" w:hAnsi="宋体" w:cs="黑体"/>
                <w:kern w:val="2"/>
                <w:sz w:val="24"/>
                <w:szCs w:val="24"/>
                <w:lang w:val="zh-TW" w:eastAsia="zh-TW"/>
              </w:rPr>
            </w:pPr>
            <w:r>
              <w:rPr>
                <w:rFonts w:hint="eastAsia" w:ascii="宋体" w:hAnsi="宋体" w:cs="黑体"/>
                <w:kern w:val="2"/>
                <w:sz w:val="24"/>
                <w:szCs w:val="24"/>
                <w:lang w:val="zh-TW"/>
              </w:rPr>
              <w:t>东华街道办事处</w:t>
            </w:r>
          </w:p>
        </w:tc>
        <w:tc>
          <w:tcPr>
            <w:tcW w:w="1418" w:type="dxa"/>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6"/>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附件四：绩效目标申报表</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宋体" w:hAnsi="宋体"/>
          <w:b/>
          <w:sz w:val="36"/>
          <w:szCs w:val="36"/>
        </w:rPr>
        <w:t>城市管理工作经费项目支出绩效自评报告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一、项目概况</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1、项目立项背景及目的</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负责东华街道办辖区内的各项城市管理各项工作，做好2019年“四创两争”及创文明城市的后续工作及区委区政府、各级相关业务指导部门下达各项工作，深入推进“城乡清洁工程”暨“美丽春城·清洁昆明”活动开展，坚持不懈的抓下去，不降低工作标准，不减弱工作力度，不减少经费投入，不出现“问题反弹”，负责东华街道办事处辖区的主、次道路，背街小巷的城市管理工作。</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2、项目预算收支情况</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城市管理工作经费项目预算收入260万元、决算支出260万元，预算结余0.00元。</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二、评价结论</w:t>
      </w:r>
    </w:p>
    <w:p>
      <w:pPr>
        <w:spacing w:line="36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2019年城市管理工作经费项目绩效自评分99.5分，自评结果为优。达成了预期的绩效目标，切实做到了用实、用好财政资金。</w:t>
      </w:r>
    </w:p>
    <w:p>
      <w:pPr>
        <w:spacing w:line="360" w:lineRule="auto"/>
        <w:ind w:firstLine="560" w:firstLineChars="200"/>
        <w:jc w:val="left"/>
        <w:rPr>
          <w:rFonts w:ascii="黑体" w:hAnsi="黑体" w:eastAsia="黑体"/>
          <w:szCs w:val="32"/>
        </w:rPr>
      </w:pPr>
      <w:r>
        <w:rPr>
          <w:rFonts w:hint="eastAsia" w:asciiTheme="minorEastAsia" w:hAnsiTheme="minorEastAsia" w:eastAsiaTheme="minorEastAsia"/>
          <w:sz w:val="28"/>
          <w:szCs w:val="28"/>
        </w:rPr>
        <w:t>三、经验、问题和建议</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（一）主要经验及做法</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1、指标的设计根据本年度工作计划设计，年终由项目执行科室进行自评，单位评价小组抽评。</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2、根据街道办的经费管理制度对资金进行管理，对资金进行季度使用情况分析，过程中进行绩效跟踪分析，及时调整项目进度。</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3、加强管理，提高环境卫生，与考核制度相结合，完成绩效目标。</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4、实施过程中分季度进行绩效阶段跟踪及考核，对于指标值偏离较远的指标，及时进行调整工作方案。</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（二）存在的问题</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1、绩效指标明确性、完善性尚有欠缺，依据目标所设定的绩效指标清晰、细化、可衡量性有待进一步完善</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2、效益指标及社会公众或服务对象满意度指标未能完全达到预算绩效目标，由于辖区范围广、涉及事务种类繁多，无法达到100%的满意度回馈。</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（三）改进措施及建议</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1、根据上年工作开展情况及绩效自评的结果，结合下年工作目标、计划，科学合理的分配各块工作资金，做到不遗漏，重点突出。</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2、了解民意、倾听民意，结合自身实际，合理利用工作经费，制定切实可行方案，探索符合群众需要的服务、工作、活动方式，重视辖区公众的反馈意见，努力将满意程度提高到设定目标值。</w:t>
      </w:r>
    </w:p>
    <w:p>
      <w:pPr>
        <w:spacing w:line="440" w:lineRule="exact"/>
        <w:ind w:firstLine="420" w:firstLineChars="200"/>
        <w:jc w:val="left"/>
        <w:rPr>
          <w:rFonts w:ascii="宋体" w:hAnsi="宋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jc w:val="left"/>
        <w:rPr>
          <w:rFonts w:ascii="楷体" w:hAnsi="楷体" w:eastAsia="楷体"/>
          <w:szCs w:val="32"/>
        </w:rPr>
      </w:pPr>
    </w:p>
    <w:p>
      <w:pPr>
        <w:spacing w:line="440" w:lineRule="exact"/>
        <w:rPr>
          <w:rFonts w:ascii="宋体" w:hAnsi="宋体"/>
          <w:b/>
          <w:sz w:val="28"/>
          <w:szCs w:val="28"/>
        </w:rPr>
      </w:pPr>
    </w:p>
    <w:p>
      <w:pPr>
        <w:spacing w:line="440" w:lineRule="exact"/>
        <w:jc w:val="center"/>
        <w:rPr>
          <w:rFonts w:ascii="宋体" w:hAnsi="宋体"/>
          <w:b/>
          <w:sz w:val="36"/>
          <w:szCs w:val="36"/>
        </w:rPr>
      </w:pPr>
      <w:r>
        <w:rPr>
          <w:rFonts w:hint="eastAsia" w:ascii="宋体" w:hAnsi="宋体"/>
          <w:b/>
          <w:sz w:val="36"/>
          <w:szCs w:val="36"/>
        </w:rPr>
        <w:t>正文：城市管理工作经费项目支出绩效自评报告</w:t>
      </w:r>
    </w:p>
    <w:p>
      <w:pPr>
        <w:spacing w:line="440" w:lineRule="exact"/>
        <w:ind w:firstLine="562" w:firstLineChars="200"/>
        <w:jc w:val="center"/>
        <w:rPr>
          <w:rFonts w:ascii="宋体" w:hAnsi="宋体"/>
          <w:b/>
          <w:sz w:val="28"/>
          <w:szCs w:val="28"/>
        </w:rPr>
      </w:pPr>
    </w:p>
    <w:p>
      <w:pPr>
        <w:spacing w:line="440" w:lineRule="exact"/>
        <w:ind w:firstLine="562" w:firstLineChars="200"/>
        <w:jc w:val="center"/>
        <w:rPr>
          <w:rFonts w:ascii="宋体" w:hAnsi="宋体"/>
          <w:b/>
          <w:sz w:val="28"/>
          <w:szCs w:val="28"/>
        </w:rPr>
      </w:pP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一、项目基本情况</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（一）项目概况</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1、立项背景及目的</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负责东华街道办辖区内的各项城市管理各项工作，做好2019年“四创两争”及创文明城市的后续工作及区委区政府、各级相关业务指导部门下达各项工作，深入推进“城乡清洁工程”暨“美丽春城·清洁昆明”活动开展，坚持不懈的抓下去，不降低工作标准，不减弱工作力度，不减少经费投入，不出现“问题反弹”，负责东华街道办事处辖区的主、次道路，背街小巷的城市管理工作。</w:t>
      </w:r>
    </w:p>
    <w:p>
      <w:pPr>
        <w:numPr>
          <w:ilvl w:val="0"/>
          <w:numId w:val="1"/>
        </w:num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项目实施情况</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为加强管理，采取竞争性谈判形式确定协助城市管理单位，建立科学检查制度，认真做好日常检查督促工作，对城市管理不到位的，严格按照《盘龙区分流城管执法人员和配备协勤人员实施方案》（盘办通[2014]37号）、《盘龙区社区城管、协勤人员管理导则》进行考核。</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根据上年工作开展情况及绩效自评小组的结果，结合下年工作目标、计划，科学合理的分配各块工作资金，做到不遗漏，重点突出。</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3、资金来源及使用情况</w:t>
      </w:r>
    </w:p>
    <w:p>
      <w:pPr>
        <w:spacing w:line="360" w:lineRule="auto"/>
        <w:ind w:firstLine="560" w:firstLineChars="200"/>
        <w:jc w:val="left"/>
        <w:rPr>
          <w:rFonts w:ascii="仿宋_GB2312" w:hAnsi="楷体" w:eastAsia="仿宋_GB2312"/>
          <w:szCs w:val="32"/>
        </w:rPr>
      </w:pPr>
      <w:r>
        <w:rPr>
          <w:rFonts w:hint="eastAsia" w:asciiTheme="minorEastAsia" w:hAnsiTheme="minorEastAsia" w:eastAsiaTheme="minorEastAsia"/>
          <w:sz w:val="28"/>
          <w:szCs w:val="28"/>
        </w:rPr>
        <w:t>2019年度城市管理工作经费预算总投入260万元，已从区级财政全额拨付到位。资金于2019年12月31日之前支出260万元，结余0.00万元。</w:t>
      </w:r>
    </w:p>
    <w:p>
      <w:pPr>
        <w:topLinePunct/>
        <w:spacing w:line="360" w:lineRule="auto"/>
        <w:ind w:firstLine="560" w:firstLineChars="200"/>
        <w:jc w:val="left"/>
        <w:rPr>
          <w:rFonts w:ascii="仿宋_GB2312" w:hAnsi="楷体" w:eastAsia="仿宋_GB2312"/>
          <w:szCs w:val="32"/>
        </w:rPr>
      </w:pPr>
      <w:r>
        <w:rPr>
          <w:rFonts w:hint="eastAsia" w:asciiTheme="minorEastAsia" w:hAnsiTheme="minorEastAsia" w:eastAsiaTheme="minorEastAsia"/>
          <w:sz w:val="28"/>
          <w:szCs w:val="28"/>
        </w:rPr>
        <w:t>4、组织及管理情况</w:t>
      </w:r>
    </w:p>
    <w:p>
      <w:pPr>
        <w:topLinePunct/>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项目各项经费支出通过相关报账手续后，由财政所进行资金拨付。项目实际支出与项目计划投入资金的用途相符，资金的拨付有完整的审批程序和手续，符合项目预算批复或合同规定的用途，不存在超标列支相关费用，做到了专款专用，不存在截留、挤占、挪用、虚列支出。</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（二）绩效目标</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1、总目标</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加强城管人员培训和管理，规范执法行为，切实做好城市管理及综合执法各项工作；继续做好“数字盘龙”、市容环境、园林绿化和爱卫等各项工作，组织开展爱国卫生活动，不断加强对脏乱差、违章建筑的整治工作，建立和巩固市容环境卫生管理长效机制，营造干净、整洁、有序的城市环境。</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2、年度目标</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（1）开展市容市貌整治、广告拆除、临违建筑拆除整治等工作；</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协助对辖区支次道路、背街背巷及重点地段的城市管理工作</w:t>
      </w:r>
      <w:r>
        <w:rPr>
          <w:rFonts w:hint="eastAsia" w:asciiTheme="minorEastAsia" w:hAnsiTheme="minorEastAsia" w:eastAsiaTheme="minorEastAsia"/>
          <w:sz w:val="28"/>
          <w:szCs w:val="28"/>
        </w:rPr>
        <w:t>；</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（3）认真开展环保工作，做好辖区垃圾清运、清扫保洁、化粪池清掏等工作；</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（4）扎实开展</w:t>
      </w:r>
      <w:r>
        <w:rPr>
          <w:rFonts w:asciiTheme="minorEastAsia" w:hAnsiTheme="minorEastAsia" w:eastAsiaTheme="minorEastAsia"/>
          <w:sz w:val="28"/>
          <w:szCs w:val="28"/>
        </w:rPr>
        <w:t>公厕</w:t>
      </w:r>
      <w:r>
        <w:rPr>
          <w:rFonts w:hint="eastAsia" w:asciiTheme="minorEastAsia" w:hAnsiTheme="minorEastAsia" w:eastAsiaTheme="minorEastAsia"/>
          <w:sz w:val="28"/>
          <w:szCs w:val="28"/>
        </w:rPr>
        <w:t>管养维护工作，为市民提供干净的如厕环境；</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（5）扎实开展绿化管养工作；</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（6）认真对接完成住建口工作；</w:t>
      </w:r>
    </w:p>
    <w:p>
      <w:pPr>
        <w:spacing w:line="360" w:lineRule="auto"/>
        <w:ind w:left="420"/>
        <w:jc w:val="left"/>
        <w:rPr>
          <w:rFonts w:asciiTheme="minorEastAsia" w:hAnsiTheme="minorEastAsia" w:eastAsiaTheme="minorEastAsia"/>
          <w:sz w:val="28"/>
          <w:szCs w:val="28"/>
        </w:rPr>
      </w:pPr>
      <w:r>
        <w:rPr>
          <w:rFonts w:hint="eastAsia" w:asciiTheme="minorEastAsia" w:hAnsiTheme="minorEastAsia" w:eastAsiaTheme="minorEastAsia"/>
          <w:sz w:val="28"/>
          <w:szCs w:val="28"/>
        </w:rPr>
        <w:t>（7）认真对接完成交通口工作。</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二、绩效评价工作情况</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（一）绩效评价目的</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（二）绩效评价工作方案制定过程</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项目科室自评，根据资金管理使用情况进行自查，形成项目绩效报告（包括资金投入，使用情况，项目实施情况，取得的成果，存在的问题等）。财政所对项目资金拨付、管理、使用情况进行总结分析，按照设定的绩效评价指标进行绩效评价，最后形成项目绩效评价报告。</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（三）绩效评价原则、评价方法</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1、绩效评价原则</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（1）科学规范原则。绩效评价应当严格执行规定的程序，按照科学可行的要求，采用定量与定性分析相结合的方法。</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（2）公正公开原则。绩效评价应当符合真实、客观、公正的要求，依法公开并接受监督。</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（3）绩效相关原则。绩效评价应当针对具体支出及其产出绩效进行，评价结果应当清晰反映支出和产出绩效之间的紧密对应关系。</w:t>
      </w:r>
    </w:p>
    <w:p>
      <w:pPr>
        <w:topLinePunct/>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2、绩效评价方法</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（1）成本效益分析法。是指将一定时期内的支出与效益进行对比分析，以评价绩效目标实现程度。</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（2）比较法。是指通过对绩效目标与实施效果、历史与当期情况、不同部门和地区同类支出的比较，综合分析绩效目标实现程度。</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（3）公众评判法。是指通过专家评估、公众问卷及抽样调查等对财政支出效果进行评判，评价绩效目标实现程度。</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（四）绩效评价实施过程</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1、数据填报和采集</w:t>
      </w:r>
    </w:p>
    <w:p>
      <w:pPr>
        <w:spacing w:line="360" w:lineRule="auto"/>
        <w:ind w:firstLine="560" w:firstLineChars="200"/>
        <w:jc w:val="left"/>
        <w:rPr>
          <w:rFonts w:asciiTheme="minorEastAsia" w:hAnsiTheme="minorEastAsia" w:eastAsiaTheme="minorEastAsia"/>
          <w:sz w:val="28"/>
          <w:szCs w:val="28"/>
        </w:rPr>
      </w:pPr>
      <w:r>
        <w:rPr>
          <w:rFonts w:hint="eastAsia" w:cs="仿宋_GB2312" w:asciiTheme="minorEastAsia" w:hAnsiTheme="minorEastAsia" w:eastAsiaTheme="minorEastAsia"/>
          <w:color w:val="000000"/>
          <w:sz w:val="28"/>
          <w:szCs w:val="28"/>
        </w:rPr>
        <w:t>由项目负责科室进行项目总结，汇总填报项目相关情况，形成项目年度总结报告。绩效自评小组根据科室填报的数据及总结报告内容，初步审阅并追加采集需要的材料。</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2、社会调查</w:t>
      </w:r>
    </w:p>
    <w:p>
      <w:pPr>
        <w:topLinePunct/>
        <w:spacing w:line="360" w:lineRule="auto"/>
        <w:ind w:firstLine="700" w:firstLineChars="250"/>
        <w:rPr>
          <w:rFonts w:asciiTheme="minorEastAsia" w:hAnsiTheme="minorEastAsia" w:eastAsiaTheme="minorEastAsia"/>
          <w:sz w:val="28"/>
          <w:szCs w:val="28"/>
        </w:rPr>
      </w:pPr>
      <w:r>
        <w:rPr>
          <w:rFonts w:cs="仿宋_GB2312" w:asciiTheme="minorEastAsia" w:hAnsiTheme="minorEastAsia" w:eastAsiaTheme="minorEastAsia"/>
          <w:color w:val="000000"/>
          <w:sz w:val="28"/>
          <w:szCs w:val="28"/>
        </w:rPr>
        <w:t>根据采集的数据</w:t>
      </w:r>
      <w:r>
        <w:rPr>
          <w:rFonts w:hint="eastAsia" w:cs="仿宋_GB2312" w:asciiTheme="minorEastAsia" w:hAnsiTheme="minorEastAsia" w:eastAsiaTheme="minorEastAsia"/>
          <w:color w:val="000000"/>
          <w:sz w:val="28"/>
          <w:szCs w:val="28"/>
        </w:rPr>
        <w:t>，</w:t>
      </w:r>
      <w:r>
        <w:rPr>
          <w:rFonts w:cs="仿宋_GB2312" w:asciiTheme="minorEastAsia" w:hAnsiTheme="minorEastAsia" w:eastAsiaTheme="minorEastAsia"/>
          <w:color w:val="000000"/>
          <w:sz w:val="28"/>
          <w:szCs w:val="28"/>
        </w:rPr>
        <w:t>制定</w:t>
      </w:r>
      <w:r>
        <w:rPr>
          <w:rFonts w:hint="eastAsia" w:cs="仿宋_GB2312" w:asciiTheme="minorEastAsia" w:hAnsiTheme="minorEastAsia" w:eastAsiaTheme="minorEastAsia"/>
          <w:color w:val="000000"/>
          <w:sz w:val="28"/>
          <w:szCs w:val="28"/>
        </w:rPr>
        <w:t>绩效评价指标体系，对于采用公众评判法作为考核依据的事项，设计调查问卷进行调研。</w:t>
      </w:r>
    </w:p>
    <w:p>
      <w:pPr>
        <w:numPr>
          <w:ilvl w:val="0"/>
          <w:numId w:val="1"/>
        </w:num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数据分析和撰写报告</w:t>
      </w:r>
    </w:p>
    <w:p>
      <w:pPr>
        <w:topLinePunct/>
        <w:spacing w:line="360" w:lineRule="auto"/>
        <w:ind w:firstLine="700" w:firstLineChars="250"/>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（1）</w:t>
      </w:r>
      <w:r>
        <w:rPr>
          <w:rFonts w:cs="仿宋_GB2312" w:asciiTheme="minorEastAsia" w:hAnsiTheme="minorEastAsia" w:eastAsiaTheme="minorEastAsia"/>
          <w:color w:val="000000"/>
          <w:sz w:val="28"/>
          <w:szCs w:val="28"/>
        </w:rPr>
        <w:t>汇总分析调研数据</w:t>
      </w:r>
      <w:r>
        <w:rPr>
          <w:rFonts w:hint="eastAsia" w:cs="仿宋_GB2312" w:asciiTheme="minorEastAsia" w:hAnsiTheme="minorEastAsia" w:eastAsiaTheme="minorEastAsia"/>
          <w:color w:val="000000"/>
          <w:sz w:val="28"/>
          <w:szCs w:val="28"/>
        </w:rPr>
        <w:t>，</w:t>
      </w:r>
      <w:r>
        <w:rPr>
          <w:rFonts w:cs="仿宋_GB2312" w:asciiTheme="minorEastAsia" w:hAnsiTheme="minorEastAsia" w:eastAsiaTheme="minorEastAsia"/>
          <w:color w:val="000000"/>
          <w:sz w:val="28"/>
          <w:szCs w:val="28"/>
        </w:rPr>
        <w:t>编制调研报告</w:t>
      </w:r>
      <w:r>
        <w:rPr>
          <w:rFonts w:hint="eastAsia" w:cs="仿宋_GB2312" w:asciiTheme="minorEastAsia" w:hAnsiTheme="minorEastAsia" w:eastAsiaTheme="minorEastAsia"/>
          <w:color w:val="000000"/>
          <w:sz w:val="28"/>
          <w:szCs w:val="28"/>
        </w:rPr>
        <w:t>，对相应指标进行打分评价。</w:t>
      </w:r>
    </w:p>
    <w:p>
      <w:pPr>
        <w:topLinePunct/>
        <w:spacing w:line="360" w:lineRule="auto"/>
        <w:ind w:firstLine="700" w:firstLineChars="250"/>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（2）根据指标体系逐一进行资料及考核内容的评价工作，形成评价底稿并汇总出评价结果。</w:t>
      </w:r>
    </w:p>
    <w:p>
      <w:pPr>
        <w:spacing w:line="360" w:lineRule="auto"/>
        <w:ind w:left="420" w:leftChars="200"/>
        <w:jc w:val="left"/>
        <w:rPr>
          <w:rFonts w:asciiTheme="minorEastAsia" w:hAnsiTheme="minorEastAsia" w:eastAsiaTheme="minorEastAsia"/>
          <w:sz w:val="28"/>
          <w:szCs w:val="28"/>
        </w:rPr>
      </w:pPr>
      <w:r>
        <w:rPr>
          <w:rFonts w:hint="eastAsia" w:cs="仿宋_GB2312" w:asciiTheme="minorEastAsia" w:hAnsiTheme="minorEastAsia" w:eastAsiaTheme="minorEastAsia"/>
          <w:color w:val="000000"/>
          <w:sz w:val="28"/>
          <w:szCs w:val="28"/>
        </w:rPr>
        <w:t>（3）根据评价过程及评价结果，撰写绩效评价报告。</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（五）本次绩效评价的局限性</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该项目绩效评价指标设定时，一些效果指标难以量化，如社会效益指标、生态效益指标、可持续影响指标，这对全面反映项目绩效可能存在一定的局限性。</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三、评价结论和绩效分析</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（一）评价结论</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1、评价结果</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该项目资金立项依据充分，立项程序规范，绩效目标明确，预算编制合理，各项支出均按规定使用，对资金使用严格财经纪律，专款专用，确保了资金的使用效率。综合项目的投入、产出及效益，我单位自评为99.5分，评价结果为优。</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2、主要绩效</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（1）开展辖区市容环境巡查及检查工作。督促京云盘宸公司做好辖区道路的清扫保洁和生活垃圾的清运，做到日产日清。全面推进垃圾分类工作。</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扎实开展绿化管养工作。完成东华街道办事处辖区范围内“荒地硬地变绿地”600㎡、完成新迎路口的景观提升改造、完成白邑寺公园及“五个十”小游园提升改造移交、完成辖区内无人管养小区绿化养护工，同时做好辖区绿化苗木的抗旱保苗、病虫害防治工作及其它日常养护工作的实施。</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加强物业管理、考核。督促物业公司按照实地测评标准配合开展创文工作，以确保物业服务小区达到创文相关标准。对环境卫生进行清理整治，清理小广告、楼道杂物、修复破损公共设施、完善物业管理等进行对标整改。</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4）认真对接完成交通口工作。对辖区道路停车泊位摸底排查统计，辖区有34个路段（小区开放式道路），设置停车泊位1991个，均获得区运管分局设置道路停车泊位备案证，现由8家物业公司经营管理；另有15个路段（市政道路和小区开放式道路），设置停车泊位368个。2019年4月26日对两家非法停车泊位管理方进行约谈，同时联合区运管分局对两家非法停车泊位管理方进行整治。</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5）扎实开展生态环境保护工作。提高清扫保洁力度和洒水降尘频次，尤其加强对工地聚集区域的洒水降尘频次。要求保洁公司每天按合同标准完成辖区48469平方米主次道路洒水降尘和道路冲洗工作，重点是人民东路、环城东路、白龙路、穿金路、二环东路、白云路、新迎路、新兴路、文艺路等主要道路，每天共计出动人员12人，车辆4辆，用水量260吨。</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（二）具体绩效分析</w:t>
      </w:r>
    </w:p>
    <w:p>
      <w:pPr>
        <w:topLinePunct/>
        <w:spacing w:line="360" w:lineRule="auto"/>
        <w:ind w:firstLine="700" w:firstLineChars="250"/>
        <w:rPr>
          <w:rFonts w:asciiTheme="minorEastAsia" w:hAnsiTheme="minorEastAsia" w:eastAsiaTheme="minorEastAsia"/>
          <w:sz w:val="28"/>
          <w:szCs w:val="28"/>
        </w:rPr>
      </w:pPr>
      <w:r>
        <w:rPr>
          <w:rFonts w:hint="eastAsia" w:asciiTheme="minorEastAsia" w:hAnsiTheme="minorEastAsia" w:eastAsiaTheme="minorEastAsia"/>
          <w:sz w:val="28"/>
          <w:szCs w:val="28"/>
        </w:rPr>
        <w:t>A221.指标细化分解情况满分3分，得分2.5分，</w:t>
      </w:r>
      <w:r>
        <w:rPr>
          <w:rFonts w:hint="eastAsia" w:ascii="仿宋_GB2312" w:hAnsi="仿宋_GB2312" w:eastAsia="仿宋_GB2312" w:cs="仿宋_GB2312"/>
          <w:color w:val="000000"/>
          <w:sz w:val="28"/>
          <w:szCs w:val="28"/>
        </w:rPr>
        <w:t>根</w:t>
      </w:r>
      <w:r>
        <w:rPr>
          <w:rFonts w:hint="eastAsia" w:asciiTheme="minorEastAsia" w:hAnsiTheme="minorEastAsia" w:eastAsiaTheme="minorEastAsia"/>
          <w:sz w:val="28"/>
          <w:szCs w:val="28"/>
        </w:rPr>
        <w:t>据部门年度重点工作任务与工作计划，绩效目标申报表分析结果，预算绩效指标不够量化细化，得分2分。</w:t>
      </w:r>
    </w:p>
    <w:p>
      <w:pPr>
        <w:spacing w:line="360" w:lineRule="auto"/>
        <w:ind w:firstLine="560" w:firstLineChars="200"/>
        <w:jc w:val="left"/>
        <w:rPr>
          <w:rFonts w:asciiTheme="minorEastAsia" w:hAnsiTheme="minorEastAsia" w:eastAsiaTheme="minorEastAsia"/>
          <w:sz w:val="28"/>
          <w:szCs w:val="28"/>
        </w:rPr>
      </w:pPr>
      <w:r>
        <w:rPr>
          <w:rFonts w:cs="仿宋_GB2312" w:asciiTheme="minorEastAsia" w:hAnsiTheme="minorEastAsia" w:eastAsiaTheme="minorEastAsia"/>
          <w:color w:val="000000"/>
          <w:sz w:val="28"/>
          <w:szCs w:val="28"/>
        </w:rPr>
        <w:t>其他指标均的满分</w:t>
      </w:r>
      <w:r>
        <w:rPr>
          <w:rFonts w:hint="eastAsia" w:cs="仿宋_GB2312" w:asciiTheme="minorEastAsia" w:hAnsiTheme="minorEastAsia" w:eastAsiaTheme="minorEastAsia"/>
          <w:color w:val="000000"/>
          <w:sz w:val="28"/>
          <w:szCs w:val="28"/>
        </w:rPr>
        <w:t>，</w:t>
      </w:r>
      <w:r>
        <w:rPr>
          <w:rFonts w:cs="仿宋_GB2312" w:asciiTheme="minorEastAsia" w:hAnsiTheme="minorEastAsia" w:eastAsiaTheme="minorEastAsia"/>
          <w:color w:val="000000"/>
          <w:sz w:val="28"/>
          <w:szCs w:val="28"/>
        </w:rPr>
        <w:t>具体打分情况详见附件</w:t>
      </w:r>
      <w:r>
        <w:rPr>
          <w:rFonts w:hint="eastAsia" w:cs="仿宋_GB2312" w:asciiTheme="minorEastAsia" w:hAnsiTheme="minorEastAsia" w:eastAsiaTheme="minorEastAsia"/>
          <w:color w:val="000000"/>
          <w:sz w:val="28"/>
          <w:szCs w:val="28"/>
        </w:rPr>
        <w:t>1</w:t>
      </w:r>
      <w:r>
        <w:rPr>
          <w:rFonts w:hint="eastAsia" w:asciiTheme="minorEastAsia" w:hAnsiTheme="minorEastAsia" w:eastAsiaTheme="minorEastAsia"/>
          <w:sz w:val="28"/>
          <w:szCs w:val="28"/>
        </w:rPr>
        <w:t>。</w:t>
      </w:r>
    </w:p>
    <w:p>
      <w:pPr>
        <w:numPr>
          <w:ilvl w:val="0"/>
          <w:numId w:val="2"/>
        </w:num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成本效益分析</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2019年度城市管理工作经费全年预算资金为260万元，已从区级财政全额拨付到位。资金支出260万元，上年度支出220万元，本年度比上年度增加支出40万元，增长18.18%。</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pPr>
        <w:spacing w:line="360" w:lineRule="auto"/>
        <w:ind w:firstLine="560" w:firstLineChars="200"/>
        <w:jc w:val="left"/>
        <w:rPr>
          <w:rFonts w:ascii="宋体" w:hAnsi="宋体"/>
          <w:szCs w:val="32"/>
        </w:rPr>
      </w:pPr>
      <w:r>
        <w:rPr>
          <w:rFonts w:hint="eastAsia" w:asciiTheme="minorEastAsia" w:hAnsiTheme="minorEastAsia" w:eastAsiaTheme="minorEastAsia"/>
          <w:sz w:val="28"/>
          <w:szCs w:val="28"/>
        </w:rPr>
        <w:t>五、主要经验及做法、存在的问题和建议</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（一）主要经验及做法</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1、指标的设计根据本年度工作计划设计，年终由项目执行科室进行自评，单位评价小组抽评。</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2、根据街道办的经费管理制度对资金进行管理，对资金进行季度使用情况分析，过程中进行绩效跟踪分析，及时调整项目进度。</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3、加强管理，提高环境卫生，与考核制度相结合，完成绩效目标。</w:t>
      </w:r>
      <w:r>
        <w:rPr>
          <w:rFonts w:hint="eastAsia" w:asciiTheme="minorEastAsia" w:hAnsiTheme="minorEastAsia" w:eastAsiaTheme="minorEastAsia"/>
          <w:sz w:val="28"/>
          <w:szCs w:val="28"/>
        </w:rPr>
        <w:cr/>
      </w:r>
      <w:r>
        <w:rPr>
          <w:rFonts w:hint="eastAsia" w:asciiTheme="minorEastAsia" w:hAnsiTheme="minorEastAsia" w:eastAsiaTheme="minorEastAsia"/>
          <w:sz w:val="28"/>
          <w:szCs w:val="28"/>
        </w:rPr>
        <w:t xml:space="preserve">    4、实施过程中分季度进行绩效阶段跟踪及考核，对于指标值偏离较远的指标，及时进行调整工作方案。</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（二）存在的问题</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1、绩效指标明确性、完善性尚有欠缺，依据目标所设定的绩效指标清晰、细化、可衡量性有待进一步完善。</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2、社会效益指标及社会公众或服务对象满意度指标未能完全达到预算绩效目标，由于辖区范围广、涉及事务种类繁多，无法达到100%的满意度回馈。</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（三）建议和改进措施</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1、根据上年工作开展情况及绩效自评的结果，结合下年工作目标、计划，科学合理的分配各块工作资金，做到不遗漏，重点突出。</w:t>
      </w:r>
    </w:p>
    <w:p>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2、同时，了解民意、倾听民意，结合自身实际，合理利用工作经费，制定切实可行方案，探索符合群众需要的服务、工作、活动方式，重视辖区公众的反馈意见，努力将满意程度提高到设定目标值。</w:t>
      </w:r>
    </w:p>
    <w:p>
      <w:pPr>
        <w:spacing w:before="156" w:beforeLines="50"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六、绩效自评结果应用</w:t>
      </w:r>
    </w:p>
    <w:p>
      <w:pPr>
        <w:spacing w:before="156" w:beforeLines="50" w:line="36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东华街道办事处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altName w:val="微软雅黑"/>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C49D6F"/>
    <w:multiLevelType w:val="singleLevel"/>
    <w:tmpl w:val="84C49D6F"/>
    <w:lvl w:ilvl="0" w:tentative="0">
      <w:start w:val="2"/>
      <w:numFmt w:val="decimal"/>
      <w:suff w:val="nothing"/>
      <w:lvlText w:val="%1、"/>
      <w:lvlJc w:val="left"/>
    </w:lvl>
  </w:abstractNum>
  <w:abstractNum w:abstractNumId="1">
    <w:nsid w:val="0809A2C9"/>
    <w:multiLevelType w:val="singleLevel"/>
    <w:tmpl w:val="0809A2C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F8A"/>
    <w:rsid w:val="00302375"/>
    <w:rsid w:val="007D6F8A"/>
    <w:rsid w:val="009006C2"/>
    <w:rsid w:val="012F03D8"/>
    <w:rsid w:val="052E1659"/>
    <w:rsid w:val="05D758A2"/>
    <w:rsid w:val="06F63F4B"/>
    <w:rsid w:val="0A593452"/>
    <w:rsid w:val="0CBB6CD3"/>
    <w:rsid w:val="0CEC6A1A"/>
    <w:rsid w:val="0D37359E"/>
    <w:rsid w:val="0F312B11"/>
    <w:rsid w:val="11273FA4"/>
    <w:rsid w:val="149E24F3"/>
    <w:rsid w:val="14D91430"/>
    <w:rsid w:val="1BF55B1F"/>
    <w:rsid w:val="1D3227E6"/>
    <w:rsid w:val="1E33396F"/>
    <w:rsid w:val="2021146C"/>
    <w:rsid w:val="24404DCD"/>
    <w:rsid w:val="24F54A82"/>
    <w:rsid w:val="2A585A81"/>
    <w:rsid w:val="2B321E38"/>
    <w:rsid w:val="2B5A698A"/>
    <w:rsid w:val="2D59366F"/>
    <w:rsid w:val="2EAB0473"/>
    <w:rsid w:val="2F294366"/>
    <w:rsid w:val="3262490F"/>
    <w:rsid w:val="34073EA1"/>
    <w:rsid w:val="344810F7"/>
    <w:rsid w:val="34B17F3C"/>
    <w:rsid w:val="35424EB1"/>
    <w:rsid w:val="36F15EDE"/>
    <w:rsid w:val="3DB26F22"/>
    <w:rsid w:val="3E030905"/>
    <w:rsid w:val="41222BA6"/>
    <w:rsid w:val="43506304"/>
    <w:rsid w:val="45B04A07"/>
    <w:rsid w:val="49783DCF"/>
    <w:rsid w:val="4B8B1B57"/>
    <w:rsid w:val="4D8C0B55"/>
    <w:rsid w:val="4FE555EC"/>
    <w:rsid w:val="52322599"/>
    <w:rsid w:val="53150408"/>
    <w:rsid w:val="5C1633EB"/>
    <w:rsid w:val="5CA66E92"/>
    <w:rsid w:val="5CF16406"/>
    <w:rsid w:val="5E9620E1"/>
    <w:rsid w:val="62515538"/>
    <w:rsid w:val="63575AC4"/>
    <w:rsid w:val="647B1859"/>
    <w:rsid w:val="64D823F9"/>
    <w:rsid w:val="663D756E"/>
    <w:rsid w:val="67A32DCC"/>
    <w:rsid w:val="688C4CED"/>
    <w:rsid w:val="693669BC"/>
    <w:rsid w:val="6D022B6A"/>
    <w:rsid w:val="6E474690"/>
    <w:rsid w:val="70953AD7"/>
    <w:rsid w:val="71DA6BC0"/>
    <w:rsid w:val="726839B1"/>
    <w:rsid w:val="75616FDD"/>
    <w:rsid w:val="76922297"/>
    <w:rsid w:val="773B76B2"/>
    <w:rsid w:val="77D867D4"/>
    <w:rsid w:val="78786202"/>
    <w:rsid w:val="79AA54A7"/>
    <w:rsid w:val="7A40581C"/>
    <w:rsid w:val="7C643A05"/>
    <w:rsid w:val="7D845C65"/>
    <w:rsid w:val="7DC377EC"/>
    <w:rsid w:val="7E5C1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805</Words>
  <Characters>4590</Characters>
  <Lines>38</Lines>
  <Paragraphs>10</Paragraphs>
  <TotalTime>15</TotalTime>
  <ScaleCrop>false</ScaleCrop>
  <LinksUpToDate>false</LinksUpToDate>
  <CharactersWithSpaces>5385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hp1</cp:lastModifiedBy>
  <dcterms:modified xsi:type="dcterms:W3CDTF">2020-09-21T07:25:45Z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