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仿宋" w:hAnsi="仿宋" w:eastAsia="仿宋"/>
          <w:b/>
          <w:bCs/>
          <w:sz w:val="52"/>
          <w:szCs w:val="52"/>
        </w:rPr>
      </w:pPr>
    </w:p>
    <w:p>
      <w:pPr>
        <w:spacing w:line="560" w:lineRule="exact"/>
        <w:ind w:firstLine="520" w:firstLineChars="100"/>
        <w:rPr>
          <w:rFonts w:ascii="黑体" w:hAnsi="黑体" w:eastAsia="黑体" w:cs="黑体"/>
          <w:bCs/>
          <w:sz w:val="52"/>
          <w:szCs w:val="52"/>
        </w:rPr>
      </w:pPr>
      <w:r>
        <w:rPr>
          <w:rFonts w:hint="eastAsia" w:ascii="黑体" w:hAnsi="黑体" w:eastAsia="黑体" w:cs="黑体"/>
          <w:bCs/>
          <w:sz w:val="52"/>
          <w:szCs w:val="52"/>
        </w:rPr>
        <w:t>盘龙区人民政府东华街道办事处</w:t>
      </w:r>
    </w:p>
    <w:p>
      <w:pPr>
        <w:spacing w:line="700" w:lineRule="exact"/>
        <w:rPr>
          <w:rFonts w:ascii="黑体" w:hAnsi="黑体" w:eastAsia="黑体" w:cs="黑体"/>
          <w:bCs/>
          <w:sz w:val="52"/>
          <w:szCs w:val="52"/>
        </w:rPr>
      </w:pPr>
      <w:r>
        <w:rPr>
          <w:rFonts w:ascii="黑体" w:hAnsi="黑体" w:eastAsia="黑体" w:cs="黑体"/>
          <w:bCs/>
          <w:sz w:val="52"/>
          <w:szCs w:val="52"/>
        </w:rPr>
        <w:t>201</w:t>
      </w:r>
      <w:r>
        <w:rPr>
          <w:rFonts w:hint="eastAsia" w:ascii="黑体" w:hAnsi="黑体" w:eastAsia="黑体" w:cs="黑体"/>
          <w:bCs/>
          <w:sz w:val="52"/>
          <w:szCs w:val="52"/>
        </w:rPr>
        <w:t>9年部门整体支出绩效自评报告</w:t>
      </w:r>
    </w:p>
    <w:p>
      <w:pPr>
        <w:spacing w:before="120" w:after="120" w:line="480" w:lineRule="auto"/>
        <w:jc w:val="center"/>
        <w:rPr>
          <w:rFonts w:ascii="黑体" w:hAnsi="黑体" w:eastAsia="黑体"/>
          <w:b/>
          <w:bCs/>
          <w:sz w:val="52"/>
          <w:szCs w:val="52"/>
        </w:rPr>
      </w:pPr>
    </w:p>
    <w:p>
      <w:pPr>
        <w:spacing w:before="120" w:after="120" w:line="480" w:lineRule="auto"/>
        <w:jc w:val="center"/>
        <w:rPr>
          <w:rFonts w:ascii="黑体" w:hAnsi="黑体" w:eastAsia="黑体"/>
          <w:b/>
          <w:bCs/>
          <w:sz w:val="44"/>
          <w:szCs w:val="44"/>
        </w:rPr>
      </w:pPr>
    </w:p>
    <w:p>
      <w:pPr>
        <w:spacing w:before="120" w:after="120" w:line="480" w:lineRule="auto"/>
        <w:jc w:val="center"/>
        <w:rPr>
          <w:rFonts w:ascii="黑体" w:hAnsi="黑体" w:eastAsia="黑体"/>
          <w:b/>
          <w:bCs/>
          <w:sz w:val="44"/>
          <w:szCs w:val="44"/>
        </w:rPr>
      </w:pPr>
    </w:p>
    <w:p>
      <w:pPr>
        <w:spacing w:before="120" w:after="120" w:line="480" w:lineRule="auto"/>
        <w:jc w:val="center"/>
        <w:rPr>
          <w:rFonts w:ascii="黑体" w:hAnsi="黑体" w:eastAsia="黑体"/>
          <w:b/>
          <w:bCs/>
          <w:sz w:val="44"/>
          <w:szCs w:val="44"/>
        </w:rPr>
      </w:pPr>
    </w:p>
    <w:p>
      <w:pPr>
        <w:adjustRightInd w:val="0"/>
        <w:snapToGrid w:val="0"/>
        <w:spacing w:line="360" w:lineRule="auto"/>
        <w:ind w:left="1260" w:leftChars="600"/>
        <w:rPr>
          <w:rFonts w:ascii="黑体" w:hAnsi="黑体" w:eastAsia="黑体"/>
          <w:b/>
          <w:bCs/>
          <w:sz w:val="28"/>
          <w:szCs w:val="28"/>
        </w:rPr>
      </w:pPr>
      <w:r>
        <w:rPr>
          <w:rFonts w:ascii="黑体" w:hAnsi="黑体" w:eastAsia="黑体" w:cs="黑体"/>
          <w:b/>
          <w:bCs/>
          <w:sz w:val="28"/>
          <w:szCs w:val="28"/>
        </w:rPr>
        <mc:AlternateContent>
          <mc:Choice Requires="wps">
            <w:drawing>
              <wp:anchor distT="0" distB="0" distL="114300" distR="114300" simplePos="0" relativeHeight="251657216" behindDoc="0" locked="0" layoutInCell="1" allowOverlap="1">
                <wp:simplePos x="0" y="0"/>
                <wp:positionH relativeFrom="column">
                  <wp:posOffset>1695450</wp:posOffset>
                </wp:positionH>
                <wp:positionV relativeFrom="paragraph">
                  <wp:posOffset>211455</wp:posOffset>
                </wp:positionV>
                <wp:extent cx="3457575" cy="0"/>
                <wp:effectExtent l="0" t="0" r="0" b="0"/>
                <wp:wrapNone/>
                <wp:docPr id="3" name="AutoShape 2"/>
                <wp:cNvGraphicFramePr/>
                <a:graphic xmlns:a="http://schemas.openxmlformats.org/drawingml/2006/main">
                  <a:graphicData uri="http://schemas.microsoft.com/office/word/2010/wordprocessingShape">
                    <wps:wsp>
                      <wps:cNvCnPr>
                        <a:cxnSpLocks noChangeShapeType="1"/>
                      </wps:cNvCnPr>
                      <wps:spPr bwMode="auto">
                        <a:xfrm>
                          <a:off x="0" y="0"/>
                          <a:ext cx="3457575" cy="0"/>
                        </a:xfrm>
                        <a:prstGeom prst="straightConnector1">
                          <a:avLst/>
                        </a:prstGeom>
                        <a:noFill/>
                        <a:ln w="9525">
                          <a:solidFill>
                            <a:srgbClr val="000000"/>
                          </a:solidFill>
                          <a:round/>
                        </a:ln>
                        <a:effectLst/>
                      </wps:spPr>
                      <wps:bodyPr/>
                    </wps:wsp>
                  </a:graphicData>
                </a:graphic>
              </wp:anchor>
            </w:drawing>
          </mc:Choice>
          <mc:Fallback>
            <w:pict>
              <v:shape id="AutoShape 2" o:spid="_x0000_s1026" o:spt="32" type="#_x0000_t32" style="position:absolute;left:0pt;margin-left:133.5pt;margin-top:16.65pt;height:0pt;width:272.25pt;z-index:251657216;mso-width-relative:page;mso-height-relative:page;" filled="f" stroked="t" coordsize="21600,21600" o:gfxdata="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AYyeaXXAAAACQEAAA8AAAAAAAAAAQAgAAAAIgAAAGRycy9kb3ducmV2LnhtbFBL&#10;AQIUABQAAAAIAIdO4kD8iX1SvgEAAHIDAAAOAAAAAAAAAAEAIAAAACYBAABkcnMvZTJvRG9jLnht&#10;bFBLBQYAAAAABgAGAFkBAABWBQAAAAA=&#10;">
                <v:fill on="f" focussize="0,0"/>
                <v:stroke color="#000000" joinstyle="round"/>
                <v:imagedata o:title=""/>
                <o:lock v:ext="edit" aspectratio="f"/>
              </v:shape>
            </w:pict>
          </mc:Fallback>
        </mc:AlternateContent>
      </w:r>
      <w:r>
        <w:rPr>
          <w:rFonts w:hint="eastAsia" w:ascii="黑体" w:hAnsi="黑体" w:eastAsia="黑体" w:cs="黑体"/>
          <w:b/>
          <w:bCs/>
          <w:sz w:val="28"/>
          <w:szCs w:val="28"/>
        </w:rPr>
        <w:t>项目名称：盘龙区人民政府东华街道办事处整体支出</w:t>
      </w:r>
    </w:p>
    <w:p>
      <w:pPr>
        <w:adjustRightInd w:val="0"/>
        <w:snapToGrid w:val="0"/>
        <w:spacing w:line="360" w:lineRule="auto"/>
        <w:ind w:left="1260" w:leftChars="600"/>
        <w:rPr>
          <w:rFonts w:ascii="黑体" w:hAnsi="黑体" w:eastAsia="黑体" w:cs="黑体"/>
          <w:b/>
          <w:bCs/>
          <w:sz w:val="28"/>
          <w:szCs w:val="28"/>
        </w:rPr>
      </w:pPr>
      <w:r>
        <w:rPr>
          <w:rFonts w:ascii="黑体" w:hAnsi="黑体" w:eastAsia="黑体" w:cs="黑体"/>
          <w:b/>
          <w:bCs/>
          <w:sz w:val="28"/>
          <w:szCs w:val="28"/>
        </w:rPr>
        <mc:AlternateContent>
          <mc:Choice Requires="wps">
            <w:drawing>
              <wp:anchor distT="0" distB="0" distL="114300" distR="114300" simplePos="0" relativeHeight="251658240" behindDoc="0" locked="0" layoutInCell="1" allowOverlap="1">
                <wp:simplePos x="0" y="0"/>
                <wp:positionH relativeFrom="column">
                  <wp:posOffset>1695450</wp:posOffset>
                </wp:positionH>
                <wp:positionV relativeFrom="paragraph">
                  <wp:posOffset>217805</wp:posOffset>
                </wp:positionV>
                <wp:extent cx="3457575" cy="0"/>
                <wp:effectExtent l="0" t="0" r="0" b="0"/>
                <wp:wrapNone/>
                <wp:docPr id="2" name="AutoShape 3"/>
                <wp:cNvGraphicFramePr/>
                <a:graphic xmlns:a="http://schemas.openxmlformats.org/drawingml/2006/main">
                  <a:graphicData uri="http://schemas.microsoft.com/office/word/2010/wordprocessingShape">
                    <wps:wsp>
                      <wps:cNvCnPr>
                        <a:cxnSpLocks noChangeShapeType="1"/>
                      </wps:cNvCnPr>
                      <wps:spPr bwMode="auto">
                        <a:xfrm>
                          <a:off x="0" y="0"/>
                          <a:ext cx="3457575" cy="0"/>
                        </a:xfrm>
                        <a:prstGeom prst="straightConnector1">
                          <a:avLst/>
                        </a:prstGeom>
                        <a:noFill/>
                        <a:ln w="9525">
                          <a:solidFill>
                            <a:srgbClr val="000000"/>
                          </a:solidFill>
                          <a:round/>
                        </a:ln>
                        <a:effectLst/>
                      </wps:spPr>
                      <wps:bodyPr/>
                    </wps:wsp>
                  </a:graphicData>
                </a:graphic>
              </wp:anchor>
            </w:drawing>
          </mc:Choice>
          <mc:Fallback>
            <w:pict>
              <v:shape id="AutoShape 3" o:spid="_x0000_s1026" o:spt="32" type="#_x0000_t32" style="position:absolute;left:0pt;margin-left:133.5pt;margin-top:17.15pt;height:0pt;width:272.25pt;z-index:251658240;mso-width-relative:page;mso-height-relative:page;" filled="f" stroked="t" coordsize="21600,21600" o:gfxdata="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K/Q9w2AAAAAkBAAAPAAAAAAAAAAEAIAAAACIAAABkcnMvZG93bnJldi54bWxQ&#10;SwECFAAUAAAACACHTuJA83tQj74BAAByAwAADgAAAAAAAAABACAAAAAnAQAAZHJzL2Uyb0RvYy54&#10;bWxQSwUGAAAAAAYABgBZAQAAVwUAAAAA&#10;">
                <v:fill on="f" focussize="0,0"/>
                <v:stroke color="#000000" joinstyle="round"/>
                <v:imagedata o:title=""/>
                <o:lock v:ext="edit" aspectratio="f"/>
              </v:shape>
            </w:pict>
          </mc:Fallback>
        </mc:AlternateContent>
      </w:r>
      <w:r>
        <w:rPr>
          <w:rFonts w:hint="eastAsia" w:ascii="黑体" w:hAnsi="黑体" w:eastAsia="黑体" w:cs="黑体"/>
          <w:b/>
          <w:bCs/>
          <w:sz w:val="28"/>
          <w:szCs w:val="28"/>
        </w:rPr>
        <w:t>部门名称：盘龙区人民政府东华街道办事处</w:t>
      </w:r>
    </w:p>
    <w:p>
      <w:pPr>
        <w:adjustRightInd w:val="0"/>
        <w:snapToGrid w:val="0"/>
        <w:spacing w:line="360" w:lineRule="auto"/>
        <w:ind w:left="1260" w:leftChars="600"/>
        <w:rPr>
          <w:rFonts w:ascii="黑体" w:hAnsi="黑体" w:eastAsia="黑体" w:cs="黑体"/>
          <w:b/>
          <w:bCs/>
          <w:sz w:val="28"/>
          <w:szCs w:val="28"/>
        </w:rPr>
      </w:pPr>
      <w:r>
        <w:rPr>
          <w:rFonts w:ascii="黑体" w:hAnsi="黑体" w:eastAsia="黑体" w:cs="黑体"/>
          <w:b/>
          <w:bCs/>
          <w:sz w:val="28"/>
          <w:szCs w:val="28"/>
        </w:rPr>
        <mc:AlternateContent>
          <mc:Choice Requires="wps">
            <w:drawing>
              <wp:anchor distT="0" distB="0" distL="114300" distR="114300" simplePos="0" relativeHeight="251658240" behindDoc="0" locked="0" layoutInCell="1" allowOverlap="1">
                <wp:simplePos x="0" y="0"/>
                <wp:positionH relativeFrom="column">
                  <wp:posOffset>1695450</wp:posOffset>
                </wp:positionH>
                <wp:positionV relativeFrom="paragraph">
                  <wp:posOffset>253365</wp:posOffset>
                </wp:positionV>
                <wp:extent cx="3457575" cy="0"/>
                <wp:effectExtent l="0" t="0" r="0" b="0"/>
                <wp:wrapNone/>
                <wp:docPr id="1" name="AutoShape 4"/>
                <wp:cNvGraphicFramePr/>
                <a:graphic xmlns:a="http://schemas.openxmlformats.org/drawingml/2006/main">
                  <a:graphicData uri="http://schemas.microsoft.com/office/word/2010/wordprocessingShape">
                    <wps:wsp>
                      <wps:cNvCnPr>
                        <a:cxnSpLocks noChangeShapeType="1"/>
                      </wps:cNvCnPr>
                      <wps:spPr bwMode="auto">
                        <a:xfrm>
                          <a:off x="0" y="0"/>
                          <a:ext cx="3457575" cy="0"/>
                        </a:xfrm>
                        <a:prstGeom prst="straightConnector1">
                          <a:avLst/>
                        </a:prstGeom>
                        <a:noFill/>
                        <a:ln w="9525">
                          <a:solidFill>
                            <a:srgbClr val="000000"/>
                          </a:solidFill>
                          <a:round/>
                        </a:ln>
                        <a:effectLst/>
                      </wps:spPr>
                      <wps:bodyPr/>
                    </wps:wsp>
                  </a:graphicData>
                </a:graphic>
              </wp:anchor>
            </w:drawing>
          </mc:Choice>
          <mc:Fallback>
            <w:pict>
              <v:shape id="AutoShape 4" o:spid="_x0000_s1026" o:spt="32" type="#_x0000_t32" style="position:absolute;left:0pt;margin-left:133.5pt;margin-top:19.95pt;height:0pt;width:272.25pt;z-index:251658240;mso-width-relative:page;mso-height-relative:page;" filled="f" stroked="t" coordsize="21600,21600" o:gfxdata="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AgSfgjXAAAACQEAAA8AAAAAAAAAAQAgAAAAIgAAAGRycy9kb3ducmV2LnhtbFBL&#10;AQIUABQAAAAIAIdO4kAsrxGqvgEAAHIDAAAOAAAAAAAAAAEAIAAAACYBAABkcnMvZTJvRG9jLnht&#10;bFBLBQYAAAAABgAGAFkBAABWBQAAAAA=&#10;">
                <v:fill on="f" focussize="0,0"/>
                <v:stroke color="#000000" joinstyle="round"/>
                <v:imagedata o:title=""/>
                <o:lock v:ext="edit" aspectratio="f"/>
              </v:shape>
            </w:pict>
          </mc:Fallback>
        </mc:AlternateContent>
      </w:r>
      <w:r>
        <w:rPr>
          <w:rFonts w:hint="eastAsia" w:ascii="黑体" w:hAnsi="黑体" w:eastAsia="黑体" w:cs="黑体"/>
          <w:b/>
          <w:bCs/>
          <w:sz w:val="28"/>
          <w:szCs w:val="28"/>
        </w:rPr>
        <w:t>评价机构：盘龙区人民政府东华街道办事处自评小组</w:t>
      </w:r>
    </w:p>
    <w:p>
      <w:pPr>
        <w:adjustRightInd w:val="0"/>
        <w:snapToGrid w:val="0"/>
        <w:spacing w:line="360" w:lineRule="auto"/>
        <w:ind w:left="1260" w:leftChars="600"/>
        <w:rPr>
          <w:rFonts w:ascii="黑体" w:hAnsi="黑体" w:eastAsia="黑体"/>
          <w:b/>
          <w:bCs/>
          <w:sz w:val="28"/>
          <w:szCs w:val="28"/>
        </w:rPr>
      </w:pPr>
    </w:p>
    <w:p>
      <w:pPr>
        <w:spacing w:line="360" w:lineRule="auto"/>
        <w:ind w:left="1218" w:leftChars="580"/>
        <w:rPr>
          <w:rFonts w:ascii="黑体" w:hAnsi="黑体" w:eastAsia="黑体"/>
          <w:b/>
          <w:bCs/>
          <w:sz w:val="28"/>
          <w:szCs w:val="28"/>
        </w:rPr>
      </w:pPr>
    </w:p>
    <w:p>
      <w:pPr>
        <w:jc w:val="center"/>
        <w:rPr>
          <w:rFonts w:ascii="黑体" w:hAnsi="黑体" w:eastAsia="黑体" w:cs="黑体"/>
          <w:b/>
          <w:bCs/>
          <w:sz w:val="28"/>
          <w:szCs w:val="28"/>
        </w:rPr>
      </w:pPr>
      <w:r>
        <w:rPr>
          <w:rFonts w:ascii="黑体" w:hAnsi="黑体" w:eastAsia="黑体"/>
          <w:b/>
          <w:bCs/>
          <w:sz w:val="28"/>
          <w:szCs w:val="28"/>
        </w:rPr>
        <w:t>20</w:t>
      </w:r>
      <w:r>
        <w:rPr>
          <w:rFonts w:hint="eastAsia" w:ascii="黑体" w:hAnsi="黑体" w:eastAsia="黑体"/>
          <w:b/>
          <w:bCs/>
          <w:sz w:val="28"/>
          <w:szCs w:val="28"/>
        </w:rPr>
        <w:t>20</w:t>
      </w:r>
      <w:r>
        <w:rPr>
          <w:rFonts w:hint="eastAsia" w:ascii="黑体" w:hAnsi="黑体" w:eastAsia="黑体" w:cs="黑体"/>
          <w:b/>
          <w:bCs/>
          <w:sz w:val="28"/>
          <w:szCs w:val="28"/>
        </w:rPr>
        <w:t>年</w:t>
      </w:r>
      <w:r>
        <w:rPr>
          <w:rFonts w:ascii="黑体" w:hAnsi="黑体" w:eastAsia="黑体"/>
          <w:b/>
          <w:bCs/>
          <w:sz w:val="28"/>
          <w:szCs w:val="28"/>
        </w:rPr>
        <w:t>4</w:t>
      </w:r>
      <w:r>
        <w:rPr>
          <w:rFonts w:hint="eastAsia" w:ascii="黑体" w:hAnsi="黑体" w:eastAsia="黑体" w:cs="黑体"/>
          <w:b/>
          <w:bCs/>
          <w:sz w:val="28"/>
          <w:szCs w:val="28"/>
        </w:rPr>
        <w:t>月</w:t>
      </w:r>
    </w:p>
    <w:p>
      <w:pPr>
        <w:jc w:val="center"/>
        <w:rPr>
          <w:rFonts w:ascii="仿宋" w:hAnsi="仿宋" w:eastAsia="仿宋" w:cs="黑体"/>
          <w:b/>
          <w:bCs/>
          <w:sz w:val="28"/>
          <w:szCs w:val="28"/>
        </w:rPr>
      </w:pPr>
    </w:p>
    <w:p>
      <w:pPr>
        <w:jc w:val="center"/>
        <w:rPr>
          <w:rFonts w:ascii="仿宋" w:hAnsi="仿宋" w:eastAsia="仿宋" w:cs="黑体"/>
          <w:b/>
          <w:bCs/>
          <w:sz w:val="28"/>
          <w:szCs w:val="28"/>
        </w:rPr>
      </w:pPr>
    </w:p>
    <w:p>
      <w:pPr>
        <w:jc w:val="center"/>
        <w:rPr>
          <w:rFonts w:ascii="仿宋" w:hAnsi="仿宋" w:eastAsia="仿宋" w:cs="黑体"/>
          <w:b/>
          <w:bCs/>
          <w:sz w:val="28"/>
          <w:szCs w:val="28"/>
        </w:rPr>
      </w:pPr>
    </w:p>
    <w:p>
      <w:pPr>
        <w:jc w:val="center"/>
        <w:rPr>
          <w:rFonts w:ascii="仿宋" w:hAnsi="仿宋" w:eastAsia="仿宋" w:cs="黑体"/>
          <w:b/>
          <w:bCs/>
          <w:sz w:val="28"/>
          <w:szCs w:val="28"/>
        </w:rPr>
      </w:pPr>
    </w:p>
    <w:p>
      <w:pPr>
        <w:jc w:val="center"/>
        <w:rPr>
          <w:rFonts w:ascii="仿宋" w:hAnsi="仿宋" w:eastAsia="仿宋"/>
          <w:b/>
          <w:bCs/>
          <w:sz w:val="28"/>
          <w:szCs w:val="28"/>
        </w:rPr>
      </w:pPr>
    </w:p>
    <w:p>
      <w:pPr>
        <w:widowControl/>
        <w:jc w:val="left"/>
        <w:rPr>
          <w:rFonts w:ascii="仿宋" w:hAnsi="仿宋" w:eastAsia="仿宋"/>
          <w:b/>
          <w:bCs/>
          <w:sz w:val="28"/>
          <w:szCs w:val="28"/>
        </w:rPr>
        <w:sectPr>
          <w:headerReference r:id="rId3" w:type="default"/>
          <w:footerReference r:id="rId4" w:type="default"/>
          <w:pgSz w:w="11906" w:h="16838"/>
          <w:pgMar w:top="1440" w:right="1800" w:bottom="1440" w:left="1800" w:header="851" w:footer="992" w:gutter="0"/>
          <w:cols w:space="425" w:num="1"/>
          <w:titlePg/>
          <w:docGrid w:type="lines" w:linePitch="312" w:charSpace="0"/>
        </w:sectPr>
      </w:pPr>
    </w:p>
    <w:p>
      <w:pPr>
        <w:pStyle w:val="12"/>
        <w:widowControl w:val="0"/>
        <w:spacing w:after="0" w:line="360" w:lineRule="auto"/>
        <w:ind w:left="420" w:leftChars="200"/>
        <w:jc w:val="both"/>
        <w:rPr>
          <w:rFonts w:ascii="黑体" w:hAnsi="黑体" w:eastAsia="黑体" w:cs="黑体"/>
          <w:kern w:val="2"/>
          <w:sz w:val="24"/>
          <w:szCs w:val="24"/>
          <w:lang w:val="zh-TW"/>
        </w:rPr>
      </w:pPr>
      <w:r>
        <w:rPr>
          <w:rFonts w:hint="eastAsia" w:ascii="黑体" w:hAnsi="黑体" w:eastAsia="黑体" w:cs="黑体"/>
          <w:kern w:val="2"/>
          <w:sz w:val="24"/>
          <w:szCs w:val="24"/>
          <w:lang w:val="zh-TW" w:eastAsia="zh-TW"/>
        </w:rPr>
        <w:t>评价小组成员：</w:t>
      </w:r>
    </w:p>
    <w:p>
      <w:pPr>
        <w:pStyle w:val="12"/>
        <w:widowControl w:val="0"/>
        <w:spacing w:after="0" w:line="360" w:lineRule="auto"/>
        <w:ind w:left="420" w:leftChars="200"/>
        <w:jc w:val="both"/>
        <w:rPr>
          <w:rFonts w:ascii="黑体" w:hAnsi="黑体" w:eastAsia="黑体" w:cs="Times New Roman"/>
          <w:kern w:val="2"/>
          <w:sz w:val="24"/>
          <w:szCs w:val="24"/>
          <w:lang w:val="zh-TW"/>
        </w:rPr>
      </w:pPr>
    </w:p>
    <w:tbl>
      <w:tblPr>
        <w:tblStyle w:val="6"/>
        <w:tblpPr w:leftFromText="180" w:rightFromText="180" w:vertAnchor="text" w:horzAnchor="margin" w:tblpY="72"/>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040"/>
        <w:gridCol w:w="1701"/>
        <w:gridCol w:w="2693"/>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2"/>
              <w:widowControl w:val="0"/>
              <w:spacing w:after="0" w:line="240" w:lineRule="auto"/>
              <w:jc w:val="center"/>
              <w:rPr>
                <w:rFonts w:ascii="黑体" w:hAnsi="黑体" w:eastAsia="黑体" w:cs="黑体"/>
                <w:kern w:val="2"/>
                <w:sz w:val="24"/>
                <w:szCs w:val="24"/>
                <w:lang w:val="zh-TW"/>
              </w:rPr>
            </w:pPr>
            <w:r>
              <w:rPr>
                <w:rFonts w:hint="eastAsia" w:ascii="黑体" w:hAnsi="黑体" w:eastAsia="黑体" w:cs="黑体"/>
                <w:kern w:val="2"/>
                <w:sz w:val="24"/>
                <w:szCs w:val="24"/>
                <w:lang w:val="zh-TW"/>
              </w:rPr>
              <w:t>评价小组</w:t>
            </w:r>
          </w:p>
          <w:p>
            <w:pPr>
              <w:pStyle w:val="12"/>
              <w:widowControl w:val="0"/>
              <w:spacing w:after="0" w:line="240" w:lineRule="auto"/>
              <w:jc w:val="center"/>
              <w:rPr>
                <w:rFonts w:ascii="黑体" w:hAnsi="黑体" w:eastAsia="黑体" w:cs="黑体"/>
                <w:kern w:val="2"/>
                <w:sz w:val="24"/>
                <w:szCs w:val="24"/>
                <w:lang w:val="zh-TW"/>
              </w:rPr>
            </w:pPr>
            <w:r>
              <w:rPr>
                <w:rFonts w:hint="eastAsia" w:ascii="黑体" w:hAnsi="黑体" w:eastAsia="黑体" w:cs="黑体"/>
                <w:kern w:val="2"/>
                <w:sz w:val="24"/>
                <w:szCs w:val="24"/>
                <w:lang w:val="zh-TW"/>
              </w:rPr>
              <w:t>机构职位</w:t>
            </w:r>
          </w:p>
        </w:tc>
        <w:tc>
          <w:tcPr>
            <w:tcW w:w="1040" w:type="dxa"/>
            <w:vAlign w:val="center"/>
          </w:tcPr>
          <w:p>
            <w:pPr>
              <w:pStyle w:val="12"/>
              <w:widowControl w:val="0"/>
              <w:spacing w:after="0" w:line="240" w:lineRule="auto"/>
              <w:jc w:val="center"/>
              <w:rPr>
                <w:rFonts w:ascii="黑体" w:hAnsi="黑体" w:eastAsia="黑体" w:cs="黑体"/>
                <w:kern w:val="2"/>
                <w:sz w:val="24"/>
                <w:szCs w:val="24"/>
                <w:lang w:val="zh-TW"/>
              </w:rPr>
            </w:pPr>
            <w:r>
              <w:rPr>
                <w:rFonts w:hint="eastAsia" w:ascii="黑体" w:hAnsi="黑体" w:eastAsia="黑体" w:cs="黑体"/>
                <w:kern w:val="2"/>
                <w:sz w:val="24"/>
                <w:szCs w:val="24"/>
                <w:lang w:val="zh-TW"/>
              </w:rPr>
              <w:t>姓名</w:t>
            </w:r>
          </w:p>
        </w:tc>
        <w:tc>
          <w:tcPr>
            <w:tcW w:w="1701" w:type="dxa"/>
            <w:vAlign w:val="center"/>
          </w:tcPr>
          <w:p>
            <w:pPr>
              <w:pStyle w:val="12"/>
              <w:widowControl w:val="0"/>
              <w:spacing w:after="0" w:line="240" w:lineRule="auto"/>
              <w:jc w:val="center"/>
              <w:rPr>
                <w:rFonts w:ascii="黑体" w:hAnsi="黑体" w:eastAsia="黑体" w:cs="黑体"/>
                <w:kern w:val="2"/>
                <w:sz w:val="24"/>
                <w:szCs w:val="24"/>
                <w:lang w:val="zh-TW"/>
              </w:rPr>
            </w:pPr>
            <w:r>
              <w:rPr>
                <w:rFonts w:hint="eastAsia" w:ascii="黑体" w:hAnsi="黑体" w:eastAsia="黑体" w:cs="黑体"/>
                <w:kern w:val="2"/>
                <w:sz w:val="24"/>
                <w:szCs w:val="24"/>
                <w:lang w:val="zh-TW"/>
              </w:rPr>
              <w:t>职务/职称</w:t>
            </w:r>
          </w:p>
        </w:tc>
        <w:tc>
          <w:tcPr>
            <w:tcW w:w="2693" w:type="dxa"/>
            <w:vAlign w:val="center"/>
          </w:tcPr>
          <w:p>
            <w:pPr>
              <w:pStyle w:val="12"/>
              <w:widowControl w:val="0"/>
              <w:spacing w:after="0" w:line="240" w:lineRule="auto"/>
              <w:jc w:val="center"/>
              <w:rPr>
                <w:rFonts w:ascii="黑体" w:hAnsi="黑体" w:eastAsia="黑体" w:cs="黑体"/>
                <w:kern w:val="2"/>
                <w:sz w:val="24"/>
                <w:szCs w:val="24"/>
                <w:lang w:val="zh-TW"/>
              </w:rPr>
            </w:pPr>
            <w:r>
              <w:rPr>
                <w:rFonts w:hint="eastAsia" w:ascii="黑体" w:hAnsi="黑体" w:eastAsia="黑体" w:cs="黑体"/>
                <w:kern w:val="2"/>
                <w:sz w:val="24"/>
                <w:szCs w:val="24"/>
                <w:lang w:val="zh-TW"/>
              </w:rPr>
              <w:t>所属</w:t>
            </w:r>
          </w:p>
          <w:p>
            <w:pPr>
              <w:pStyle w:val="12"/>
              <w:widowControl w:val="0"/>
              <w:spacing w:after="0" w:line="240" w:lineRule="auto"/>
              <w:jc w:val="center"/>
              <w:rPr>
                <w:rFonts w:ascii="黑体" w:hAnsi="黑体" w:eastAsia="黑体" w:cs="黑体"/>
                <w:kern w:val="2"/>
                <w:sz w:val="24"/>
                <w:szCs w:val="24"/>
                <w:lang w:val="zh-TW"/>
              </w:rPr>
            </w:pPr>
            <w:r>
              <w:rPr>
                <w:rFonts w:hint="eastAsia" w:ascii="黑体" w:hAnsi="黑体" w:eastAsia="黑体" w:cs="黑体"/>
                <w:kern w:val="2"/>
                <w:sz w:val="24"/>
                <w:szCs w:val="24"/>
                <w:lang w:val="zh-TW"/>
              </w:rPr>
              <w:t>单位/处室</w:t>
            </w:r>
          </w:p>
        </w:tc>
        <w:tc>
          <w:tcPr>
            <w:tcW w:w="1559" w:type="dxa"/>
            <w:vAlign w:val="center"/>
          </w:tcPr>
          <w:p>
            <w:pPr>
              <w:pStyle w:val="12"/>
              <w:widowControl w:val="0"/>
              <w:spacing w:after="0" w:line="240" w:lineRule="auto"/>
              <w:jc w:val="center"/>
              <w:rPr>
                <w:rFonts w:ascii="黑体" w:hAnsi="黑体" w:eastAsia="黑体" w:cs="黑体"/>
                <w:kern w:val="2"/>
                <w:sz w:val="24"/>
                <w:szCs w:val="24"/>
                <w:lang w:val="zh-TW"/>
              </w:rPr>
            </w:pPr>
            <w:r>
              <w:rPr>
                <w:rFonts w:hint="eastAsia" w:ascii="黑体" w:hAnsi="黑体" w:eastAsia="黑体" w:cs="黑体"/>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trPr>
        <w:tc>
          <w:tcPr>
            <w:tcW w:w="1620" w:type="dxa"/>
            <w:vAlign w:val="center"/>
          </w:tcPr>
          <w:p>
            <w:pPr>
              <w:pStyle w:val="12"/>
              <w:widowControl w:val="0"/>
              <w:spacing w:after="0" w:line="240" w:lineRule="auto"/>
              <w:jc w:val="center"/>
              <w:rPr>
                <w:rFonts w:ascii="黑体" w:hAnsi="黑体" w:eastAsia="黑体" w:cs="黑体"/>
                <w:kern w:val="2"/>
                <w:sz w:val="24"/>
                <w:szCs w:val="24"/>
                <w:lang w:val="zh-TW"/>
              </w:rPr>
            </w:pPr>
            <w:r>
              <w:rPr>
                <w:rFonts w:hint="eastAsia" w:ascii="宋体" w:hAnsi="宋体" w:cs="黑体"/>
                <w:kern w:val="2"/>
                <w:sz w:val="24"/>
                <w:szCs w:val="24"/>
                <w:lang w:val="zh-TW"/>
              </w:rPr>
              <w:t>组长</w:t>
            </w:r>
          </w:p>
        </w:tc>
        <w:tc>
          <w:tcPr>
            <w:tcW w:w="1040" w:type="dxa"/>
            <w:vAlign w:val="center"/>
          </w:tcPr>
          <w:p>
            <w:pPr>
              <w:widowControl/>
              <w:spacing w:before="100" w:beforeAutospacing="1" w:after="100" w:afterAutospacing="1" w:line="320" w:lineRule="exact"/>
              <w:textAlignment w:val="center"/>
              <w:rPr>
                <w:rFonts w:ascii="仿宋_GB2312" w:hAnsi="仿宋_GB2312" w:eastAsia="仿宋_GB2312" w:cs="仿宋_GB2312"/>
                <w:color w:val="000000"/>
                <w:kern w:val="0"/>
                <w:sz w:val="24"/>
              </w:rPr>
            </w:pPr>
            <w:r>
              <w:rPr>
                <w:rFonts w:hint="eastAsia" w:ascii="宋体" w:hAnsi="宋体" w:cs="黑体"/>
                <w:color w:val="000000"/>
                <w:sz w:val="24"/>
                <w:szCs w:val="24"/>
                <w:u w:color="000000"/>
                <w:lang w:val="zh-TW"/>
              </w:rPr>
              <w:t>丁文舟</w:t>
            </w:r>
          </w:p>
        </w:tc>
        <w:tc>
          <w:tcPr>
            <w:tcW w:w="1701" w:type="dxa"/>
            <w:vAlign w:val="center"/>
          </w:tcPr>
          <w:p>
            <w:pPr>
              <w:widowControl/>
              <w:spacing w:before="100" w:beforeAutospacing="1" w:after="100" w:afterAutospacing="1" w:line="320" w:lineRule="exact"/>
              <w:jc w:val="center"/>
              <w:textAlignment w:val="center"/>
              <w:rPr>
                <w:rFonts w:ascii="仿宋_GB2312" w:hAnsi="仿宋_GB2312" w:eastAsia="仿宋_GB2312" w:cs="仿宋_GB2312"/>
                <w:color w:val="000000"/>
                <w:kern w:val="0"/>
                <w:sz w:val="24"/>
              </w:rPr>
            </w:pPr>
            <w:r>
              <w:rPr>
                <w:rFonts w:hint="eastAsia" w:ascii="宋体" w:hAnsi="宋体" w:cs="黑体"/>
                <w:color w:val="000000"/>
                <w:sz w:val="24"/>
                <w:szCs w:val="24"/>
                <w:u w:color="000000"/>
                <w:lang w:val="zh-TW"/>
              </w:rPr>
              <w:t>办事处主任</w:t>
            </w:r>
          </w:p>
        </w:tc>
        <w:tc>
          <w:tcPr>
            <w:tcW w:w="2693" w:type="dxa"/>
            <w:vAlign w:val="center"/>
          </w:tcPr>
          <w:p>
            <w:pPr>
              <w:widowControl/>
              <w:spacing w:before="100" w:beforeAutospacing="1" w:after="100" w:afterAutospacing="1" w:line="320" w:lineRule="exact"/>
              <w:jc w:val="center"/>
              <w:textAlignment w:val="center"/>
              <w:rPr>
                <w:rFonts w:ascii="仿宋_GB2312" w:hAnsi="仿宋_GB2312" w:eastAsia="仿宋_GB2312" w:cs="仿宋_GB2312"/>
                <w:color w:val="000000"/>
                <w:kern w:val="0"/>
                <w:sz w:val="24"/>
              </w:rPr>
            </w:pPr>
            <w:r>
              <w:rPr>
                <w:rFonts w:hint="eastAsia" w:ascii="宋体" w:hAnsi="宋体" w:cs="黑体"/>
                <w:color w:val="000000"/>
                <w:sz w:val="24"/>
                <w:szCs w:val="24"/>
                <w:u w:color="000000"/>
                <w:lang w:val="zh-TW"/>
              </w:rPr>
              <w:t>东华街道办事处</w:t>
            </w:r>
          </w:p>
        </w:tc>
        <w:tc>
          <w:tcPr>
            <w:tcW w:w="1559" w:type="dxa"/>
            <w:vAlign w:val="center"/>
          </w:tcPr>
          <w:p>
            <w:pPr>
              <w:pStyle w:val="12"/>
              <w:widowControl w:val="0"/>
              <w:spacing w:after="0" w:line="240" w:lineRule="auto"/>
              <w:jc w:val="center"/>
              <w:rPr>
                <w:rFonts w:ascii="宋体" w:hAnsi="宋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2"/>
              <w:widowControl w:val="0"/>
              <w:spacing w:after="0" w:line="360" w:lineRule="auto"/>
              <w:jc w:val="center"/>
              <w:rPr>
                <w:rFonts w:ascii="黑体" w:hAnsi="黑体" w:eastAsia="黑体" w:cs="黑体"/>
                <w:kern w:val="2"/>
                <w:sz w:val="24"/>
                <w:szCs w:val="24"/>
                <w:lang w:val="zh-TW"/>
              </w:rPr>
            </w:pPr>
            <w:r>
              <w:rPr>
                <w:rFonts w:hint="eastAsia" w:ascii="宋体" w:hAnsi="宋体" w:cs="黑体"/>
                <w:kern w:val="2"/>
                <w:sz w:val="24"/>
                <w:szCs w:val="24"/>
                <w:lang w:val="zh-TW"/>
              </w:rPr>
              <w:t>副组长</w:t>
            </w:r>
          </w:p>
        </w:tc>
        <w:tc>
          <w:tcPr>
            <w:tcW w:w="1040" w:type="dxa"/>
            <w:vAlign w:val="center"/>
          </w:tcPr>
          <w:p>
            <w:pPr>
              <w:widowControl/>
              <w:spacing w:before="100" w:beforeAutospacing="1" w:after="100" w:afterAutospacing="1" w:line="320" w:lineRule="exact"/>
              <w:jc w:val="center"/>
              <w:textAlignment w:val="center"/>
              <w:rPr>
                <w:rFonts w:ascii="仿宋_GB2312" w:hAnsi="仿宋_GB2312" w:eastAsia="仿宋_GB2312" w:cs="仿宋_GB2312"/>
                <w:color w:val="000000"/>
                <w:kern w:val="0"/>
                <w:sz w:val="24"/>
              </w:rPr>
            </w:pPr>
            <w:r>
              <w:rPr>
                <w:rFonts w:hint="eastAsia" w:ascii="宋体" w:hAnsi="宋体" w:cs="黑体"/>
                <w:color w:val="000000"/>
                <w:sz w:val="24"/>
                <w:szCs w:val="24"/>
                <w:u w:color="000000"/>
                <w:lang w:val="zh-TW"/>
              </w:rPr>
              <w:t>刘舒翼</w:t>
            </w:r>
          </w:p>
        </w:tc>
        <w:tc>
          <w:tcPr>
            <w:tcW w:w="1701" w:type="dxa"/>
            <w:vAlign w:val="center"/>
          </w:tcPr>
          <w:p>
            <w:pPr>
              <w:widowControl/>
              <w:spacing w:before="100" w:beforeAutospacing="1" w:after="100" w:afterAutospacing="1" w:line="320" w:lineRule="exact"/>
              <w:jc w:val="center"/>
              <w:textAlignment w:val="center"/>
              <w:rPr>
                <w:rFonts w:ascii="仿宋_GB2312" w:hAnsi="仿宋_GB2312" w:eastAsia="仿宋_GB2312" w:cs="仿宋_GB2312"/>
                <w:color w:val="000000"/>
                <w:kern w:val="0"/>
                <w:sz w:val="24"/>
              </w:rPr>
            </w:pPr>
            <w:r>
              <w:rPr>
                <w:rFonts w:hint="eastAsia" w:ascii="宋体" w:hAnsi="宋体" w:cs="黑体"/>
                <w:color w:val="000000"/>
                <w:sz w:val="24"/>
                <w:szCs w:val="24"/>
                <w:u w:color="000000"/>
                <w:lang w:val="zh-TW"/>
              </w:rPr>
              <w:t>办事处副主任</w:t>
            </w:r>
          </w:p>
        </w:tc>
        <w:tc>
          <w:tcPr>
            <w:tcW w:w="2693" w:type="dxa"/>
            <w:vAlign w:val="center"/>
          </w:tcPr>
          <w:p>
            <w:pPr>
              <w:widowControl/>
              <w:spacing w:before="100" w:beforeAutospacing="1" w:after="100" w:afterAutospacing="1" w:line="320" w:lineRule="exact"/>
              <w:jc w:val="center"/>
              <w:textAlignment w:val="center"/>
              <w:rPr>
                <w:rFonts w:ascii="仿宋_GB2312" w:hAnsi="仿宋_GB2312" w:eastAsia="仿宋_GB2312" w:cs="仿宋_GB2312"/>
                <w:color w:val="000000"/>
                <w:kern w:val="0"/>
                <w:sz w:val="24"/>
              </w:rPr>
            </w:pPr>
            <w:r>
              <w:rPr>
                <w:rFonts w:hint="eastAsia" w:ascii="宋体" w:hAnsi="宋体" w:cs="黑体"/>
                <w:color w:val="000000"/>
                <w:sz w:val="24"/>
                <w:szCs w:val="24"/>
                <w:u w:color="000000"/>
                <w:lang w:val="zh-TW"/>
              </w:rPr>
              <w:t>东华街道办事处</w:t>
            </w:r>
          </w:p>
        </w:tc>
        <w:tc>
          <w:tcPr>
            <w:tcW w:w="1559" w:type="dxa"/>
            <w:vAlign w:val="center"/>
          </w:tcPr>
          <w:p>
            <w:pPr>
              <w:pStyle w:val="12"/>
              <w:widowControl w:val="0"/>
              <w:spacing w:after="0" w:line="360" w:lineRule="auto"/>
              <w:jc w:val="center"/>
              <w:rPr>
                <w:rFonts w:ascii="宋体" w:hAnsi="宋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2"/>
              <w:widowControl w:val="0"/>
              <w:spacing w:after="0" w:line="360" w:lineRule="auto"/>
              <w:jc w:val="center"/>
              <w:rPr>
                <w:rFonts w:ascii="黑体" w:hAnsi="黑体" w:eastAsia="黑体" w:cs="黑体"/>
                <w:kern w:val="2"/>
                <w:sz w:val="24"/>
                <w:szCs w:val="24"/>
                <w:lang w:val="zh-TW"/>
              </w:rPr>
            </w:pPr>
            <w:r>
              <w:rPr>
                <w:rFonts w:hint="eastAsia" w:ascii="宋体" w:hAnsi="宋体" w:cs="黑体"/>
                <w:kern w:val="2"/>
                <w:sz w:val="24"/>
                <w:szCs w:val="24"/>
                <w:lang w:val="zh-TW"/>
              </w:rPr>
              <w:t>成员</w:t>
            </w:r>
          </w:p>
        </w:tc>
        <w:tc>
          <w:tcPr>
            <w:tcW w:w="1040" w:type="dxa"/>
            <w:vAlign w:val="center"/>
          </w:tcPr>
          <w:p>
            <w:pPr>
              <w:widowControl/>
              <w:spacing w:before="100" w:beforeAutospacing="1" w:after="100" w:afterAutospacing="1" w:line="320" w:lineRule="exact"/>
              <w:jc w:val="center"/>
              <w:textAlignment w:val="center"/>
              <w:rPr>
                <w:rFonts w:ascii="仿宋_GB2312" w:hAnsi="仿宋_GB2312" w:eastAsia="仿宋_GB2312" w:cs="仿宋_GB2312"/>
                <w:color w:val="000000"/>
                <w:kern w:val="0"/>
                <w:sz w:val="24"/>
              </w:rPr>
            </w:pPr>
            <w:r>
              <w:rPr>
                <w:rFonts w:hint="eastAsia" w:ascii="宋体" w:hAnsi="宋体" w:cs="黑体"/>
                <w:color w:val="000000"/>
                <w:sz w:val="24"/>
                <w:szCs w:val="24"/>
                <w:u w:color="000000"/>
                <w:lang w:val="zh-TW"/>
              </w:rPr>
              <w:t>王禧</w:t>
            </w:r>
          </w:p>
        </w:tc>
        <w:tc>
          <w:tcPr>
            <w:tcW w:w="1701" w:type="dxa"/>
            <w:vAlign w:val="center"/>
          </w:tcPr>
          <w:p>
            <w:pPr>
              <w:widowControl/>
              <w:spacing w:before="100" w:beforeAutospacing="1" w:after="100" w:afterAutospacing="1" w:line="320" w:lineRule="exact"/>
              <w:jc w:val="center"/>
              <w:textAlignment w:val="center"/>
              <w:rPr>
                <w:rFonts w:ascii="仿宋_GB2312" w:hAnsi="仿宋_GB2312" w:eastAsia="仿宋_GB2312" w:cs="仿宋_GB2312"/>
                <w:color w:val="000000"/>
                <w:kern w:val="0"/>
                <w:sz w:val="24"/>
              </w:rPr>
            </w:pPr>
            <w:r>
              <w:rPr>
                <w:rFonts w:hint="eastAsia" w:ascii="宋体" w:hAnsi="宋体" w:cs="黑体"/>
                <w:color w:val="000000"/>
                <w:sz w:val="24"/>
                <w:szCs w:val="24"/>
                <w:u w:color="000000"/>
                <w:lang w:val="zh-TW"/>
              </w:rPr>
              <w:t>党政综合办副主任</w:t>
            </w:r>
          </w:p>
        </w:tc>
        <w:tc>
          <w:tcPr>
            <w:tcW w:w="2693" w:type="dxa"/>
            <w:vAlign w:val="center"/>
          </w:tcPr>
          <w:p>
            <w:pPr>
              <w:widowControl/>
              <w:spacing w:before="100" w:beforeAutospacing="1" w:after="100" w:afterAutospacing="1" w:line="320" w:lineRule="exact"/>
              <w:jc w:val="center"/>
              <w:textAlignment w:val="center"/>
              <w:rPr>
                <w:rFonts w:ascii="仿宋_GB2312" w:hAnsi="仿宋_GB2312" w:eastAsia="仿宋_GB2312" w:cs="仿宋_GB2312"/>
                <w:color w:val="000000"/>
                <w:kern w:val="0"/>
                <w:sz w:val="24"/>
              </w:rPr>
            </w:pPr>
            <w:r>
              <w:rPr>
                <w:rFonts w:hint="eastAsia" w:ascii="宋体" w:hAnsi="宋体" w:cs="黑体"/>
                <w:color w:val="000000"/>
                <w:sz w:val="24"/>
                <w:szCs w:val="24"/>
                <w:u w:color="000000"/>
                <w:lang w:val="zh-TW"/>
              </w:rPr>
              <w:t>东华街道办事处</w:t>
            </w:r>
          </w:p>
        </w:tc>
        <w:tc>
          <w:tcPr>
            <w:tcW w:w="1559" w:type="dxa"/>
            <w:vAlign w:val="center"/>
          </w:tcPr>
          <w:p>
            <w:pPr>
              <w:pStyle w:val="12"/>
              <w:widowControl w:val="0"/>
              <w:spacing w:after="0" w:line="360" w:lineRule="auto"/>
              <w:jc w:val="center"/>
              <w:rPr>
                <w:rFonts w:ascii="宋体" w:hAnsi="宋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2"/>
              <w:widowControl w:val="0"/>
              <w:spacing w:after="0" w:line="360" w:lineRule="auto"/>
              <w:jc w:val="center"/>
              <w:rPr>
                <w:rFonts w:ascii="黑体" w:hAnsi="黑体" w:eastAsia="黑体" w:cs="黑体"/>
                <w:kern w:val="2"/>
                <w:sz w:val="24"/>
                <w:szCs w:val="24"/>
                <w:lang w:val="zh-TW"/>
              </w:rPr>
            </w:pPr>
            <w:r>
              <w:rPr>
                <w:rFonts w:hint="eastAsia" w:ascii="宋体" w:hAnsi="宋体" w:cs="黑体"/>
                <w:kern w:val="2"/>
                <w:sz w:val="24"/>
                <w:szCs w:val="24"/>
                <w:lang w:val="zh-TW"/>
              </w:rPr>
              <w:t>成员</w:t>
            </w:r>
          </w:p>
        </w:tc>
        <w:tc>
          <w:tcPr>
            <w:tcW w:w="1040" w:type="dxa"/>
            <w:vAlign w:val="center"/>
          </w:tcPr>
          <w:p>
            <w:pPr>
              <w:widowControl/>
              <w:spacing w:before="100" w:beforeAutospacing="1" w:after="100" w:afterAutospacing="1" w:line="320" w:lineRule="exact"/>
              <w:jc w:val="center"/>
              <w:textAlignment w:val="center"/>
              <w:rPr>
                <w:rFonts w:ascii="仿宋_GB2312" w:hAnsi="仿宋_GB2312" w:eastAsia="仿宋_GB2312" w:cs="仿宋_GB2312"/>
                <w:color w:val="000000"/>
                <w:kern w:val="0"/>
                <w:sz w:val="24"/>
              </w:rPr>
            </w:pPr>
            <w:r>
              <w:rPr>
                <w:rFonts w:hint="eastAsia" w:ascii="宋体" w:hAnsi="宋体" w:cs="黑体"/>
                <w:color w:val="000000"/>
                <w:sz w:val="24"/>
                <w:szCs w:val="24"/>
                <w:u w:color="000000"/>
                <w:lang w:val="zh-TW"/>
              </w:rPr>
              <w:t>赵晓丹</w:t>
            </w:r>
          </w:p>
        </w:tc>
        <w:tc>
          <w:tcPr>
            <w:tcW w:w="1701" w:type="dxa"/>
            <w:vAlign w:val="center"/>
          </w:tcPr>
          <w:p>
            <w:pPr>
              <w:widowControl/>
              <w:spacing w:before="100" w:beforeAutospacing="1" w:after="100" w:afterAutospacing="1" w:line="320" w:lineRule="exact"/>
              <w:jc w:val="center"/>
              <w:textAlignment w:val="center"/>
              <w:rPr>
                <w:rFonts w:ascii="仿宋_GB2312" w:hAnsi="仿宋_GB2312" w:eastAsia="仿宋_GB2312" w:cs="仿宋_GB2312"/>
                <w:color w:val="000000"/>
                <w:kern w:val="0"/>
                <w:sz w:val="24"/>
              </w:rPr>
            </w:pPr>
            <w:r>
              <w:rPr>
                <w:rFonts w:hint="eastAsia" w:ascii="宋体" w:hAnsi="宋体" w:cs="黑体"/>
                <w:color w:val="000000"/>
                <w:sz w:val="24"/>
                <w:szCs w:val="24"/>
                <w:u w:color="000000"/>
                <w:lang w:val="zh-TW"/>
              </w:rPr>
              <w:t>纪检监察室副主任</w:t>
            </w:r>
          </w:p>
        </w:tc>
        <w:tc>
          <w:tcPr>
            <w:tcW w:w="2693" w:type="dxa"/>
            <w:vAlign w:val="center"/>
          </w:tcPr>
          <w:p>
            <w:pPr>
              <w:widowControl/>
              <w:spacing w:before="100" w:beforeAutospacing="1" w:after="100" w:afterAutospacing="1" w:line="320" w:lineRule="exact"/>
              <w:jc w:val="center"/>
              <w:textAlignment w:val="center"/>
              <w:rPr>
                <w:rFonts w:ascii="仿宋_GB2312" w:hAnsi="仿宋_GB2312" w:eastAsia="仿宋_GB2312" w:cs="仿宋_GB2312"/>
                <w:color w:val="000000"/>
                <w:kern w:val="0"/>
                <w:sz w:val="24"/>
              </w:rPr>
            </w:pPr>
            <w:r>
              <w:rPr>
                <w:rFonts w:hint="eastAsia" w:ascii="宋体" w:hAnsi="宋体" w:cs="黑体"/>
                <w:color w:val="000000"/>
                <w:sz w:val="24"/>
                <w:szCs w:val="24"/>
                <w:u w:color="000000"/>
                <w:lang w:val="zh-TW"/>
              </w:rPr>
              <w:t>东华街道办事处</w:t>
            </w:r>
          </w:p>
        </w:tc>
        <w:tc>
          <w:tcPr>
            <w:tcW w:w="1559" w:type="dxa"/>
            <w:vAlign w:val="center"/>
          </w:tcPr>
          <w:p>
            <w:pPr>
              <w:pStyle w:val="12"/>
              <w:widowControl w:val="0"/>
              <w:spacing w:after="0" w:line="360" w:lineRule="auto"/>
              <w:jc w:val="center"/>
              <w:rPr>
                <w:rFonts w:ascii="宋体" w:hAnsi="宋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2"/>
              <w:widowControl w:val="0"/>
              <w:spacing w:after="0" w:line="360" w:lineRule="auto"/>
              <w:jc w:val="center"/>
              <w:rPr>
                <w:rFonts w:ascii="黑体" w:hAnsi="黑体" w:eastAsia="黑体" w:cs="黑体"/>
                <w:kern w:val="2"/>
                <w:sz w:val="24"/>
                <w:szCs w:val="24"/>
                <w:lang w:val="zh-TW"/>
              </w:rPr>
            </w:pPr>
            <w:r>
              <w:rPr>
                <w:rFonts w:hint="eastAsia" w:ascii="宋体" w:hAnsi="宋体" w:cs="黑体"/>
                <w:kern w:val="2"/>
                <w:sz w:val="24"/>
                <w:szCs w:val="24"/>
                <w:lang w:val="zh-TW"/>
              </w:rPr>
              <w:t>成员</w:t>
            </w:r>
          </w:p>
        </w:tc>
        <w:tc>
          <w:tcPr>
            <w:tcW w:w="1040" w:type="dxa"/>
            <w:vAlign w:val="center"/>
          </w:tcPr>
          <w:p>
            <w:pPr>
              <w:widowControl/>
              <w:spacing w:before="100" w:beforeAutospacing="1" w:after="100" w:afterAutospacing="1" w:line="320" w:lineRule="exact"/>
              <w:jc w:val="center"/>
              <w:textAlignment w:val="center"/>
              <w:rPr>
                <w:rFonts w:ascii="仿宋_GB2312" w:hAnsi="仿宋_GB2312" w:eastAsia="仿宋_GB2312" w:cs="仿宋_GB2312"/>
                <w:color w:val="000000"/>
                <w:kern w:val="0"/>
                <w:sz w:val="24"/>
              </w:rPr>
            </w:pPr>
            <w:r>
              <w:rPr>
                <w:rFonts w:hint="eastAsia" w:ascii="宋体" w:hAnsi="宋体" w:cs="黑体"/>
                <w:color w:val="000000"/>
                <w:sz w:val="24"/>
                <w:szCs w:val="24"/>
                <w:u w:color="000000"/>
                <w:lang w:val="zh-TW"/>
              </w:rPr>
              <w:t>洪艺维</w:t>
            </w:r>
          </w:p>
        </w:tc>
        <w:tc>
          <w:tcPr>
            <w:tcW w:w="1701" w:type="dxa"/>
            <w:vAlign w:val="center"/>
          </w:tcPr>
          <w:p>
            <w:pPr>
              <w:widowControl/>
              <w:spacing w:before="100" w:beforeAutospacing="1" w:after="100" w:afterAutospacing="1" w:line="320" w:lineRule="exact"/>
              <w:jc w:val="center"/>
              <w:textAlignment w:val="center"/>
              <w:rPr>
                <w:rFonts w:ascii="仿宋_GB2312" w:hAnsi="仿宋_GB2312" w:eastAsia="仿宋_GB2312" w:cs="仿宋_GB2312"/>
                <w:color w:val="000000"/>
                <w:kern w:val="0"/>
                <w:sz w:val="24"/>
              </w:rPr>
            </w:pPr>
            <w:r>
              <w:rPr>
                <w:rFonts w:hint="eastAsia" w:ascii="宋体" w:hAnsi="宋体" w:cs="黑体"/>
                <w:color w:val="000000"/>
                <w:sz w:val="24"/>
                <w:szCs w:val="24"/>
                <w:u w:color="000000"/>
                <w:lang w:val="zh-TW"/>
              </w:rPr>
              <w:t>城市管理综合服务中心主任</w:t>
            </w:r>
          </w:p>
        </w:tc>
        <w:tc>
          <w:tcPr>
            <w:tcW w:w="2693" w:type="dxa"/>
            <w:vAlign w:val="center"/>
          </w:tcPr>
          <w:p>
            <w:pPr>
              <w:widowControl/>
              <w:spacing w:before="100" w:beforeAutospacing="1" w:after="100" w:afterAutospacing="1" w:line="320" w:lineRule="exact"/>
              <w:jc w:val="center"/>
              <w:textAlignment w:val="center"/>
              <w:rPr>
                <w:rFonts w:ascii="仿宋_GB2312" w:hAnsi="仿宋_GB2312" w:eastAsia="仿宋_GB2312" w:cs="仿宋_GB2312"/>
                <w:color w:val="000000"/>
                <w:kern w:val="0"/>
                <w:sz w:val="24"/>
              </w:rPr>
            </w:pPr>
            <w:r>
              <w:rPr>
                <w:rFonts w:hint="eastAsia" w:ascii="宋体" w:hAnsi="宋体" w:cs="黑体"/>
                <w:color w:val="000000"/>
                <w:sz w:val="24"/>
                <w:szCs w:val="24"/>
                <w:u w:color="000000"/>
                <w:lang w:val="zh-TW"/>
              </w:rPr>
              <w:t>东华街道办事处</w:t>
            </w:r>
          </w:p>
        </w:tc>
        <w:tc>
          <w:tcPr>
            <w:tcW w:w="1559" w:type="dxa"/>
            <w:vAlign w:val="center"/>
          </w:tcPr>
          <w:p>
            <w:pPr>
              <w:pStyle w:val="12"/>
              <w:widowControl w:val="0"/>
              <w:spacing w:after="0" w:line="360" w:lineRule="auto"/>
              <w:jc w:val="center"/>
              <w:rPr>
                <w:rFonts w:ascii="宋体" w:hAnsi="宋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2"/>
              <w:widowControl w:val="0"/>
              <w:spacing w:after="0" w:line="360" w:lineRule="auto"/>
              <w:jc w:val="center"/>
              <w:rPr>
                <w:rFonts w:ascii="黑体" w:hAnsi="黑体" w:eastAsia="黑体" w:cs="黑体"/>
                <w:kern w:val="2"/>
                <w:sz w:val="24"/>
                <w:szCs w:val="24"/>
                <w:lang w:val="zh-TW"/>
              </w:rPr>
            </w:pPr>
            <w:r>
              <w:rPr>
                <w:rFonts w:hint="eastAsia" w:ascii="宋体" w:hAnsi="宋体" w:cs="黑体"/>
                <w:kern w:val="2"/>
                <w:sz w:val="24"/>
                <w:szCs w:val="24"/>
                <w:lang w:val="zh-TW"/>
              </w:rPr>
              <w:t>成员</w:t>
            </w:r>
          </w:p>
        </w:tc>
        <w:tc>
          <w:tcPr>
            <w:tcW w:w="1040" w:type="dxa"/>
            <w:vAlign w:val="center"/>
          </w:tcPr>
          <w:p>
            <w:pPr>
              <w:spacing w:before="100" w:beforeAutospacing="1" w:after="100" w:afterAutospacing="1" w:line="320" w:lineRule="exact"/>
              <w:jc w:val="center"/>
              <w:textAlignment w:val="center"/>
              <w:rPr>
                <w:rFonts w:ascii="仿宋_GB2312" w:hAnsi="仿宋_GB2312" w:eastAsia="仿宋_GB2312" w:cs="仿宋_GB2312"/>
                <w:color w:val="000000"/>
                <w:kern w:val="0"/>
                <w:sz w:val="24"/>
              </w:rPr>
            </w:pPr>
            <w:r>
              <w:rPr>
                <w:rFonts w:hint="eastAsia" w:ascii="宋体" w:hAnsi="宋体" w:cs="黑体"/>
                <w:color w:val="000000"/>
                <w:sz w:val="24"/>
                <w:szCs w:val="24"/>
                <w:u w:color="000000"/>
                <w:lang w:val="zh-TW"/>
              </w:rPr>
              <w:t>王盛新</w:t>
            </w:r>
          </w:p>
        </w:tc>
        <w:tc>
          <w:tcPr>
            <w:tcW w:w="1701" w:type="dxa"/>
            <w:vAlign w:val="center"/>
          </w:tcPr>
          <w:p>
            <w:pPr>
              <w:spacing w:before="100" w:beforeAutospacing="1" w:after="100" w:afterAutospacing="1" w:line="320" w:lineRule="exact"/>
              <w:jc w:val="center"/>
              <w:textAlignment w:val="center"/>
              <w:rPr>
                <w:rFonts w:ascii="仿宋_GB2312" w:hAnsi="仿宋_GB2312" w:eastAsia="仿宋_GB2312" w:cs="仿宋_GB2312"/>
                <w:color w:val="000000"/>
                <w:kern w:val="0"/>
                <w:sz w:val="24"/>
              </w:rPr>
            </w:pPr>
            <w:r>
              <w:rPr>
                <w:rFonts w:hint="eastAsia" w:ascii="宋体" w:hAnsi="宋体" w:cs="黑体"/>
                <w:color w:val="000000"/>
                <w:sz w:val="24"/>
                <w:szCs w:val="24"/>
                <w:u w:color="000000"/>
                <w:lang w:val="zh-TW"/>
              </w:rPr>
              <w:t>财政所所长</w:t>
            </w:r>
          </w:p>
        </w:tc>
        <w:tc>
          <w:tcPr>
            <w:tcW w:w="2693" w:type="dxa"/>
            <w:vAlign w:val="center"/>
          </w:tcPr>
          <w:p>
            <w:pPr>
              <w:widowControl/>
              <w:spacing w:before="100" w:beforeAutospacing="1" w:after="100" w:afterAutospacing="1" w:line="320" w:lineRule="exact"/>
              <w:jc w:val="center"/>
              <w:textAlignment w:val="center"/>
              <w:rPr>
                <w:rFonts w:ascii="仿宋_GB2312" w:hAnsi="仿宋_GB2312" w:eastAsia="仿宋_GB2312" w:cs="仿宋_GB2312"/>
                <w:color w:val="000000"/>
                <w:kern w:val="0"/>
                <w:sz w:val="24"/>
              </w:rPr>
            </w:pPr>
            <w:r>
              <w:rPr>
                <w:rFonts w:hint="eastAsia" w:ascii="宋体" w:hAnsi="宋体" w:cs="黑体"/>
                <w:color w:val="000000"/>
                <w:sz w:val="24"/>
                <w:szCs w:val="24"/>
                <w:u w:color="000000"/>
                <w:lang w:val="zh-TW"/>
              </w:rPr>
              <w:t>东华街道办事处</w:t>
            </w:r>
          </w:p>
        </w:tc>
        <w:tc>
          <w:tcPr>
            <w:tcW w:w="1559" w:type="dxa"/>
            <w:vAlign w:val="center"/>
          </w:tcPr>
          <w:p>
            <w:pPr>
              <w:pStyle w:val="12"/>
              <w:widowControl w:val="0"/>
              <w:spacing w:after="0" w:line="360" w:lineRule="auto"/>
              <w:jc w:val="center"/>
              <w:rPr>
                <w:rFonts w:ascii="宋体" w:hAnsi="宋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5" w:hRule="atLeast"/>
        </w:trPr>
        <w:tc>
          <w:tcPr>
            <w:tcW w:w="1620" w:type="dxa"/>
            <w:vAlign w:val="center"/>
          </w:tcPr>
          <w:p>
            <w:pPr>
              <w:pStyle w:val="12"/>
              <w:widowControl w:val="0"/>
              <w:spacing w:after="0" w:line="240" w:lineRule="auto"/>
              <w:jc w:val="center"/>
              <w:rPr>
                <w:rFonts w:ascii="黑体" w:hAnsi="黑体" w:eastAsia="黑体" w:cs="黑体"/>
                <w:kern w:val="2"/>
                <w:sz w:val="24"/>
                <w:szCs w:val="24"/>
                <w:lang w:val="zh-TW"/>
              </w:rPr>
            </w:pPr>
          </w:p>
        </w:tc>
        <w:tc>
          <w:tcPr>
            <w:tcW w:w="1040" w:type="dxa"/>
            <w:vAlign w:val="center"/>
          </w:tcPr>
          <w:p>
            <w:pPr>
              <w:widowControl/>
              <w:spacing w:before="100" w:beforeAutospacing="1" w:after="100" w:afterAutospacing="1" w:line="320" w:lineRule="exact"/>
              <w:textAlignment w:val="center"/>
              <w:rPr>
                <w:rFonts w:ascii="仿宋_GB2312" w:hAnsi="仿宋_GB2312" w:eastAsia="仿宋_GB2312" w:cs="仿宋_GB2312"/>
                <w:color w:val="000000"/>
                <w:kern w:val="0"/>
                <w:sz w:val="24"/>
              </w:rPr>
            </w:pPr>
          </w:p>
        </w:tc>
        <w:tc>
          <w:tcPr>
            <w:tcW w:w="1701" w:type="dxa"/>
            <w:vAlign w:val="center"/>
          </w:tcPr>
          <w:p>
            <w:pPr>
              <w:widowControl/>
              <w:spacing w:before="100" w:beforeAutospacing="1" w:after="100" w:afterAutospacing="1" w:line="320" w:lineRule="exact"/>
              <w:jc w:val="center"/>
              <w:textAlignment w:val="center"/>
              <w:rPr>
                <w:rFonts w:ascii="仿宋_GB2312" w:hAnsi="仿宋_GB2312" w:eastAsia="仿宋_GB2312" w:cs="仿宋_GB2312"/>
                <w:color w:val="000000"/>
                <w:kern w:val="0"/>
                <w:sz w:val="24"/>
              </w:rPr>
            </w:pPr>
          </w:p>
        </w:tc>
        <w:tc>
          <w:tcPr>
            <w:tcW w:w="2693" w:type="dxa"/>
            <w:vAlign w:val="center"/>
          </w:tcPr>
          <w:p>
            <w:pPr>
              <w:widowControl/>
              <w:spacing w:before="100" w:beforeAutospacing="1" w:after="100" w:afterAutospacing="1" w:line="320" w:lineRule="exact"/>
              <w:jc w:val="center"/>
              <w:textAlignment w:val="center"/>
              <w:rPr>
                <w:rFonts w:ascii="仿宋_GB2312" w:hAnsi="仿宋_GB2312" w:eastAsia="仿宋_GB2312" w:cs="仿宋_GB2312"/>
                <w:color w:val="000000"/>
                <w:kern w:val="0"/>
                <w:sz w:val="24"/>
              </w:rPr>
            </w:pPr>
          </w:p>
        </w:tc>
        <w:tc>
          <w:tcPr>
            <w:tcW w:w="1559" w:type="dxa"/>
            <w:vAlign w:val="center"/>
          </w:tcPr>
          <w:p>
            <w:pPr>
              <w:pStyle w:val="12"/>
              <w:widowControl w:val="0"/>
              <w:spacing w:after="0" w:line="240" w:lineRule="auto"/>
              <w:jc w:val="center"/>
              <w:rPr>
                <w:rFonts w:ascii="宋体" w:hAnsi="宋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2"/>
              <w:widowControl w:val="0"/>
              <w:spacing w:after="0" w:line="360" w:lineRule="auto"/>
              <w:jc w:val="center"/>
              <w:rPr>
                <w:rFonts w:ascii="黑体" w:hAnsi="黑体" w:eastAsia="黑体" w:cs="黑体"/>
                <w:kern w:val="2"/>
                <w:sz w:val="24"/>
                <w:szCs w:val="24"/>
                <w:lang w:val="zh-TW"/>
              </w:rPr>
            </w:pPr>
          </w:p>
        </w:tc>
        <w:tc>
          <w:tcPr>
            <w:tcW w:w="1040" w:type="dxa"/>
            <w:vAlign w:val="center"/>
          </w:tcPr>
          <w:p>
            <w:pPr>
              <w:widowControl/>
              <w:spacing w:before="100" w:beforeAutospacing="1" w:after="100" w:afterAutospacing="1" w:line="320" w:lineRule="exact"/>
              <w:textAlignment w:val="center"/>
              <w:rPr>
                <w:rFonts w:ascii="仿宋_GB2312" w:hAnsi="仿宋_GB2312" w:eastAsia="仿宋_GB2312" w:cs="仿宋_GB2312"/>
                <w:color w:val="000000"/>
                <w:kern w:val="0"/>
                <w:sz w:val="24"/>
              </w:rPr>
            </w:pPr>
          </w:p>
        </w:tc>
        <w:tc>
          <w:tcPr>
            <w:tcW w:w="1701" w:type="dxa"/>
            <w:vAlign w:val="center"/>
          </w:tcPr>
          <w:p>
            <w:pPr>
              <w:widowControl/>
              <w:spacing w:before="100" w:beforeAutospacing="1" w:after="100" w:afterAutospacing="1" w:line="320" w:lineRule="exact"/>
              <w:textAlignment w:val="center"/>
              <w:rPr>
                <w:rFonts w:ascii="仿宋_GB2312" w:hAnsi="仿宋_GB2312" w:eastAsia="仿宋_GB2312" w:cs="仿宋_GB2312"/>
                <w:color w:val="000000"/>
                <w:kern w:val="0"/>
                <w:sz w:val="24"/>
              </w:rPr>
            </w:pPr>
          </w:p>
        </w:tc>
        <w:tc>
          <w:tcPr>
            <w:tcW w:w="2693" w:type="dxa"/>
            <w:vAlign w:val="center"/>
          </w:tcPr>
          <w:p>
            <w:pPr>
              <w:widowControl/>
              <w:spacing w:before="100" w:beforeAutospacing="1" w:after="100" w:afterAutospacing="1" w:line="320" w:lineRule="exact"/>
              <w:textAlignment w:val="center"/>
              <w:rPr>
                <w:rFonts w:ascii="仿宋_GB2312" w:hAnsi="仿宋_GB2312" w:eastAsia="仿宋_GB2312" w:cs="仿宋_GB2312"/>
                <w:color w:val="000000"/>
                <w:kern w:val="0"/>
                <w:sz w:val="24"/>
              </w:rPr>
            </w:pPr>
          </w:p>
        </w:tc>
        <w:tc>
          <w:tcPr>
            <w:tcW w:w="1559" w:type="dxa"/>
          </w:tcPr>
          <w:p>
            <w:pPr>
              <w:pStyle w:val="12"/>
              <w:widowControl w:val="0"/>
              <w:spacing w:after="0" w:line="360" w:lineRule="auto"/>
              <w:jc w:val="both"/>
              <w:rPr>
                <w:rFonts w:ascii="宋体" w:hAnsi="宋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9" w:hRule="atLeast"/>
        </w:trPr>
        <w:tc>
          <w:tcPr>
            <w:tcW w:w="8613" w:type="dxa"/>
            <w:gridSpan w:val="5"/>
          </w:tcPr>
          <w:p>
            <w:pPr>
              <w:pStyle w:val="12"/>
              <w:widowControl w:val="0"/>
              <w:spacing w:after="0" w:line="360" w:lineRule="auto"/>
              <w:jc w:val="both"/>
              <w:rPr>
                <w:rFonts w:ascii="黑体" w:hAnsi="黑体" w:eastAsia="黑体" w:cs="黑体"/>
                <w:kern w:val="2"/>
                <w:sz w:val="24"/>
                <w:szCs w:val="24"/>
                <w:lang w:val="zh-TW"/>
              </w:rPr>
            </w:pPr>
            <w:r>
              <w:rPr>
                <w:rFonts w:hint="eastAsia" w:ascii="黑体" w:hAnsi="黑体" w:eastAsia="黑体" w:cs="黑体"/>
                <w:kern w:val="2"/>
                <w:sz w:val="24"/>
                <w:szCs w:val="24"/>
                <w:lang w:val="zh-TW"/>
              </w:rPr>
              <w:t>报告撰写人（签字）：</w:t>
            </w:r>
          </w:p>
          <w:p>
            <w:pPr>
              <w:pStyle w:val="12"/>
              <w:widowControl w:val="0"/>
              <w:spacing w:after="0" w:line="360" w:lineRule="auto"/>
              <w:jc w:val="both"/>
              <w:rPr>
                <w:rFonts w:ascii="黑体" w:hAnsi="黑体" w:eastAsia="黑体" w:cs="黑体"/>
                <w:kern w:val="2"/>
                <w:sz w:val="24"/>
                <w:szCs w:val="24"/>
                <w:lang w:val="zh-TW"/>
              </w:rPr>
            </w:pPr>
          </w:p>
          <w:p>
            <w:pPr>
              <w:pStyle w:val="12"/>
              <w:widowControl w:val="0"/>
              <w:spacing w:after="0" w:line="360" w:lineRule="auto"/>
              <w:jc w:val="both"/>
              <w:rPr>
                <w:rFonts w:ascii="黑体" w:hAnsi="黑体" w:eastAsia="黑体" w:cs="黑体"/>
                <w:kern w:val="2"/>
                <w:sz w:val="24"/>
                <w:szCs w:val="24"/>
                <w:lang w:val="zh-TW"/>
              </w:rPr>
            </w:pPr>
          </w:p>
          <w:p>
            <w:pPr>
              <w:pStyle w:val="12"/>
              <w:widowControl w:val="0"/>
              <w:wordWrap w:val="0"/>
              <w:spacing w:after="0" w:line="360" w:lineRule="auto"/>
              <w:jc w:val="right"/>
              <w:rPr>
                <w:rFonts w:ascii="黑体" w:hAnsi="黑体" w:eastAsia="黑体" w:cs="黑体"/>
                <w:kern w:val="2"/>
                <w:sz w:val="24"/>
                <w:szCs w:val="24"/>
                <w:lang w:val="zh-TW"/>
              </w:rPr>
            </w:pPr>
            <w:r>
              <w:rPr>
                <w:rFonts w:hint="eastAsia" w:ascii="黑体" w:hAnsi="黑体" w:eastAsia="黑体" w:cs="黑体"/>
                <w:kern w:val="2"/>
                <w:sz w:val="24"/>
                <w:szCs w:val="24"/>
                <w:lang w:val="zh-TW"/>
              </w:rPr>
              <w:t>20</w:t>
            </w:r>
            <w:r>
              <w:rPr>
                <w:rFonts w:hint="eastAsia" w:ascii="黑体" w:hAnsi="黑体" w:eastAsia="黑体" w:cs="黑体"/>
                <w:kern w:val="2"/>
                <w:sz w:val="24"/>
                <w:szCs w:val="24"/>
              </w:rPr>
              <w:t>20</w:t>
            </w:r>
            <w:r>
              <w:rPr>
                <w:rFonts w:hint="eastAsia" w:ascii="黑体" w:hAnsi="黑体" w:eastAsia="黑体" w:cs="黑体"/>
                <w:kern w:val="2"/>
                <w:sz w:val="24"/>
                <w:szCs w:val="24"/>
                <w:lang w:val="zh-TW"/>
              </w:rPr>
              <w:t xml:space="preserve">年  04月 </w:t>
            </w:r>
            <w:r>
              <w:rPr>
                <w:rFonts w:hint="eastAsia" w:ascii="黑体" w:hAnsi="黑体" w:eastAsia="黑体" w:cs="黑体"/>
                <w:kern w:val="2"/>
                <w:sz w:val="24"/>
                <w:szCs w:val="24"/>
              </w:rPr>
              <w:t xml:space="preserve">  </w:t>
            </w:r>
            <w:r>
              <w:rPr>
                <w:rFonts w:hint="eastAsia" w:ascii="黑体" w:hAnsi="黑体" w:eastAsia="黑体" w:cs="黑体"/>
                <w:kern w:val="2"/>
                <w:sz w:val="24"/>
                <w:szCs w:val="24"/>
                <w:lang w:val="zh-TW"/>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1" w:hRule="atLeast"/>
        </w:trPr>
        <w:tc>
          <w:tcPr>
            <w:tcW w:w="8613" w:type="dxa"/>
            <w:gridSpan w:val="5"/>
          </w:tcPr>
          <w:p>
            <w:pPr>
              <w:pStyle w:val="12"/>
              <w:widowControl w:val="0"/>
              <w:spacing w:after="0" w:line="360" w:lineRule="auto"/>
              <w:jc w:val="both"/>
              <w:rPr>
                <w:rFonts w:ascii="黑体" w:hAnsi="黑体" w:eastAsia="黑体" w:cs="黑体"/>
                <w:kern w:val="2"/>
                <w:sz w:val="24"/>
                <w:szCs w:val="24"/>
                <w:lang w:val="zh-TW"/>
              </w:rPr>
            </w:pPr>
            <w:r>
              <w:rPr>
                <w:rFonts w:hint="eastAsia" w:ascii="黑体" w:hAnsi="黑体" w:eastAsia="黑体" w:cs="黑体"/>
                <w:kern w:val="2"/>
                <w:sz w:val="24"/>
                <w:szCs w:val="24"/>
                <w:lang w:val="zh-TW"/>
              </w:rPr>
              <w:t>评价工作负责人（签字）：</w:t>
            </w:r>
          </w:p>
          <w:p>
            <w:pPr>
              <w:pStyle w:val="12"/>
              <w:widowControl w:val="0"/>
              <w:spacing w:after="0" w:line="360" w:lineRule="auto"/>
              <w:jc w:val="both"/>
              <w:rPr>
                <w:rFonts w:ascii="黑体" w:hAnsi="黑体" w:eastAsia="黑体" w:cs="黑体"/>
                <w:kern w:val="2"/>
                <w:sz w:val="24"/>
                <w:szCs w:val="24"/>
                <w:lang w:val="zh-TW"/>
              </w:rPr>
            </w:pPr>
          </w:p>
          <w:p>
            <w:pPr>
              <w:pStyle w:val="12"/>
              <w:widowControl w:val="0"/>
              <w:spacing w:after="0" w:line="360" w:lineRule="auto"/>
              <w:jc w:val="both"/>
              <w:rPr>
                <w:rFonts w:ascii="黑体" w:hAnsi="黑体" w:eastAsia="黑体" w:cs="黑体"/>
                <w:kern w:val="2"/>
                <w:sz w:val="24"/>
                <w:szCs w:val="24"/>
                <w:lang w:val="zh-TW"/>
              </w:rPr>
            </w:pPr>
          </w:p>
          <w:p>
            <w:pPr>
              <w:pStyle w:val="12"/>
              <w:widowControl w:val="0"/>
              <w:wordWrap w:val="0"/>
              <w:spacing w:after="0" w:line="360" w:lineRule="auto"/>
              <w:jc w:val="right"/>
              <w:rPr>
                <w:rFonts w:ascii="黑体" w:hAnsi="黑体" w:eastAsia="黑体" w:cs="黑体"/>
                <w:kern w:val="2"/>
                <w:sz w:val="24"/>
                <w:szCs w:val="24"/>
                <w:lang w:val="zh-TW"/>
              </w:rPr>
            </w:pPr>
            <w:r>
              <w:rPr>
                <w:rFonts w:hint="eastAsia" w:ascii="黑体" w:hAnsi="黑体" w:eastAsia="黑体" w:cs="黑体"/>
                <w:kern w:val="2"/>
                <w:sz w:val="24"/>
                <w:szCs w:val="24"/>
                <w:lang w:val="zh-TW"/>
              </w:rPr>
              <w:t>20</w:t>
            </w:r>
            <w:r>
              <w:rPr>
                <w:rFonts w:hint="eastAsia" w:ascii="黑体" w:hAnsi="黑体" w:eastAsia="黑体" w:cs="黑体"/>
                <w:kern w:val="2"/>
                <w:sz w:val="24"/>
                <w:szCs w:val="24"/>
              </w:rPr>
              <w:t>20</w:t>
            </w:r>
            <w:r>
              <w:rPr>
                <w:rFonts w:hint="eastAsia" w:ascii="黑体" w:hAnsi="黑体" w:eastAsia="黑体" w:cs="黑体"/>
                <w:kern w:val="2"/>
                <w:sz w:val="24"/>
                <w:szCs w:val="24"/>
                <w:lang w:val="zh-TW"/>
              </w:rPr>
              <w:t>年  04月</w:t>
            </w:r>
            <w:r>
              <w:rPr>
                <w:rFonts w:hint="eastAsia" w:ascii="黑体" w:hAnsi="黑体" w:eastAsia="黑体" w:cs="黑体"/>
                <w:kern w:val="2"/>
                <w:sz w:val="24"/>
                <w:szCs w:val="24"/>
              </w:rPr>
              <w:t xml:space="preserve">   </w:t>
            </w:r>
            <w:r>
              <w:rPr>
                <w:rFonts w:hint="eastAsia" w:ascii="黑体" w:hAnsi="黑体" w:eastAsia="黑体" w:cs="黑体"/>
                <w:kern w:val="2"/>
                <w:sz w:val="24"/>
                <w:szCs w:val="24"/>
                <w:lang w:val="zh-TW"/>
              </w:rPr>
              <w:t>日</w:t>
            </w:r>
          </w:p>
        </w:tc>
      </w:tr>
    </w:tbl>
    <w:p>
      <w:pPr>
        <w:pStyle w:val="12"/>
        <w:widowControl w:val="0"/>
        <w:spacing w:after="0" w:line="360" w:lineRule="auto"/>
        <w:ind w:firstLine="566" w:firstLineChars="236"/>
        <w:jc w:val="both"/>
        <w:rPr>
          <w:rFonts w:ascii="仿宋" w:hAnsi="仿宋" w:eastAsia="仿宋" w:cs="Times New Roman"/>
          <w:kern w:val="2"/>
          <w:sz w:val="24"/>
          <w:szCs w:val="24"/>
          <w:lang w:val="zh-TW" w:eastAsia="zh-TW"/>
        </w:rPr>
      </w:pPr>
    </w:p>
    <w:p>
      <w:pPr>
        <w:pStyle w:val="12"/>
        <w:widowControl w:val="0"/>
        <w:spacing w:after="0" w:line="360" w:lineRule="auto"/>
        <w:jc w:val="both"/>
        <w:rPr>
          <w:rFonts w:ascii="仿宋" w:hAnsi="仿宋" w:eastAsia="仿宋" w:cs="Times New Roman"/>
          <w:kern w:val="2"/>
          <w:sz w:val="24"/>
          <w:szCs w:val="24"/>
          <w:lang w:val="zh-TW"/>
        </w:rPr>
        <w:sectPr>
          <w:pgSz w:w="11906" w:h="16838"/>
          <w:pgMar w:top="1440" w:right="1800" w:bottom="1440" w:left="1800" w:header="851" w:footer="992" w:gutter="0"/>
          <w:cols w:space="425" w:num="1"/>
          <w:docGrid w:type="lines" w:linePitch="312" w:charSpace="0"/>
        </w:sectPr>
      </w:pPr>
    </w:p>
    <w:p>
      <w:pPr>
        <w:pStyle w:val="11"/>
        <w:jc w:val="center"/>
        <w:rPr>
          <w:rFonts w:ascii="黑体" w:hAnsi="黑体" w:eastAsia="黑体" w:cs="Times New Roman"/>
          <w:b w:val="0"/>
          <w:color w:val="auto"/>
        </w:rPr>
      </w:pPr>
      <w:r>
        <w:rPr>
          <w:rFonts w:hint="eastAsia" w:ascii="黑体" w:hAnsi="黑体" w:eastAsia="黑体" w:cs="宋体"/>
          <w:b w:val="0"/>
          <w:color w:val="auto"/>
          <w:lang w:val="zh-CN"/>
        </w:rPr>
        <w:t>目录</w:t>
      </w:r>
    </w:p>
    <w:p>
      <w:pPr>
        <w:spacing w:line="400" w:lineRule="exact"/>
        <w:ind w:firstLine="420" w:firstLineChars="200"/>
        <w:jc w:val="left"/>
        <w:rPr>
          <w:rFonts w:ascii="黑体" w:hAnsi="黑体" w:eastAsia="黑体"/>
          <w:szCs w:val="32"/>
        </w:rPr>
      </w:pPr>
      <w:r>
        <w:rPr>
          <w:rFonts w:hint="eastAsia" w:ascii="黑体" w:hAnsi="黑体" w:eastAsia="黑体"/>
          <w:szCs w:val="32"/>
        </w:rPr>
        <w:t>一、摘要</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二、部门概况</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（一）部门机构设置、编制</w:t>
      </w:r>
      <w:r>
        <w:rPr>
          <w:rFonts w:hint="eastAsia" w:ascii="黑体" w:hAnsi="黑体" w:eastAsia="黑体"/>
          <w:szCs w:val="32"/>
        </w:rPr>
        <w:tab/>
      </w:r>
    </w:p>
    <w:p>
      <w:pPr>
        <w:spacing w:line="400" w:lineRule="exact"/>
        <w:ind w:firstLine="420" w:firstLineChars="200"/>
        <w:jc w:val="left"/>
        <w:rPr>
          <w:rFonts w:ascii="黑体" w:hAnsi="黑体" w:eastAsia="黑体"/>
          <w:szCs w:val="32"/>
        </w:rPr>
      </w:pPr>
      <w:r>
        <w:rPr>
          <w:rFonts w:hint="eastAsia" w:ascii="黑体" w:hAnsi="黑体" w:eastAsia="黑体"/>
          <w:szCs w:val="32"/>
        </w:rPr>
        <w:t>（二）部门职能</w:t>
      </w:r>
    </w:p>
    <w:p>
      <w:pPr>
        <w:spacing w:line="400" w:lineRule="exact"/>
        <w:ind w:firstLine="420" w:firstLineChars="200"/>
        <w:jc w:val="left"/>
        <w:rPr>
          <w:rFonts w:ascii="黑体" w:hAnsi="黑体" w:eastAsia="黑体"/>
          <w:szCs w:val="32"/>
        </w:rPr>
      </w:pPr>
      <w:r>
        <w:rPr>
          <w:rFonts w:hint="eastAsia" w:ascii="黑体" w:hAnsi="黑体" w:eastAsia="黑体"/>
          <w:szCs w:val="32"/>
        </w:rPr>
        <w:t>（三）部门工作完成情况</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 xml:space="preserve">（四）部门管理制度 </w:t>
      </w:r>
    </w:p>
    <w:p>
      <w:pPr>
        <w:spacing w:line="400" w:lineRule="exact"/>
        <w:ind w:firstLine="420" w:firstLineChars="200"/>
        <w:jc w:val="left"/>
        <w:rPr>
          <w:rFonts w:ascii="黑体" w:hAnsi="黑体" w:eastAsia="黑体"/>
          <w:szCs w:val="32"/>
        </w:rPr>
      </w:pPr>
      <w:r>
        <w:rPr>
          <w:rFonts w:hint="eastAsia" w:ascii="黑体" w:hAnsi="黑体" w:eastAsia="黑体"/>
          <w:szCs w:val="32"/>
        </w:rPr>
        <w:t>（五）部门资金来源及使用情况</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 xml:space="preserve">（六）政府采购情况 </w:t>
      </w:r>
    </w:p>
    <w:p>
      <w:pPr>
        <w:spacing w:line="400" w:lineRule="exact"/>
        <w:ind w:firstLine="420" w:firstLineChars="200"/>
        <w:jc w:val="left"/>
        <w:rPr>
          <w:rFonts w:ascii="黑体" w:hAnsi="黑体" w:eastAsia="黑体"/>
          <w:szCs w:val="32"/>
        </w:rPr>
      </w:pPr>
      <w:r>
        <w:rPr>
          <w:rFonts w:hint="eastAsia" w:ascii="黑体" w:hAnsi="黑体" w:eastAsia="黑体"/>
          <w:szCs w:val="32"/>
        </w:rPr>
        <w:t>（七）固定资产情况</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三、绩效目标</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四、评价思路和过程</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（一）评价思路</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（二）评价目的</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（三）评价依据</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（四）评价对象及评价时段</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五、评价结论和绩效分析</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（一）评价结论</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（二）具体绩效分析</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六、主要经验做法</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七、存在的问题</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八、改进措施及建议</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p>
    <w:p>
      <w:pPr>
        <w:spacing w:line="400" w:lineRule="exact"/>
        <w:ind w:firstLine="420" w:firstLineChars="200"/>
        <w:jc w:val="left"/>
        <w:rPr>
          <w:rFonts w:ascii="黑体" w:hAnsi="黑体" w:eastAsia="黑体"/>
          <w:szCs w:val="32"/>
        </w:rPr>
      </w:pPr>
      <w:r>
        <w:rPr>
          <w:rFonts w:hint="eastAsia" w:ascii="黑体" w:hAnsi="黑体" w:eastAsia="黑体"/>
          <w:szCs w:val="32"/>
        </w:rPr>
        <w:t>附件1、成本效益分析报告</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附件2、部门主要职能分解及2018年度工作完成情况表</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 xml:space="preserve">附件3、绩效评价指标体系 </w:t>
      </w:r>
    </w:p>
    <w:p>
      <w:pPr>
        <w:spacing w:line="400" w:lineRule="exact"/>
        <w:ind w:firstLine="420" w:firstLineChars="200"/>
        <w:jc w:val="left"/>
        <w:rPr>
          <w:rFonts w:ascii="黑体" w:hAnsi="黑体" w:eastAsia="黑体"/>
          <w:szCs w:val="32"/>
        </w:rPr>
      </w:pPr>
      <w:r>
        <w:rPr>
          <w:rFonts w:hint="eastAsia" w:ascii="黑体" w:hAnsi="黑体" w:eastAsia="黑体"/>
          <w:szCs w:val="32"/>
        </w:rPr>
        <w:t>附件4、问卷调查报告</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附件5、工作底稿；</w:t>
      </w:r>
    </w:p>
    <w:p>
      <w:pPr>
        <w:spacing w:line="400" w:lineRule="exact"/>
        <w:ind w:firstLine="420" w:firstLineChars="200"/>
        <w:jc w:val="left"/>
        <w:rPr>
          <w:rFonts w:ascii="黑体" w:hAnsi="黑体" w:eastAsia="黑体"/>
          <w:szCs w:val="32"/>
        </w:rPr>
      </w:pPr>
      <w:r>
        <w:rPr>
          <w:rFonts w:hint="eastAsia" w:ascii="黑体" w:hAnsi="黑体" w:eastAsia="黑体"/>
          <w:szCs w:val="32"/>
        </w:rPr>
        <w:t>附件6、部门2019年总结及2020年度工作计划</w:t>
      </w:r>
    </w:p>
    <w:p>
      <w:pPr>
        <w:spacing w:line="400" w:lineRule="exact"/>
        <w:ind w:firstLine="420" w:firstLineChars="200"/>
        <w:jc w:val="left"/>
        <w:rPr>
          <w:rFonts w:ascii="仿宋" w:hAnsi="仿宋" w:eastAsia="仿宋"/>
          <w:szCs w:val="32"/>
        </w:rPr>
      </w:pPr>
      <w:r>
        <w:rPr>
          <w:rFonts w:hint="eastAsia" w:ascii="黑体" w:hAnsi="黑体" w:eastAsia="黑体"/>
          <w:szCs w:val="32"/>
        </w:rPr>
        <w:t>附件7、东华街道办事处2019年项目收入支出决算表</w:t>
      </w:r>
    </w:p>
    <w:p>
      <w:pPr>
        <w:spacing w:line="600" w:lineRule="exact"/>
        <w:ind w:firstLine="420" w:firstLineChars="200"/>
        <w:jc w:val="center"/>
        <w:rPr>
          <w:rFonts w:ascii="仿宋" w:hAnsi="仿宋" w:eastAsia="仿宋"/>
          <w:szCs w:val="32"/>
        </w:rPr>
      </w:pPr>
    </w:p>
    <w:p>
      <w:pPr>
        <w:spacing w:line="520" w:lineRule="exact"/>
        <w:jc w:val="center"/>
        <w:rPr>
          <w:rFonts w:ascii="仿宋" w:hAnsi="仿宋" w:eastAsia="仿宋"/>
          <w:sz w:val="28"/>
          <w:szCs w:val="28"/>
        </w:rPr>
      </w:pPr>
    </w:p>
    <w:p>
      <w:pPr>
        <w:spacing w:line="520" w:lineRule="exact"/>
        <w:jc w:val="center"/>
        <w:rPr>
          <w:rFonts w:ascii="仿宋" w:hAnsi="仿宋" w:eastAsia="仿宋"/>
          <w:sz w:val="28"/>
          <w:szCs w:val="28"/>
        </w:rPr>
      </w:pPr>
      <w:r>
        <w:rPr>
          <w:rFonts w:hint="eastAsia" w:ascii="仿宋" w:hAnsi="仿宋" w:eastAsia="仿宋"/>
          <w:sz w:val="28"/>
          <w:szCs w:val="28"/>
        </w:rPr>
        <w:t>盘龙区人民政府东华街道办事处</w:t>
      </w:r>
    </w:p>
    <w:p>
      <w:pPr>
        <w:spacing w:line="520" w:lineRule="exact"/>
        <w:jc w:val="center"/>
        <w:rPr>
          <w:rFonts w:ascii="仿宋" w:hAnsi="仿宋" w:eastAsia="仿宋"/>
          <w:sz w:val="28"/>
          <w:szCs w:val="28"/>
        </w:rPr>
      </w:pPr>
      <w:r>
        <w:rPr>
          <w:rFonts w:hint="eastAsia" w:ascii="仿宋" w:hAnsi="仿宋" w:eastAsia="仿宋"/>
          <w:sz w:val="28"/>
          <w:szCs w:val="28"/>
        </w:rPr>
        <w:t>2019年部门整体支出绩效自评报告</w:t>
      </w:r>
    </w:p>
    <w:p>
      <w:pPr>
        <w:spacing w:line="520" w:lineRule="exact"/>
        <w:ind w:firstLine="480" w:firstLineChars="200"/>
        <w:jc w:val="center"/>
        <w:rPr>
          <w:rFonts w:ascii="仿宋" w:hAnsi="仿宋" w:eastAsia="仿宋"/>
          <w:sz w:val="24"/>
          <w:szCs w:val="24"/>
        </w:rPr>
      </w:pPr>
      <w:r>
        <w:rPr>
          <w:rFonts w:hint="eastAsia" w:ascii="仿宋" w:hAnsi="仿宋" w:eastAsia="仿宋"/>
          <w:sz w:val="24"/>
          <w:szCs w:val="24"/>
        </w:rPr>
        <w:t>（摘要）</w:t>
      </w:r>
    </w:p>
    <w:p>
      <w:pPr>
        <w:spacing w:line="520" w:lineRule="exact"/>
        <w:ind w:firstLine="560" w:firstLineChars="200"/>
        <w:jc w:val="left"/>
        <w:rPr>
          <w:rFonts w:ascii="黑体" w:hAnsi="黑体" w:eastAsia="黑体"/>
          <w:sz w:val="28"/>
          <w:szCs w:val="28"/>
        </w:rPr>
      </w:pPr>
      <w:r>
        <w:rPr>
          <w:rFonts w:hint="eastAsia" w:ascii="黑体" w:hAnsi="黑体" w:eastAsia="黑体"/>
          <w:sz w:val="28"/>
          <w:szCs w:val="28"/>
        </w:rPr>
        <w:t>一、部门概况</w:t>
      </w:r>
    </w:p>
    <w:p>
      <w:pPr>
        <w:spacing w:line="520" w:lineRule="exact"/>
        <w:ind w:firstLine="560" w:firstLineChars="200"/>
        <w:contextualSpacing/>
        <w:rPr>
          <w:rFonts w:ascii="仿宋" w:hAnsi="仿宋" w:eastAsia="仿宋"/>
          <w:sz w:val="28"/>
          <w:szCs w:val="28"/>
          <w:lang w:val="zh-CN"/>
        </w:rPr>
      </w:pPr>
      <w:r>
        <w:rPr>
          <w:rFonts w:hint="eastAsia" w:ascii="仿宋" w:hAnsi="仿宋" w:eastAsia="仿宋"/>
          <w:sz w:val="28"/>
          <w:szCs w:val="28"/>
          <w:lang w:val="zh-CN"/>
        </w:rPr>
        <w:t>（一）主要职能</w:t>
      </w:r>
    </w:p>
    <w:p>
      <w:pPr>
        <w:spacing w:line="520" w:lineRule="exact"/>
        <w:ind w:firstLine="560" w:firstLineChars="200"/>
        <w:contextualSpacing/>
        <w:rPr>
          <w:rFonts w:ascii="仿宋" w:hAnsi="仿宋" w:eastAsia="仿宋"/>
          <w:sz w:val="28"/>
          <w:szCs w:val="28"/>
          <w:lang w:val="zh-CN"/>
        </w:rPr>
      </w:pPr>
      <w:r>
        <w:rPr>
          <w:rFonts w:hint="eastAsia" w:ascii="仿宋" w:hAnsi="仿宋" w:eastAsia="仿宋"/>
          <w:sz w:val="28"/>
          <w:szCs w:val="28"/>
          <w:lang w:val="zh-CN"/>
        </w:rPr>
        <w:t>1、宣传贯彻党的路线、方针、政策和国家的法律法规及规章，确保区委、区政府的决策、决定的贯彻落实，依法行政，履行政府办派出机构的工作职责，做好辖区内的行政事务管理服务工作。</w:t>
      </w:r>
    </w:p>
    <w:p>
      <w:pPr>
        <w:spacing w:line="520" w:lineRule="exact"/>
        <w:ind w:firstLine="560" w:firstLineChars="200"/>
        <w:contextualSpacing/>
        <w:rPr>
          <w:rFonts w:ascii="仿宋" w:hAnsi="仿宋" w:eastAsia="仿宋"/>
          <w:sz w:val="28"/>
          <w:szCs w:val="28"/>
          <w:lang w:val="zh-CN"/>
        </w:rPr>
      </w:pPr>
      <w:r>
        <w:rPr>
          <w:rFonts w:hint="eastAsia" w:ascii="仿宋" w:hAnsi="仿宋" w:eastAsia="仿宋"/>
          <w:sz w:val="28"/>
          <w:szCs w:val="28"/>
          <w:lang w:val="zh-CN"/>
        </w:rPr>
        <w:t>2、制定实施街道经济和社会发展计划，组织管理街道集体经济、个体私营经济、民营经济等，大力发展街道经济和为民便民利民的社会服务事业。</w:t>
      </w:r>
    </w:p>
    <w:p>
      <w:pPr>
        <w:spacing w:line="520" w:lineRule="exact"/>
        <w:ind w:firstLine="560" w:firstLineChars="200"/>
        <w:contextualSpacing/>
        <w:rPr>
          <w:rFonts w:ascii="仿宋" w:hAnsi="仿宋" w:eastAsia="仿宋"/>
          <w:sz w:val="28"/>
          <w:szCs w:val="28"/>
          <w:lang w:val="zh-CN"/>
        </w:rPr>
      </w:pPr>
      <w:r>
        <w:rPr>
          <w:rFonts w:hint="eastAsia" w:ascii="仿宋" w:hAnsi="仿宋" w:eastAsia="仿宋"/>
          <w:sz w:val="28"/>
          <w:szCs w:val="28"/>
          <w:lang w:val="zh-CN"/>
        </w:rPr>
        <w:t>3、按照“两级政府，三级管理”的城市管理体制，强化城市管理职能，做好辖区内市容市貌、环境整治、防疫监测、防汛防震、防火安全、抢险救灾、街道绿化等工作，发挥街道在城市管理中的基础工作。</w:t>
      </w:r>
    </w:p>
    <w:p>
      <w:pPr>
        <w:spacing w:line="520" w:lineRule="exact"/>
        <w:ind w:firstLine="560" w:firstLineChars="200"/>
        <w:contextualSpacing/>
        <w:rPr>
          <w:rFonts w:ascii="仿宋" w:hAnsi="仿宋" w:eastAsia="仿宋"/>
          <w:sz w:val="28"/>
          <w:szCs w:val="28"/>
          <w:lang w:val="zh-CN"/>
        </w:rPr>
      </w:pPr>
      <w:r>
        <w:rPr>
          <w:rFonts w:hint="eastAsia" w:ascii="仿宋" w:hAnsi="仿宋" w:eastAsia="仿宋"/>
          <w:sz w:val="28"/>
          <w:szCs w:val="28"/>
          <w:lang w:val="zh-CN"/>
        </w:rPr>
        <w:t>4、开展城市社会建设，大力发展社区服务业，负责辖区群众性文化教育、体育、人口与计划生育、爱国卫生等工作，做好社会保障与救助、拥军优属、就业管理等工作，保护老人、妇女、儿童的合法权益。</w:t>
      </w:r>
    </w:p>
    <w:p>
      <w:pPr>
        <w:spacing w:line="520" w:lineRule="exact"/>
        <w:ind w:firstLine="560" w:firstLineChars="200"/>
        <w:contextualSpacing/>
        <w:rPr>
          <w:rFonts w:ascii="仿宋" w:hAnsi="仿宋" w:eastAsia="仿宋"/>
          <w:sz w:val="28"/>
          <w:szCs w:val="28"/>
          <w:lang w:val="zh-CN"/>
        </w:rPr>
      </w:pPr>
      <w:r>
        <w:rPr>
          <w:rFonts w:hint="eastAsia" w:ascii="仿宋" w:hAnsi="仿宋" w:eastAsia="仿宋"/>
          <w:sz w:val="28"/>
          <w:szCs w:val="28"/>
          <w:lang w:val="zh-CN"/>
        </w:rPr>
        <w:t>5、负责辖区社会治安治理，做好人民调节、治安保卫、违法人员帮教转化、流动人口管理、法制宣传等工作，做好安全生产、防火、防汛等工作。</w:t>
      </w:r>
    </w:p>
    <w:p>
      <w:pPr>
        <w:spacing w:line="520" w:lineRule="exact"/>
        <w:ind w:firstLine="560" w:firstLineChars="200"/>
        <w:contextualSpacing/>
        <w:rPr>
          <w:rFonts w:ascii="仿宋" w:hAnsi="仿宋" w:eastAsia="仿宋"/>
          <w:sz w:val="28"/>
          <w:szCs w:val="28"/>
          <w:lang w:val="zh-CN"/>
        </w:rPr>
      </w:pPr>
      <w:r>
        <w:rPr>
          <w:rFonts w:hint="eastAsia" w:ascii="仿宋" w:hAnsi="仿宋" w:eastAsia="仿宋"/>
          <w:sz w:val="28"/>
          <w:szCs w:val="28"/>
          <w:lang w:val="zh-CN"/>
        </w:rPr>
        <w:t>6、依法进行国防动员和兵役管理，抓好基层民兵工作。</w:t>
      </w:r>
    </w:p>
    <w:p>
      <w:pPr>
        <w:spacing w:line="520" w:lineRule="exact"/>
        <w:ind w:firstLine="560" w:firstLineChars="200"/>
        <w:contextualSpacing/>
        <w:rPr>
          <w:rFonts w:ascii="仿宋" w:hAnsi="仿宋" w:eastAsia="仿宋"/>
          <w:sz w:val="28"/>
          <w:szCs w:val="28"/>
          <w:lang w:val="zh-CN"/>
        </w:rPr>
      </w:pPr>
      <w:r>
        <w:rPr>
          <w:rFonts w:hint="eastAsia" w:ascii="仿宋" w:hAnsi="仿宋" w:eastAsia="仿宋"/>
          <w:sz w:val="28"/>
          <w:szCs w:val="28"/>
          <w:lang w:val="zh-CN"/>
        </w:rPr>
        <w:t>7、组织、管理和监督街道预算内外各项财政收支，管理街道和所属单位的国有资产，搞好街道的财源建设工作；做好街道协税护税、统计、物价等工作。</w:t>
      </w:r>
    </w:p>
    <w:p>
      <w:pPr>
        <w:spacing w:line="520" w:lineRule="exact"/>
        <w:ind w:firstLine="560" w:firstLineChars="200"/>
        <w:contextualSpacing/>
        <w:rPr>
          <w:rFonts w:ascii="仿宋" w:hAnsi="仿宋" w:eastAsia="仿宋"/>
          <w:sz w:val="28"/>
          <w:szCs w:val="28"/>
          <w:lang w:val="zh-CN"/>
        </w:rPr>
      </w:pPr>
      <w:r>
        <w:rPr>
          <w:rFonts w:hint="eastAsia" w:ascii="仿宋" w:hAnsi="仿宋" w:eastAsia="仿宋"/>
          <w:sz w:val="28"/>
          <w:szCs w:val="28"/>
          <w:lang w:val="zh-CN"/>
        </w:rPr>
        <w:t>（二）部门资金来源及使用情况。</w:t>
      </w:r>
    </w:p>
    <w:p>
      <w:pPr>
        <w:spacing w:line="520" w:lineRule="exact"/>
        <w:ind w:firstLine="560" w:firstLineChars="200"/>
        <w:contextualSpacing/>
        <w:rPr>
          <w:rFonts w:ascii="仿宋" w:hAnsi="仿宋" w:eastAsia="仿宋"/>
          <w:sz w:val="28"/>
          <w:szCs w:val="28"/>
          <w:lang w:val="zh-CN"/>
        </w:rPr>
      </w:pPr>
      <w:r>
        <w:rPr>
          <w:rFonts w:ascii="仿宋" w:hAnsi="仿宋" w:eastAsia="仿宋"/>
          <w:sz w:val="28"/>
          <w:szCs w:val="28"/>
          <w:lang w:val="zh-CN"/>
        </w:rPr>
        <w:t>201</w:t>
      </w:r>
      <w:r>
        <w:rPr>
          <w:rFonts w:hint="eastAsia" w:ascii="仿宋" w:hAnsi="仿宋" w:eastAsia="仿宋"/>
          <w:sz w:val="28"/>
          <w:szCs w:val="28"/>
        </w:rPr>
        <w:t>9</w:t>
      </w:r>
      <w:r>
        <w:rPr>
          <w:rFonts w:ascii="仿宋" w:hAnsi="仿宋" w:eastAsia="仿宋"/>
          <w:sz w:val="28"/>
          <w:szCs w:val="28"/>
          <w:lang w:val="zh-CN"/>
        </w:rPr>
        <w:t>年总收入</w:t>
      </w:r>
      <w:r>
        <w:rPr>
          <w:rFonts w:hint="eastAsia" w:ascii="仿宋" w:hAnsi="仿宋" w:eastAsia="仿宋"/>
          <w:sz w:val="28"/>
          <w:szCs w:val="28"/>
          <w:lang w:val="zh-CN"/>
        </w:rPr>
        <w:t>2</w:t>
      </w:r>
      <w:r>
        <w:rPr>
          <w:rFonts w:hint="eastAsia" w:ascii="仿宋" w:hAnsi="仿宋" w:eastAsia="仿宋"/>
          <w:sz w:val="28"/>
          <w:szCs w:val="28"/>
        </w:rPr>
        <w:t>,</w:t>
      </w:r>
      <w:r>
        <w:rPr>
          <w:rFonts w:hint="eastAsia" w:ascii="仿宋" w:hAnsi="仿宋" w:eastAsia="仿宋"/>
          <w:sz w:val="28"/>
          <w:szCs w:val="28"/>
          <w:lang w:val="zh-CN"/>
        </w:rPr>
        <w:t>860</w:t>
      </w:r>
      <w:r>
        <w:rPr>
          <w:rFonts w:hint="eastAsia" w:ascii="仿宋" w:hAnsi="仿宋" w:eastAsia="仿宋"/>
          <w:sz w:val="28"/>
          <w:szCs w:val="28"/>
        </w:rPr>
        <w:t>.</w:t>
      </w:r>
      <w:r>
        <w:rPr>
          <w:rFonts w:hint="eastAsia" w:ascii="仿宋" w:hAnsi="仿宋" w:eastAsia="仿宋"/>
          <w:sz w:val="28"/>
          <w:szCs w:val="28"/>
          <w:lang w:val="zh-CN"/>
        </w:rPr>
        <w:t>89万元，全部来源于财政拨款收入，总支出2</w:t>
      </w:r>
      <w:r>
        <w:rPr>
          <w:rFonts w:hint="eastAsia" w:ascii="仿宋" w:hAnsi="仿宋" w:eastAsia="仿宋"/>
          <w:sz w:val="28"/>
          <w:szCs w:val="28"/>
        </w:rPr>
        <w:t>,</w:t>
      </w:r>
      <w:r>
        <w:rPr>
          <w:rFonts w:hint="eastAsia" w:ascii="仿宋" w:hAnsi="仿宋" w:eastAsia="仿宋"/>
          <w:sz w:val="28"/>
          <w:szCs w:val="28"/>
          <w:lang w:val="zh-CN"/>
        </w:rPr>
        <w:t>860</w:t>
      </w:r>
      <w:r>
        <w:rPr>
          <w:rFonts w:hint="eastAsia" w:ascii="仿宋" w:hAnsi="仿宋" w:eastAsia="仿宋"/>
          <w:sz w:val="28"/>
          <w:szCs w:val="28"/>
        </w:rPr>
        <w:t>.</w:t>
      </w:r>
      <w:r>
        <w:rPr>
          <w:rFonts w:hint="eastAsia" w:ascii="仿宋" w:hAnsi="仿宋" w:eastAsia="仿宋"/>
          <w:sz w:val="28"/>
          <w:szCs w:val="28"/>
          <w:lang w:val="zh-CN"/>
        </w:rPr>
        <w:t>89万元，结余0.00万元。</w:t>
      </w:r>
    </w:p>
    <w:p>
      <w:pPr>
        <w:spacing w:line="520" w:lineRule="exact"/>
        <w:ind w:firstLine="560" w:firstLineChars="200"/>
        <w:contextualSpacing/>
        <w:rPr>
          <w:rFonts w:ascii="仿宋" w:hAnsi="仿宋" w:eastAsia="仿宋"/>
          <w:sz w:val="28"/>
          <w:szCs w:val="28"/>
          <w:lang w:val="zh-CN"/>
        </w:rPr>
      </w:pPr>
      <w:r>
        <w:rPr>
          <w:rFonts w:ascii="仿宋" w:hAnsi="仿宋" w:eastAsia="仿宋"/>
          <w:sz w:val="28"/>
          <w:szCs w:val="28"/>
          <w:lang w:val="zh-CN"/>
        </w:rPr>
        <w:t>201</w:t>
      </w:r>
      <w:r>
        <w:rPr>
          <w:rFonts w:hint="eastAsia" w:ascii="仿宋" w:hAnsi="仿宋" w:eastAsia="仿宋"/>
          <w:sz w:val="28"/>
          <w:szCs w:val="28"/>
        </w:rPr>
        <w:t>9</w:t>
      </w:r>
      <w:r>
        <w:rPr>
          <w:rFonts w:ascii="仿宋" w:hAnsi="仿宋" w:eastAsia="仿宋"/>
          <w:sz w:val="28"/>
          <w:szCs w:val="28"/>
          <w:lang w:val="zh-CN"/>
        </w:rPr>
        <w:t>年决算总支出</w:t>
      </w:r>
      <w:r>
        <w:rPr>
          <w:rFonts w:hint="eastAsia" w:ascii="仿宋" w:hAnsi="仿宋" w:eastAsia="仿宋"/>
          <w:sz w:val="28"/>
          <w:szCs w:val="28"/>
          <w:lang w:val="zh-CN"/>
        </w:rPr>
        <w:t>2</w:t>
      </w:r>
      <w:r>
        <w:rPr>
          <w:rFonts w:hint="eastAsia" w:ascii="仿宋" w:hAnsi="仿宋" w:eastAsia="仿宋"/>
          <w:sz w:val="28"/>
          <w:szCs w:val="28"/>
        </w:rPr>
        <w:t>,</w:t>
      </w:r>
      <w:r>
        <w:rPr>
          <w:rFonts w:hint="eastAsia" w:ascii="仿宋" w:hAnsi="仿宋" w:eastAsia="仿宋"/>
          <w:sz w:val="28"/>
          <w:szCs w:val="28"/>
          <w:lang w:val="zh-CN"/>
        </w:rPr>
        <w:t>860</w:t>
      </w:r>
      <w:r>
        <w:rPr>
          <w:rFonts w:hint="eastAsia" w:ascii="仿宋" w:hAnsi="仿宋" w:eastAsia="仿宋"/>
          <w:sz w:val="28"/>
          <w:szCs w:val="28"/>
        </w:rPr>
        <w:t>.</w:t>
      </w:r>
      <w:r>
        <w:rPr>
          <w:rFonts w:hint="eastAsia" w:ascii="仿宋" w:hAnsi="仿宋" w:eastAsia="仿宋"/>
          <w:sz w:val="28"/>
          <w:szCs w:val="28"/>
          <w:lang w:val="zh-CN"/>
        </w:rPr>
        <w:t>89万元</w:t>
      </w:r>
      <w:r>
        <w:rPr>
          <w:rFonts w:ascii="仿宋" w:hAnsi="仿宋" w:eastAsia="仿宋"/>
          <w:sz w:val="28"/>
          <w:szCs w:val="28"/>
          <w:lang w:val="zh-CN"/>
        </w:rPr>
        <w:t>，其中</w:t>
      </w:r>
      <w:r>
        <w:rPr>
          <w:rFonts w:hint="eastAsia" w:ascii="仿宋" w:hAnsi="仿宋" w:eastAsia="仿宋"/>
          <w:sz w:val="28"/>
          <w:szCs w:val="28"/>
          <w:lang w:val="zh-CN"/>
        </w:rPr>
        <w:t>：基本支出1</w:t>
      </w:r>
      <w:r>
        <w:rPr>
          <w:rFonts w:hint="eastAsia" w:ascii="仿宋" w:hAnsi="仿宋" w:eastAsia="仿宋"/>
          <w:sz w:val="28"/>
          <w:szCs w:val="28"/>
        </w:rPr>
        <w:t>,</w:t>
      </w:r>
      <w:r>
        <w:rPr>
          <w:rFonts w:hint="eastAsia" w:ascii="仿宋" w:hAnsi="仿宋" w:eastAsia="仿宋"/>
          <w:sz w:val="28"/>
          <w:szCs w:val="28"/>
          <w:lang w:val="zh-CN"/>
        </w:rPr>
        <w:t>573.41万元（人员经费</w:t>
      </w:r>
      <w:r>
        <w:rPr>
          <w:rFonts w:ascii="仿宋" w:hAnsi="仿宋" w:eastAsia="仿宋"/>
          <w:sz w:val="28"/>
          <w:szCs w:val="28"/>
          <w:lang w:val="zh-CN"/>
        </w:rPr>
        <w:t>支出</w:t>
      </w:r>
      <w:r>
        <w:rPr>
          <w:rFonts w:hint="eastAsia" w:ascii="仿宋" w:hAnsi="仿宋" w:eastAsia="仿宋"/>
          <w:sz w:val="28"/>
          <w:szCs w:val="28"/>
          <w:lang w:val="zh-CN"/>
        </w:rPr>
        <w:t>834</w:t>
      </w:r>
      <w:r>
        <w:rPr>
          <w:rFonts w:hint="eastAsia" w:ascii="仿宋" w:hAnsi="仿宋" w:eastAsia="仿宋"/>
          <w:sz w:val="28"/>
          <w:szCs w:val="28"/>
        </w:rPr>
        <w:t>.</w:t>
      </w:r>
      <w:r>
        <w:rPr>
          <w:rFonts w:hint="eastAsia" w:ascii="仿宋" w:hAnsi="仿宋" w:eastAsia="仿宋"/>
          <w:sz w:val="28"/>
          <w:szCs w:val="28"/>
          <w:lang w:val="zh-CN"/>
        </w:rPr>
        <w:t>9</w:t>
      </w:r>
      <w:r>
        <w:rPr>
          <w:rFonts w:hint="eastAsia" w:ascii="仿宋" w:hAnsi="仿宋" w:eastAsia="仿宋"/>
          <w:sz w:val="28"/>
          <w:szCs w:val="28"/>
        </w:rPr>
        <w:t>7</w:t>
      </w:r>
      <w:r>
        <w:rPr>
          <w:rFonts w:ascii="仿宋" w:hAnsi="仿宋" w:eastAsia="仿宋"/>
          <w:sz w:val="28"/>
          <w:szCs w:val="28"/>
          <w:lang w:val="zh-CN"/>
        </w:rPr>
        <w:t>万元、</w:t>
      </w:r>
      <w:r>
        <w:rPr>
          <w:rFonts w:hint="eastAsia" w:ascii="仿宋" w:hAnsi="仿宋" w:eastAsia="仿宋"/>
          <w:sz w:val="28"/>
          <w:szCs w:val="28"/>
          <w:lang w:val="zh-CN"/>
        </w:rPr>
        <w:t>日常公用经费</w:t>
      </w:r>
      <w:r>
        <w:rPr>
          <w:rFonts w:ascii="仿宋" w:hAnsi="仿宋" w:eastAsia="仿宋"/>
          <w:sz w:val="28"/>
          <w:szCs w:val="28"/>
          <w:lang w:val="zh-CN"/>
        </w:rPr>
        <w:t>支出</w:t>
      </w:r>
      <w:r>
        <w:rPr>
          <w:rFonts w:hint="eastAsia" w:ascii="仿宋" w:hAnsi="仿宋" w:eastAsia="仿宋"/>
          <w:sz w:val="28"/>
          <w:szCs w:val="28"/>
          <w:lang w:val="zh-CN"/>
        </w:rPr>
        <w:t>738</w:t>
      </w:r>
      <w:r>
        <w:rPr>
          <w:rFonts w:hint="eastAsia" w:ascii="仿宋" w:hAnsi="仿宋" w:eastAsia="仿宋"/>
          <w:sz w:val="28"/>
          <w:szCs w:val="28"/>
        </w:rPr>
        <w:t>.</w:t>
      </w:r>
      <w:r>
        <w:rPr>
          <w:rFonts w:hint="eastAsia" w:ascii="仿宋" w:hAnsi="仿宋" w:eastAsia="仿宋"/>
          <w:sz w:val="28"/>
          <w:szCs w:val="28"/>
          <w:lang w:val="zh-CN"/>
        </w:rPr>
        <w:t>4</w:t>
      </w:r>
      <w:r>
        <w:rPr>
          <w:rFonts w:hint="eastAsia" w:ascii="仿宋" w:hAnsi="仿宋" w:eastAsia="仿宋"/>
          <w:sz w:val="28"/>
          <w:szCs w:val="28"/>
        </w:rPr>
        <w:t>4</w:t>
      </w:r>
      <w:r>
        <w:rPr>
          <w:rFonts w:ascii="仿宋" w:hAnsi="仿宋" w:eastAsia="仿宋"/>
          <w:sz w:val="28"/>
          <w:szCs w:val="28"/>
          <w:lang w:val="zh-CN"/>
        </w:rPr>
        <w:t>万元</w:t>
      </w:r>
      <w:r>
        <w:rPr>
          <w:rFonts w:hint="eastAsia" w:ascii="仿宋" w:hAnsi="仿宋" w:eastAsia="仿宋"/>
          <w:sz w:val="28"/>
          <w:szCs w:val="28"/>
          <w:lang w:val="zh-CN"/>
        </w:rPr>
        <w:t>），项目</w:t>
      </w:r>
      <w:r>
        <w:rPr>
          <w:rFonts w:ascii="仿宋" w:hAnsi="仿宋" w:eastAsia="仿宋"/>
          <w:sz w:val="28"/>
          <w:szCs w:val="28"/>
          <w:lang w:val="zh-CN"/>
        </w:rPr>
        <w:t>支出</w:t>
      </w:r>
      <w:r>
        <w:rPr>
          <w:rFonts w:hint="eastAsia" w:ascii="仿宋" w:hAnsi="仿宋" w:eastAsia="仿宋"/>
          <w:sz w:val="28"/>
          <w:szCs w:val="28"/>
          <w:lang w:val="zh-CN"/>
        </w:rPr>
        <w:t>1</w:t>
      </w:r>
      <w:r>
        <w:rPr>
          <w:rFonts w:hint="eastAsia" w:ascii="仿宋" w:hAnsi="仿宋" w:eastAsia="仿宋"/>
          <w:sz w:val="28"/>
          <w:szCs w:val="28"/>
        </w:rPr>
        <w:t>,</w:t>
      </w:r>
      <w:r>
        <w:rPr>
          <w:rFonts w:hint="eastAsia" w:ascii="仿宋" w:hAnsi="仿宋" w:eastAsia="仿宋"/>
          <w:sz w:val="28"/>
          <w:szCs w:val="28"/>
          <w:lang w:val="zh-CN"/>
        </w:rPr>
        <w:t>287</w:t>
      </w:r>
      <w:r>
        <w:rPr>
          <w:rFonts w:hint="eastAsia" w:ascii="仿宋" w:hAnsi="仿宋" w:eastAsia="仿宋"/>
          <w:sz w:val="28"/>
          <w:szCs w:val="28"/>
        </w:rPr>
        <w:t>.</w:t>
      </w:r>
      <w:r>
        <w:rPr>
          <w:rFonts w:hint="eastAsia" w:ascii="仿宋" w:hAnsi="仿宋" w:eastAsia="仿宋"/>
          <w:sz w:val="28"/>
          <w:szCs w:val="28"/>
          <w:lang w:val="zh-CN"/>
        </w:rPr>
        <w:t>4</w:t>
      </w:r>
      <w:r>
        <w:rPr>
          <w:rFonts w:hint="eastAsia" w:ascii="仿宋" w:hAnsi="仿宋" w:eastAsia="仿宋"/>
          <w:sz w:val="28"/>
          <w:szCs w:val="28"/>
        </w:rPr>
        <w:t>8</w:t>
      </w:r>
      <w:r>
        <w:rPr>
          <w:rFonts w:ascii="仿宋" w:hAnsi="仿宋" w:eastAsia="仿宋"/>
          <w:sz w:val="28"/>
          <w:szCs w:val="28"/>
          <w:lang w:val="zh-CN"/>
        </w:rPr>
        <w:t>万元</w:t>
      </w:r>
      <w:r>
        <w:rPr>
          <w:rFonts w:hint="eastAsia" w:ascii="仿宋" w:hAnsi="仿宋" w:eastAsia="仿宋"/>
          <w:sz w:val="28"/>
          <w:szCs w:val="28"/>
          <w:lang w:val="zh-CN"/>
        </w:rPr>
        <w:t>。</w:t>
      </w:r>
    </w:p>
    <w:p>
      <w:pPr>
        <w:spacing w:line="520" w:lineRule="exact"/>
        <w:ind w:firstLine="560" w:firstLineChars="200"/>
        <w:contextualSpacing/>
        <w:rPr>
          <w:rFonts w:ascii="仿宋" w:hAnsi="仿宋" w:eastAsia="仿宋" w:cs="仿宋"/>
          <w:sz w:val="28"/>
          <w:szCs w:val="28"/>
        </w:rPr>
      </w:pPr>
      <w:r>
        <w:rPr>
          <w:rFonts w:hint="eastAsia" w:ascii="仿宋" w:hAnsi="仿宋" w:eastAsia="仿宋" w:cs="仿宋"/>
          <w:sz w:val="28"/>
          <w:szCs w:val="28"/>
        </w:rPr>
        <w:t xml:space="preserve">二、评价结论及绩效分析： </w:t>
      </w:r>
    </w:p>
    <w:p>
      <w:pPr>
        <w:spacing w:line="520" w:lineRule="exact"/>
        <w:ind w:firstLine="280" w:firstLineChars="100"/>
        <w:rPr>
          <w:rFonts w:ascii="仿宋" w:hAnsi="仿宋" w:eastAsia="仿宋" w:cs="仿宋"/>
          <w:color w:val="000000"/>
          <w:sz w:val="28"/>
          <w:szCs w:val="28"/>
        </w:rPr>
      </w:pPr>
      <w:r>
        <w:rPr>
          <w:rFonts w:hint="eastAsia" w:ascii="仿宋" w:hAnsi="仿宋" w:eastAsia="仿宋" w:cs="仿宋"/>
          <w:color w:val="000000"/>
          <w:sz w:val="28"/>
          <w:szCs w:val="28"/>
        </w:rPr>
        <w:t>（一）评价结论</w:t>
      </w:r>
    </w:p>
    <w:p>
      <w:pPr>
        <w:topLinePunct/>
        <w:spacing w:line="520" w:lineRule="exact"/>
        <w:ind w:firstLine="560" w:firstLineChars="200"/>
        <w:rPr>
          <w:rFonts w:ascii="仿宋_GB2312" w:hAnsi="仿宋_GB2312" w:eastAsia="仿宋_GB2312" w:cs="仿宋_GB2312"/>
          <w:color w:val="000000"/>
          <w:sz w:val="28"/>
          <w:szCs w:val="28"/>
        </w:rPr>
      </w:pPr>
      <w:r>
        <w:rPr>
          <w:rFonts w:hint="eastAsia" w:ascii="仿宋" w:hAnsi="仿宋" w:eastAsia="仿宋" w:cs="仿宋"/>
          <w:color w:val="000000"/>
          <w:sz w:val="28"/>
          <w:szCs w:val="28"/>
        </w:rPr>
        <w:t>1.评价结果</w:t>
      </w:r>
      <w:r>
        <w:rPr>
          <w:rFonts w:hint="eastAsia" w:ascii="仿宋_GB2312" w:hAnsi="仿宋_GB2312" w:eastAsia="仿宋_GB2312" w:cs="仿宋_GB2312"/>
          <w:color w:val="000000"/>
          <w:sz w:val="28"/>
          <w:szCs w:val="28"/>
        </w:rPr>
        <w:t>。</w:t>
      </w:r>
    </w:p>
    <w:p>
      <w:pPr>
        <w:topLinePunct/>
        <w:spacing w:line="440" w:lineRule="exact"/>
        <w:ind w:firstLine="560" w:firstLineChars="200"/>
        <w:jc w:val="left"/>
        <w:rPr>
          <w:rFonts w:ascii="仿宋" w:hAnsi="仿宋" w:eastAsia="仿宋" w:cs="仿宋"/>
          <w:color w:val="000000"/>
          <w:sz w:val="28"/>
          <w:szCs w:val="28"/>
        </w:rPr>
      </w:pPr>
      <w:r>
        <w:rPr>
          <w:rFonts w:hint="eastAsia" w:ascii="仿宋" w:hAnsi="仿宋" w:eastAsia="仿宋" w:cs="仿宋"/>
          <w:color w:val="000000"/>
          <w:sz w:val="28"/>
          <w:szCs w:val="28"/>
        </w:rPr>
        <w:t>盘龙区人民政府东华街道办事处2019年度整体部门评价得分99分，评价结果为优。</w:t>
      </w:r>
    </w:p>
    <w:p>
      <w:pPr>
        <w:topLinePunct/>
        <w:spacing w:line="52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2.主要绩效。</w:t>
      </w:r>
    </w:p>
    <w:p>
      <w:pPr>
        <w:topLinePunct/>
        <w:spacing w:line="440" w:lineRule="exact"/>
        <w:ind w:firstLine="560" w:firstLineChars="200"/>
        <w:jc w:val="left"/>
        <w:rPr>
          <w:rFonts w:ascii="仿宋" w:hAnsi="仿宋" w:eastAsia="仿宋" w:cs="仿宋"/>
          <w:color w:val="000000"/>
          <w:sz w:val="28"/>
          <w:szCs w:val="28"/>
        </w:rPr>
      </w:pPr>
      <w:r>
        <w:rPr>
          <w:rFonts w:hint="eastAsia" w:ascii="仿宋" w:hAnsi="仿宋" w:eastAsia="仿宋" w:cs="仿宋"/>
          <w:color w:val="000000"/>
          <w:sz w:val="28"/>
          <w:szCs w:val="28"/>
        </w:rPr>
        <w:t>（1）经济工作稳中求进。</w:t>
      </w:r>
    </w:p>
    <w:p>
      <w:pPr>
        <w:topLinePunct/>
        <w:spacing w:line="440" w:lineRule="exact"/>
        <w:ind w:firstLine="560" w:firstLineChars="200"/>
        <w:jc w:val="left"/>
        <w:rPr>
          <w:rFonts w:ascii="仿宋" w:hAnsi="仿宋" w:eastAsia="仿宋" w:cs="仿宋"/>
          <w:color w:val="000000"/>
          <w:sz w:val="28"/>
          <w:szCs w:val="28"/>
        </w:rPr>
      </w:pPr>
      <w:r>
        <w:rPr>
          <w:rFonts w:hint="eastAsia" w:ascii="仿宋" w:hAnsi="仿宋" w:eastAsia="仿宋" w:cs="仿宋"/>
          <w:color w:val="000000"/>
          <w:sz w:val="28"/>
          <w:szCs w:val="28"/>
        </w:rPr>
        <w:t>（2）项目建设扎实推进。</w:t>
      </w:r>
    </w:p>
    <w:p>
      <w:pPr>
        <w:topLinePunct/>
        <w:spacing w:line="440" w:lineRule="exact"/>
        <w:ind w:firstLine="560" w:firstLineChars="200"/>
        <w:jc w:val="left"/>
        <w:rPr>
          <w:rFonts w:ascii="仿宋" w:hAnsi="仿宋" w:eastAsia="仿宋" w:cs="仿宋"/>
          <w:color w:val="000000"/>
          <w:sz w:val="28"/>
          <w:szCs w:val="28"/>
        </w:rPr>
      </w:pPr>
      <w:r>
        <w:rPr>
          <w:rFonts w:hint="eastAsia" w:ascii="仿宋" w:hAnsi="仿宋" w:eastAsia="仿宋" w:cs="仿宋"/>
          <w:color w:val="000000"/>
          <w:sz w:val="28"/>
          <w:szCs w:val="28"/>
        </w:rPr>
        <w:t>（3）</w:t>
      </w:r>
      <w:r>
        <w:rPr>
          <w:rFonts w:hint="eastAsia" w:ascii="仿宋" w:hAnsi="仿宋" w:eastAsia="仿宋" w:cs="仿宋"/>
          <w:color w:val="313131"/>
          <w:kern w:val="0"/>
          <w:sz w:val="28"/>
          <w:szCs w:val="28"/>
        </w:rPr>
        <w:t>社会管理创新工作</w:t>
      </w:r>
      <w:r>
        <w:rPr>
          <w:rFonts w:hint="eastAsia" w:ascii="仿宋" w:hAnsi="仿宋" w:eastAsia="仿宋" w:cs="仿宋"/>
          <w:color w:val="000000"/>
          <w:sz w:val="28"/>
          <w:szCs w:val="28"/>
        </w:rPr>
        <w:t>不断加强。</w:t>
      </w:r>
    </w:p>
    <w:p>
      <w:pPr>
        <w:topLinePunct/>
        <w:spacing w:line="440" w:lineRule="exact"/>
        <w:ind w:firstLine="560" w:firstLineChars="200"/>
        <w:jc w:val="left"/>
        <w:rPr>
          <w:rFonts w:ascii="仿宋" w:hAnsi="仿宋" w:eastAsia="仿宋" w:cs="仿宋"/>
          <w:color w:val="313131"/>
          <w:kern w:val="0"/>
          <w:sz w:val="28"/>
          <w:szCs w:val="28"/>
        </w:rPr>
      </w:pPr>
      <w:r>
        <w:rPr>
          <w:rFonts w:hint="eastAsia" w:ascii="仿宋" w:hAnsi="仿宋" w:eastAsia="仿宋" w:cs="仿宋"/>
          <w:color w:val="000000"/>
          <w:sz w:val="28"/>
          <w:szCs w:val="28"/>
        </w:rPr>
        <w:t>（4）</w:t>
      </w:r>
      <w:r>
        <w:rPr>
          <w:rFonts w:hint="eastAsia" w:ascii="仿宋" w:hAnsi="仿宋" w:eastAsia="仿宋" w:cs="仿宋"/>
          <w:color w:val="313131"/>
          <w:kern w:val="0"/>
          <w:sz w:val="28"/>
          <w:szCs w:val="28"/>
        </w:rPr>
        <w:t>辖区人居环境显著提升。</w:t>
      </w:r>
    </w:p>
    <w:p>
      <w:pPr>
        <w:topLinePunct/>
        <w:spacing w:line="440" w:lineRule="exact"/>
        <w:ind w:firstLine="560" w:firstLineChars="200"/>
        <w:jc w:val="left"/>
        <w:rPr>
          <w:rFonts w:ascii="仿宋" w:hAnsi="仿宋" w:eastAsia="仿宋" w:cs="仿宋"/>
          <w:color w:val="313131"/>
          <w:sz w:val="28"/>
          <w:szCs w:val="28"/>
        </w:rPr>
      </w:pPr>
      <w:r>
        <w:rPr>
          <w:rFonts w:hint="eastAsia" w:ascii="仿宋" w:hAnsi="仿宋" w:eastAsia="仿宋" w:cs="仿宋"/>
          <w:color w:val="313131"/>
          <w:kern w:val="0"/>
          <w:sz w:val="28"/>
          <w:szCs w:val="28"/>
        </w:rPr>
        <w:t>（5）</w:t>
      </w:r>
      <w:r>
        <w:rPr>
          <w:rFonts w:hint="eastAsia" w:ascii="仿宋" w:hAnsi="仿宋" w:eastAsia="仿宋" w:cs="仿宋"/>
          <w:color w:val="313131"/>
          <w:sz w:val="28"/>
          <w:szCs w:val="28"/>
        </w:rPr>
        <w:t>坚定不移增进百姓福祉。</w:t>
      </w:r>
    </w:p>
    <w:p>
      <w:pPr>
        <w:topLinePunct/>
        <w:spacing w:line="440" w:lineRule="exact"/>
        <w:ind w:firstLine="560" w:firstLineChars="200"/>
        <w:jc w:val="left"/>
        <w:rPr>
          <w:rFonts w:asciiTheme="minorEastAsia" w:hAnsiTheme="minorEastAsia" w:eastAsiaTheme="minorEastAsia" w:cstheme="minorEastAsia"/>
          <w:color w:val="313131"/>
          <w:kern w:val="0"/>
          <w:sz w:val="28"/>
          <w:szCs w:val="28"/>
        </w:rPr>
      </w:pPr>
      <w:r>
        <w:rPr>
          <w:rFonts w:hint="eastAsia" w:ascii="仿宋" w:hAnsi="仿宋" w:eastAsia="仿宋" w:cs="仿宋"/>
          <w:color w:val="313131"/>
          <w:kern w:val="0"/>
          <w:sz w:val="28"/>
          <w:szCs w:val="28"/>
        </w:rPr>
        <w:t>（6）凝心聚力优化社会环境</w:t>
      </w:r>
      <w:r>
        <w:rPr>
          <w:rFonts w:hint="eastAsia" w:asciiTheme="minorEastAsia" w:hAnsiTheme="minorEastAsia" w:eastAsiaTheme="minorEastAsia" w:cstheme="minorEastAsia"/>
          <w:color w:val="313131"/>
          <w:kern w:val="0"/>
          <w:sz w:val="28"/>
          <w:szCs w:val="28"/>
        </w:rPr>
        <w:t>。</w:t>
      </w:r>
    </w:p>
    <w:p>
      <w:pPr>
        <w:topLinePunct/>
        <w:spacing w:line="52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（二）具体绩效分析。</w:t>
      </w:r>
    </w:p>
    <w:p>
      <w:pPr>
        <w:topLinePunct/>
        <w:spacing w:line="52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根据指标评价结果显示，盘龙区人民政府东华街道办事处在绩效指标明确性方面存在不足，其他指标得分均为满分。</w:t>
      </w:r>
    </w:p>
    <w:p>
      <w:pPr>
        <w:topLinePunct/>
        <w:spacing w:line="52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A1部门目标指标满分12分，得分11分，扣分项在A15绩效指标明确性方面。绩效指标明确性满分3分，得分2分。根据部门年度重点工作任务与工作计划，绩效目标申报表分析结果，预算绩效指标不够量化细化，得分2分。</w:t>
      </w:r>
    </w:p>
    <w:p>
      <w:pPr>
        <w:topLinePunct/>
        <w:spacing w:line="520" w:lineRule="exact"/>
        <w:ind w:firstLine="560" w:firstLineChars="200"/>
        <w:rPr>
          <w:rFonts w:ascii="仿宋" w:hAnsi="仿宋" w:eastAsia="仿宋"/>
          <w:sz w:val="28"/>
          <w:szCs w:val="28"/>
          <w:lang w:val="zh-CN"/>
        </w:rPr>
      </w:pPr>
      <w:r>
        <w:rPr>
          <w:rFonts w:ascii="仿宋" w:hAnsi="仿宋" w:eastAsia="仿宋"/>
          <w:sz w:val="28"/>
          <w:szCs w:val="28"/>
          <w:lang w:val="zh-CN"/>
        </w:rPr>
        <w:t>具体得分情况</w:t>
      </w:r>
      <w:r>
        <w:rPr>
          <w:rFonts w:hint="eastAsia" w:ascii="仿宋" w:hAnsi="仿宋" w:eastAsia="仿宋"/>
          <w:sz w:val="28"/>
          <w:szCs w:val="28"/>
          <w:lang w:val="zh-CN"/>
        </w:rPr>
        <w:t>，</w:t>
      </w:r>
      <w:r>
        <w:rPr>
          <w:rFonts w:ascii="仿宋" w:hAnsi="仿宋" w:eastAsia="仿宋"/>
          <w:sz w:val="28"/>
          <w:szCs w:val="28"/>
          <w:lang w:val="zh-CN"/>
        </w:rPr>
        <w:t>详见附件</w:t>
      </w:r>
      <w:r>
        <w:rPr>
          <w:rFonts w:hint="eastAsia" w:ascii="仿宋" w:hAnsi="仿宋" w:eastAsia="仿宋"/>
          <w:sz w:val="28"/>
          <w:szCs w:val="28"/>
          <w:lang w:val="zh-CN"/>
        </w:rPr>
        <w:t>3。</w:t>
      </w:r>
    </w:p>
    <w:p>
      <w:pPr>
        <w:spacing w:line="520" w:lineRule="exact"/>
        <w:ind w:firstLine="560" w:firstLineChars="200"/>
        <w:jc w:val="left"/>
        <w:rPr>
          <w:rFonts w:ascii="黑体" w:hAnsi="黑体" w:eastAsia="黑体"/>
          <w:sz w:val="28"/>
          <w:szCs w:val="28"/>
        </w:rPr>
      </w:pPr>
      <w:r>
        <w:rPr>
          <w:rFonts w:hint="eastAsia" w:ascii="黑体" w:hAnsi="黑体" w:eastAsia="黑体"/>
          <w:sz w:val="28"/>
          <w:szCs w:val="28"/>
        </w:rPr>
        <w:t>三、经验、问题和建议</w:t>
      </w:r>
    </w:p>
    <w:p>
      <w:pPr>
        <w:topLinePunct/>
        <w:spacing w:line="520" w:lineRule="exact"/>
        <w:ind w:firstLine="560" w:firstLineChars="200"/>
        <w:rPr>
          <w:rFonts w:ascii="仿宋" w:hAnsi="仿宋" w:eastAsia="仿宋"/>
          <w:sz w:val="28"/>
          <w:szCs w:val="28"/>
          <w:lang w:val="zh-CN"/>
        </w:rPr>
      </w:pPr>
      <w:r>
        <w:rPr>
          <w:rFonts w:hint="eastAsia" w:ascii="仿宋" w:hAnsi="仿宋" w:eastAsia="仿宋"/>
          <w:sz w:val="28"/>
          <w:szCs w:val="28"/>
          <w:lang w:val="zh-CN"/>
        </w:rPr>
        <w:t>1.经验：</w:t>
      </w:r>
    </w:p>
    <w:p>
      <w:pPr>
        <w:topLinePunct/>
        <w:spacing w:line="520" w:lineRule="exact"/>
        <w:ind w:firstLine="560" w:firstLineChars="200"/>
        <w:rPr>
          <w:rFonts w:ascii="仿宋" w:hAnsi="仿宋" w:eastAsia="仿宋"/>
          <w:sz w:val="28"/>
          <w:szCs w:val="28"/>
          <w:lang w:val="zh-CN"/>
        </w:rPr>
      </w:pPr>
      <w:r>
        <w:rPr>
          <w:rFonts w:hint="eastAsia" w:ascii="仿宋" w:hAnsi="仿宋" w:eastAsia="仿宋"/>
          <w:sz w:val="28"/>
          <w:szCs w:val="28"/>
          <w:lang w:val="zh-CN"/>
        </w:rPr>
        <w:t>东华街道办事处在区委、区政府的坚强领导下，在区人大、政协的关心支持下，深入学习贯彻党的十九大精神、习近平新时代中国特色社会主义思想，对照区第十一次党代会、区委十一届六次全会、区委十一届七次全会和区</w:t>
      </w:r>
      <w:r>
        <w:rPr>
          <w:rFonts w:hint="eastAsia" w:ascii="仿宋" w:hAnsi="仿宋" w:eastAsia="仿宋"/>
          <w:sz w:val="28"/>
          <w:szCs w:val="28"/>
        </w:rPr>
        <w:t>第十六届人代会第三次会议</w:t>
      </w:r>
      <w:r>
        <w:rPr>
          <w:rFonts w:hint="eastAsia" w:ascii="仿宋" w:hAnsi="仿宋" w:eastAsia="仿宋"/>
          <w:sz w:val="28"/>
          <w:szCs w:val="28"/>
          <w:lang w:val="zh-CN"/>
        </w:rPr>
        <w:t>确定的各项目标任务，紧紧围绕区委、区政府各项工作安排部署，开拓进取，攻坚克难，抢抓机遇，创新实干，扎实推进办事处各项工作，实现辖区经济和社会各项事业的又好又快发展。</w:t>
      </w:r>
    </w:p>
    <w:p>
      <w:pPr>
        <w:topLinePunct/>
        <w:spacing w:line="520" w:lineRule="exact"/>
        <w:ind w:firstLine="560" w:firstLineChars="200"/>
        <w:rPr>
          <w:rFonts w:ascii="仿宋" w:hAnsi="仿宋" w:eastAsia="仿宋"/>
          <w:sz w:val="28"/>
          <w:szCs w:val="28"/>
          <w:lang w:val="zh-CN"/>
        </w:rPr>
      </w:pPr>
      <w:r>
        <w:rPr>
          <w:rFonts w:hint="eastAsia" w:ascii="仿宋" w:hAnsi="仿宋" w:eastAsia="仿宋"/>
          <w:sz w:val="28"/>
          <w:szCs w:val="28"/>
          <w:lang w:val="zh-CN"/>
        </w:rPr>
        <w:t>2.存在的问题</w:t>
      </w:r>
    </w:p>
    <w:p>
      <w:pPr>
        <w:tabs>
          <w:tab w:val="center" w:pos="4436"/>
        </w:tabs>
        <w:topLinePunct/>
        <w:spacing w:line="520" w:lineRule="exact"/>
        <w:ind w:firstLine="560" w:firstLineChars="200"/>
        <w:rPr>
          <w:rFonts w:ascii="仿宋" w:hAnsi="仿宋" w:eastAsia="仿宋"/>
          <w:sz w:val="28"/>
          <w:szCs w:val="28"/>
          <w:lang w:val="zh-CN"/>
        </w:rPr>
      </w:pPr>
      <w:r>
        <w:rPr>
          <w:rFonts w:hint="eastAsia" w:ascii="仿宋" w:hAnsi="仿宋" w:eastAsia="仿宋"/>
          <w:sz w:val="28"/>
          <w:szCs w:val="28"/>
          <w:lang w:val="zh-CN"/>
        </w:rPr>
        <w:t>（</w:t>
      </w:r>
      <w:r>
        <w:rPr>
          <w:rFonts w:hint="eastAsia" w:ascii="仿宋" w:hAnsi="仿宋" w:eastAsia="仿宋"/>
          <w:sz w:val="28"/>
          <w:szCs w:val="28"/>
        </w:rPr>
        <w:t>1</w:t>
      </w:r>
      <w:r>
        <w:rPr>
          <w:rFonts w:hint="eastAsia" w:ascii="仿宋" w:hAnsi="仿宋" w:eastAsia="仿宋"/>
          <w:sz w:val="28"/>
          <w:szCs w:val="28"/>
          <w:lang w:val="zh-CN"/>
        </w:rPr>
        <w:t>）仍然存在部分工程项目停工及资金困难的情况，造成延期交付使用，及各种矛盾易发多发，由此带来较大的维稳压力。</w:t>
      </w:r>
    </w:p>
    <w:p>
      <w:pPr>
        <w:tabs>
          <w:tab w:val="center" w:pos="4436"/>
        </w:tabs>
        <w:topLinePunct/>
        <w:spacing w:line="520" w:lineRule="exact"/>
        <w:ind w:firstLine="560" w:firstLineChars="200"/>
        <w:rPr>
          <w:rFonts w:ascii="仿宋" w:hAnsi="仿宋" w:eastAsia="仿宋"/>
          <w:sz w:val="28"/>
          <w:szCs w:val="28"/>
          <w:lang w:val="zh-CN"/>
        </w:rPr>
      </w:pPr>
      <w:r>
        <w:rPr>
          <w:rFonts w:hint="eastAsia" w:ascii="仿宋" w:hAnsi="仿宋" w:eastAsia="仿宋"/>
          <w:sz w:val="28"/>
          <w:szCs w:val="28"/>
          <w:lang w:val="zh-CN"/>
        </w:rPr>
        <w:t>（</w:t>
      </w:r>
      <w:r>
        <w:rPr>
          <w:rFonts w:hint="eastAsia" w:ascii="仿宋" w:hAnsi="仿宋" w:eastAsia="仿宋"/>
          <w:sz w:val="28"/>
          <w:szCs w:val="28"/>
        </w:rPr>
        <w:t>2</w:t>
      </w:r>
      <w:r>
        <w:rPr>
          <w:rFonts w:hint="eastAsia" w:ascii="仿宋" w:hAnsi="仿宋" w:eastAsia="仿宋"/>
          <w:sz w:val="28"/>
          <w:szCs w:val="28"/>
          <w:lang w:val="zh-CN"/>
        </w:rPr>
        <w:t>）街道辖区老旧居民区居多，民生工作任务量大，涉及的群体范围广，热点的民生问题如就业、居家养老、老旧居民小区管理、小区停车难等问题较为突出，因此民生保障工作压力较大。</w:t>
      </w:r>
    </w:p>
    <w:p>
      <w:pPr>
        <w:tabs>
          <w:tab w:val="center" w:pos="4436"/>
        </w:tabs>
        <w:topLinePunct/>
        <w:spacing w:line="520" w:lineRule="exact"/>
        <w:ind w:firstLine="560" w:firstLineChars="200"/>
        <w:rPr>
          <w:rFonts w:ascii="仿宋" w:hAnsi="仿宋" w:eastAsia="仿宋"/>
          <w:sz w:val="28"/>
          <w:szCs w:val="28"/>
        </w:rPr>
      </w:pPr>
      <w:r>
        <w:rPr>
          <w:rFonts w:hint="eastAsia" w:ascii="仿宋" w:hAnsi="仿宋" w:eastAsia="仿宋"/>
          <w:sz w:val="28"/>
          <w:szCs w:val="28"/>
          <w:lang w:val="zh-CN"/>
        </w:rPr>
        <w:t>（</w:t>
      </w:r>
      <w:r>
        <w:rPr>
          <w:rFonts w:hint="eastAsia" w:ascii="仿宋" w:hAnsi="仿宋" w:eastAsia="仿宋"/>
          <w:sz w:val="28"/>
          <w:szCs w:val="28"/>
        </w:rPr>
        <w:t>3）东华街道办在经历大开发后，</w:t>
      </w:r>
      <w:r>
        <w:rPr>
          <w:rFonts w:hint="eastAsia" w:ascii="仿宋" w:hAnsi="仿宋" w:eastAsia="仿宋"/>
          <w:sz w:val="28"/>
          <w:szCs w:val="28"/>
          <w:lang w:val="zh-CN"/>
        </w:rPr>
        <w:t>辖区内基本没有可供开发建设的土地，只剩下密集的居民区，存在发展空间极度受限的问题。</w:t>
      </w:r>
    </w:p>
    <w:p>
      <w:pPr>
        <w:tabs>
          <w:tab w:val="center" w:pos="4436"/>
        </w:tabs>
        <w:topLinePunct/>
        <w:spacing w:line="520" w:lineRule="exact"/>
        <w:ind w:firstLine="560" w:firstLineChars="200"/>
        <w:rPr>
          <w:rFonts w:ascii="仿宋" w:hAnsi="仿宋" w:eastAsia="仿宋"/>
          <w:sz w:val="28"/>
          <w:szCs w:val="28"/>
          <w:lang w:val="zh-CN"/>
        </w:rPr>
      </w:pPr>
      <w:r>
        <w:rPr>
          <w:rFonts w:hint="eastAsia" w:ascii="仿宋" w:hAnsi="仿宋" w:eastAsia="仿宋"/>
          <w:sz w:val="28"/>
          <w:szCs w:val="28"/>
          <w:lang w:val="zh-CN"/>
        </w:rPr>
        <w:t>3.改进措施及建议。</w:t>
      </w:r>
      <w:r>
        <w:rPr>
          <w:rFonts w:ascii="仿宋" w:hAnsi="仿宋" w:eastAsia="仿宋"/>
          <w:sz w:val="28"/>
          <w:szCs w:val="28"/>
          <w:lang w:val="zh-CN"/>
        </w:rPr>
        <w:tab/>
      </w:r>
    </w:p>
    <w:p>
      <w:pPr>
        <w:tabs>
          <w:tab w:val="center" w:pos="4436"/>
        </w:tabs>
        <w:topLinePunct/>
        <w:spacing w:line="520" w:lineRule="exact"/>
        <w:ind w:firstLine="560" w:firstLineChars="200"/>
        <w:rPr>
          <w:rFonts w:ascii="仿宋" w:hAnsi="仿宋" w:eastAsia="仿宋"/>
          <w:sz w:val="28"/>
          <w:szCs w:val="28"/>
        </w:rPr>
      </w:pPr>
      <w:r>
        <w:rPr>
          <w:rFonts w:hint="eastAsia" w:ascii="仿宋" w:hAnsi="仿宋" w:eastAsia="仿宋"/>
          <w:sz w:val="28"/>
          <w:szCs w:val="28"/>
          <w:lang w:val="zh-CN"/>
        </w:rPr>
        <w:t>（</w:t>
      </w:r>
      <w:r>
        <w:rPr>
          <w:rFonts w:hint="eastAsia" w:ascii="仿宋" w:hAnsi="仿宋" w:eastAsia="仿宋"/>
          <w:sz w:val="28"/>
          <w:szCs w:val="28"/>
        </w:rPr>
        <w:t>1）</w:t>
      </w:r>
      <w:r>
        <w:rPr>
          <w:rFonts w:hint="eastAsia" w:ascii="仿宋" w:hAnsi="仿宋" w:eastAsia="仿宋"/>
          <w:sz w:val="28"/>
          <w:szCs w:val="28"/>
          <w:lang w:val="zh-CN"/>
        </w:rPr>
        <w:t>停工项目加快盘活。对症下药、科学施策、一项目一措施，盘活停工项目，解决遗留问题</w:t>
      </w:r>
      <w:r>
        <w:rPr>
          <w:rFonts w:hint="eastAsia" w:ascii="仿宋" w:hAnsi="仿宋" w:eastAsia="仿宋"/>
          <w:sz w:val="28"/>
          <w:szCs w:val="28"/>
        </w:rPr>
        <w:t>,</w:t>
      </w:r>
      <w:r>
        <w:rPr>
          <w:rFonts w:hint="eastAsia" w:ascii="仿宋" w:hAnsi="仿宋" w:eastAsia="仿宋"/>
          <w:sz w:val="28"/>
          <w:szCs w:val="28"/>
          <w:lang w:val="zh-CN"/>
        </w:rPr>
        <w:t>积极探索盘活新方法</w:t>
      </w:r>
      <w:r>
        <w:rPr>
          <w:rFonts w:hint="eastAsia" w:ascii="仿宋" w:hAnsi="仿宋" w:eastAsia="仿宋"/>
          <w:sz w:val="28"/>
          <w:szCs w:val="28"/>
        </w:rPr>
        <w:t>.</w:t>
      </w:r>
    </w:p>
    <w:p>
      <w:pPr>
        <w:tabs>
          <w:tab w:val="center" w:pos="4436"/>
        </w:tabs>
        <w:topLinePunct/>
        <w:spacing w:line="520" w:lineRule="exact"/>
        <w:ind w:firstLine="560" w:firstLineChars="200"/>
        <w:rPr>
          <w:rFonts w:ascii="仿宋" w:hAnsi="仿宋" w:eastAsia="仿宋"/>
          <w:sz w:val="28"/>
          <w:szCs w:val="28"/>
          <w:lang w:val="zh-CN"/>
        </w:rPr>
      </w:pPr>
      <w:r>
        <w:rPr>
          <w:rFonts w:hint="eastAsia" w:ascii="仿宋" w:hAnsi="仿宋" w:eastAsia="仿宋"/>
          <w:sz w:val="28"/>
          <w:szCs w:val="28"/>
        </w:rPr>
        <w:t>(2)结合辖区实际情况，</w:t>
      </w:r>
      <w:r>
        <w:rPr>
          <w:rFonts w:hint="eastAsia" w:ascii="仿宋" w:hAnsi="仿宋" w:eastAsia="仿宋"/>
          <w:sz w:val="28"/>
          <w:szCs w:val="28"/>
          <w:lang w:val="zh-CN"/>
        </w:rPr>
        <w:t>多渠道、多方法，引入有实力的社会投资人，做好东华老旧小区改造工作，在打造省级综治中心示范点的同时，在社会治理创新方面全面发力，较高水平完成省级综治中心示范点验收，解决好历史遗留问题，提升辖区形象，促进辖区经济发展。</w:t>
      </w:r>
    </w:p>
    <w:p>
      <w:pPr>
        <w:tabs>
          <w:tab w:val="center" w:pos="4436"/>
        </w:tabs>
        <w:topLinePunct/>
        <w:spacing w:line="520" w:lineRule="exact"/>
        <w:ind w:firstLine="560" w:firstLineChars="200"/>
        <w:rPr>
          <w:rFonts w:ascii="仿宋" w:hAnsi="仿宋" w:eastAsia="仿宋"/>
          <w:sz w:val="28"/>
          <w:szCs w:val="28"/>
        </w:rPr>
      </w:pPr>
      <w:r>
        <w:rPr>
          <w:rFonts w:hint="eastAsia" w:ascii="仿宋" w:hAnsi="仿宋" w:eastAsia="仿宋"/>
          <w:sz w:val="28"/>
          <w:szCs w:val="28"/>
          <w:lang w:val="zh-CN"/>
        </w:rPr>
        <w:t>（</w:t>
      </w:r>
      <w:r>
        <w:rPr>
          <w:rFonts w:hint="eastAsia" w:ascii="仿宋" w:hAnsi="仿宋" w:eastAsia="仿宋"/>
          <w:sz w:val="28"/>
          <w:szCs w:val="28"/>
        </w:rPr>
        <w:t>3）</w:t>
      </w:r>
      <w:r>
        <w:rPr>
          <w:rFonts w:hint="eastAsia" w:ascii="仿宋" w:hAnsi="仿宋" w:eastAsia="仿宋"/>
          <w:sz w:val="28"/>
          <w:szCs w:val="28"/>
          <w:lang w:val="zh-CN"/>
        </w:rPr>
        <w:t>发展空间受限，可以充分利用新迎新城、瑞鼎城爱琴海购物公园等在商贸服务业发展上探索新路，同时利用金平果商务大厦、霖岚国际广场、官房广场等楼宇引进“科技信息产业、文创旅游、金融机构”，做强楼宇总部经济。</w:t>
      </w:r>
    </w:p>
    <w:p>
      <w:pPr>
        <w:spacing w:line="520" w:lineRule="exact"/>
        <w:ind w:firstLine="1680" w:firstLineChars="600"/>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br w:type="page"/>
      </w:r>
      <w:r>
        <w:rPr>
          <w:rFonts w:hint="eastAsia" w:ascii="黑体" w:hAnsi="黑体" w:eastAsia="黑体"/>
          <w:sz w:val="28"/>
          <w:szCs w:val="28"/>
        </w:rPr>
        <w:t>正文：盘龙区人民政府东华街道办事处</w:t>
      </w:r>
    </w:p>
    <w:p>
      <w:pPr>
        <w:spacing w:line="520" w:lineRule="exact"/>
        <w:jc w:val="center"/>
        <w:rPr>
          <w:rFonts w:ascii="黑体" w:hAnsi="黑体" w:eastAsia="黑体"/>
          <w:sz w:val="28"/>
          <w:szCs w:val="28"/>
        </w:rPr>
      </w:pPr>
      <w:r>
        <w:rPr>
          <w:rFonts w:hint="eastAsia" w:ascii="黑体" w:hAnsi="黑体" w:eastAsia="黑体"/>
          <w:sz w:val="28"/>
          <w:szCs w:val="28"/>
        </w:rPr>
        <w:t>2019年度部门整体支出绩效评价报告</w:t>
      </w:r>
    </w:p>
    <w:p>
      <w:pPr>
        <w:topLinePunct/>
        <w:spacing w:line="520" w:lineRule="exact"/>
        <w:ind w:firstLine="525" w:firstLineChars="250"/>
        <w:rPr>
          <w:rFonts w:ascii="仿宋" w:hAnsi="仿宋" w:eastAsia="仿宋"/>
          <w:szCs w:val="32"/>
        </w:rPr>
      </w:pPr>
    </w:p>
    <w:p>
      <w:pPr>
        <w:topLinePunct/>
        <w:spacing w:line="520" w:lineRule="exact"/>
        <w:ind w:firstLine="560" w:firstLineChars="200"/>
        <w:rPr>
          <w:rFonts w:ascii="黑体" w:hAnsi="黑体" w:eastAsia="黑体"/>
          <w:sz w:val="28"/>
          <w:szCs w:val="28"/>
        </w:rPr>
      </w:pPr>
      <w:r>
        <w:rPr>
          <w:rFonts w:hint="eastAsia" w:ascii="黑体" w:hAnsi="黑体" w:eastAsia="黑体"/>
          <w:sz w:val="28"/>
          <w:szCs w:val="28"/>
        </w:rPr>
        <w:t>一、部门概况</w:t>
      </w:r>
    </w:p>
    <w:p>
      <w:pPr>
        <w:topLinePunct/>
        <w:spacing w:line="52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（一）部门机构设置、编制。</w:t>
      </w:r>
    </w:p>
    <w:p>
      <w:pPr>
        <w:snapToGrid w:val="0"/>
        <w:spacing w:line="52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盘龙区人民政府东华街道办事处本年末在职人员45人，其中：行政人员24人、非参公事业人员15人、参照公务员法管理事业人员6人；本年末退休人员35人。</w:t>
      </w:r>
    </w:p>
    <w:p>
      <w:pPr>
        <w:topLinePunct/>
        <w:spacing w:line="520" w:lineRule="exact"/>
        <w:ind w:firstLine="560" w:firstLineChars="200"/>
        <w:rPr>
          <w:rFonts w:ascii="仿宋" w:hAnsi="仿宋" w:eastAsia="仿宋" w:cs="仿宋"/>
          <w:sz w:val="28"/>
          <w:szCs w:val="28"/>
          <w:lang w:val="zh-CN"/>
        </w:rPr>
      </w:pPr>
      <w:r>
        <w:rPr>
          <w:rFonts w:hint="eastAsia" w:ascii="仿宋" w:hAnsi="仿宋" w:eastAsia="仿宋" w:cs="仿宋"/>
          <w:color w:val="000000"/>
          <w:sz w:val="28"/>
          <w:szCs w:val="28"/>
        </w:rPr>
        <w:t>部门机构：东华街道办事处下设13个职</w:t>
      </w:r>
      <w:r>
        <w:rPr>
          <w:rFonts w:hint="eastAsia" w:ascii="仿宋" w:hAnsi="仿宋" w:eastAsia="仿宋" w:cs="仿宋"/>
          <w:color w:val="000000"/>
          <w:sz w:val="28"/>
          <w:szCs w:val="28"/>
          <w:lang w:val="zh-CN"/>
        </w:rPr>
        <w:t>能科（室、所），分别为：党工委办公室、人大工委办公室、行政办公室、综治办（司法所与其合署办公）、经济发展科、社会事务科、城市管理科、统计站、劳动和社会保障所、科教文体站、计生办、安监站、食药所。</w:t>
      </w:r>
    </w:p>
    <w:p>
      <w:pPr>
        <w:topLinePunct/>
        <w:spacing w:line="52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（二）部门职能。</w:t>
      </w:r>
      <w:r>
        <w:rPr>
          <w:rFonts w:hint="eastAsia" w:ascii="仿宋" w:hAnsi="仿宋" w:eastAsia="仿宋" w:cs="仿宋"/>
          <w:sz w:val="28"/>
          <w:szCs w:val="28"/>
          <w:lang w:val="zh-CN"/>
        </w:rPr>
        <w:br w:type="textWrapping"/>
      </w:r>
      <w:r>
        <w:rPr>
          <w:rFonts w:eastAsia="仿宋_GB2312" w:cs="Calibri"/>
          <w:color w:val="000000"/>
          <w:sz w:val="28"/>
          <w:szCs w:val="28"/>
        </w:rPr>
        <w:t> </w:t>
      </w:r>
      <w:r>
        <w:rPr>
          <w:rFonts w:ascii="仿宋_GB2312" w:hAnsi="仿宋_GB2312" w:eastAsia="仿宋_GB2312" w:cs="仿宋_GB2312"/>
          <w:color w:val="000000"/>
          <w:sz w:val="28"/>
          <w:szCs w:val="28"/>
        </w:rPr>
        <w:t xml:space="preserve">  </w:t>
      </w:r>
      <w:r>
        <w:rPr>
          <w:rFonts w:hint="eastAsia" w:ascii="仿宋" w:hAnsi="仿宋" w:eastAsia="仿宋" w:cs="仿宋"/>
          <w:color w:val="000000"/>
          <w:sz w:val="28"/>
          <w:szCs w:val="28"/>
        </w:rPr>
        <w:t xml:space="preserve"> 1、宣传贯彻党的路线、方针、政策和国家的法律法规及规章，确保区委、区政府的决策、决定的贯彻落实，依法行政，履行政府派出机构的工作职责，做好辖区内的行政事务管理服务工作。</w:t>
      </w:r>
    </w:p>
    <w:p>
      <w:pPr>
        <w:topLinePunct/>
        <w:spacing w:line="52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2、制定实施街道经济和社会发展计划，组织管理街道集体经济、个体私营经济、民营经济等，大力发展街道经济和为民便民利民的社会服务事业。</w:t>
      </w:r>
    </w:p>
    <w:p>
      <w:pPr>
        <w:topLinePunct/>
        <w:spacing w:line="52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3、按照“两级政府，三级管理”的城市管理体制，强化城市管理职能，做好辖区内市容市貌、环境整治、防疫监测、防汛防震、防火安全、抢险救灾、街道绿化等工作，发挥街道在城市管理中的基础工作。</w:t>
      </w:r>
    </w:p>
    <w:p>
      <w:pPr>
        <w:topLinePunct/>
        <w:spacing w:line="52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4、开展城市社会建设，大力发展社区服务业，负责辖区群众性文化教育、体育、人口与计划生育、爱国卫生等工作，做好社会保障与救助、拥军优属、就业管理等工作，保护老人、妇女、儿童的合法权益。</w:t>
      </w:r>
    </w:p>
    <w:p>
      <w:pPr>
        <w:topLinePunct/>
        <w:spacing w:line="52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5、负责辖区社会治安治理，做好人民调节、治安保卫、违法人员帮教转化、流动人口管理、法制宣传等工作，做好安全生产、防火、防汛等工作。</w:t>
      </w:r>
    </w:p>
    <w:p>
      <w:pPr>
        <w:topLinePunct/>
        <w:spacing w:line="52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6、依法进行国防动员和兵役管理，抓好基层民兵工作。</w:t>
      </w:r>
    </w:p>
    <w:p>
      <w:pPr>
        <w:topLinePunct/>
        <w:spacing w:line="52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7、组织、管理和监督街道预算内外各项财政收支，管理街道和所属单位的国有资产，搞好街道的财源建设工作；做好街道协税护税、统计、物价等工作。</w:t>
      </w:r>
    </w:p>
    <w:p>
      <w:pPr>
        <w:pStyle w:val="5"/>
        <w:spacing w:before="0" w:beforeAutospacing="0" w:after="0" w:afterAutospacing="0" w:line="520" w:lineRule="exact"/>
        <w:ind w:firstLine="548" w:firstLineChars="196"/>
        <w:rPr>
          <w:rFonts w:ascii="仿宋" w:hAnsi="仿宋" w:eastAsia="仿宋"/>
          <w:sz w:val="28"/>
          <w:szCs w:val="28"/>
          <w:lang w:val="zh-CN"/>
        </w:rPr>
      </w:pPr>
      <w:r>
        <w:rPr>
          <w:rFonts w:hint="eastAsia" w:ascii="仿宋" w:hAnsi="仿宋" w:eastAsia="仿宋"/>
          <w:sz w:val="28"/>
          <w:szCs w:val="28"/>
          <w:lang w:val="zh-CN"/>
        </w:rPr>
        <w:t>（三）部门工作完成情况。</w:t>
      </w:r>
    </w:p>
    <w:p>
      <w:pPr>
        <w:spacing w:line="52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1、经济工作稳中求进。2019年协税护税目标任务数29534万元，1-12月完成28066万元,完成任务的95.03%；2019年招商引资目标任务数80000万元，1-12月完成85568.41万元，完成任务的107%；2019年固定资产投资目标任务数250000万元，1-12月上报完成20.0306亿元，完成任务的80.12%；2019年限额以上社会消费品零售总额，目标任务数同比增长12%，1-12月上报完成14.8572亿元，同比增长6%；2019年城镇居民人均可支配收入目标任务57653元，同比增长8%，1-12月完成58050元，完成任务数的100.69%。2019年，辖区3栋楼宇出租率：金平果商务大厦89 %，霖岚国际82%，凯悦时代79%，入驻企业共321家，税收达到9000余万元，总部企业税收达到800余万元，新增楼宇企业30余家，新增楼宇税收1000余万元。</w:t>
      </w:r>
    </w:p>
    <w:p>
      <w:pPr>
        <w:spacing w:line="52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2、项目建设取得新进展。新草房城中村改造项目完成了回迁安置房交房工作，商业新迎新城购物中心于2019年10月18日开业。周家营·石闸村城中村改造项目正在通过开展依法征收的方式对剩余2宗国有土地进行依法征收，爱琴海购物公园于2019年9月28日开业。蒋家营城中村改造项目回迁安置房已交付，2019年12月昆明市中级人民法院依法裁定通过恒圳房地产公司破产重组计划，即将转向后续全面复工。东华北区老旧住宅小区改建项目一期建成完工，正在准备二三期启动前期工作。地铁4号线东华站、5号线白云路站、穿金路站沿线地上建构筑物及附属物完成了拆除任务，目前施工单位已进场正常施工建设。</w:t>
      </w:r>
    </w:p>
    <w:p>
      <w:pPr>
        <w:spacing w:line="52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3、社会治理是国家治理的重要内容，关乎民生福祉，关乎社会和谐。东华街道历来高度重视社会治理工作，按照“一个中心，两个支点，逐步推开”的思路，继续加大社会治理创新，探索打造盘龙区社区治理工作的东华样板。一是强化政治导向，将党的建设融入社区治理始终。加强和创新社会治理工作离不开党的领导，东华街道在工作中，注重将党的领导和我国社会主义制度优势转化为社会治理优势。充分发挥社区党组织在社区治理创新中的核心作用，教育广大党员率先垂范，引导广大群众提高政治觉悟，坚定不移跟党走，推动社会治理沿着正确方向前进。如因地制宜，在辖区文汇路打造党建长廊，让走过路过的党员群众，了解党史、感知党恩，拥护党的领导。二是坚持协调导向，充分调动志愿者及志愿者队伍参与社区治理。为充分调动志愿者及志愿者队伍参与社区治理工作，探索制定《东华街道志愿者及志愿者队伍参与共建共治活动激励办法（试行）》，为参与东华社会治理工作的广大志愿者和志愿者队伍提供一定的物质奖励和精神奖励，截止目前，已有522人注册为东华街道志愿者，街道、社区共计发布活动65 次，参与人员累计315人，积攒金豆共计383颗。三是结合创建全国文明城市，对各社区综合文化服务中心进行提升改造，加强对社区班子成员、工作人员思想教育及业务工作培训，制定并完善社区考核办法，进一步加强对社区工作人员作风建设。</w:t>
      </w:r>
    </w:p>
    <w:p>
      <w:pPr>
        <w:spacing w:line="52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 xml:space="preserve">4、细管理，辖区人居环境显著提升。一是加强对辖区市容环境进行巡查及检查，督促京云盘宸公司严格落实保洁制度，确实做好辖区道路的清扫保洁和生活垃圾的清运，做到日产日清。二是扎实开展绿化管养工作，完成东华街道办事处辖区范围内“荒地硬地变绿地”600㎡、完成新迎路口的景观提升改造、完成白邑寺公园及“五个十”小游园提升改造移交、同时做好辖区绿化苗木的抗旱保苗、病虫害防治及其它日常养护项目的实施。三是加强物业管理、考核。督促物业公司按照实地测评标准配合开展创文工作，以确保物业服务小区达到创文相关标准。对环境卫生进行清理整治，清理小广告、楼道杂物、修复破损公共设施、完善物业管理等进行对标整改。四是扎实开展滇池保护治理工作，完成金汁河东华段河道清淤及河堤两岸杂草割除2.3公里，清淤量约800方，完成穿金路化机厂、轻机厂、田园路片区淹水点排水管网清淤除障，清掏排水管网2千米，清淤量约500方，合计约1300方。五是扎实开展生态环境保护工作，提高清扫保洁力度和洒水降尘频次，尤其加强对工地聚集区域的洒水降尘频次。要求保洁公司每天按合同标准完成辖区48469平方米主次道路洒水降尘和道路冲洗工作，重点是人民东路、环城东路、白龙路、穿金路、二环东路、白云路、新迎路、新兴路、文艺路等主要道路，每天共计出动人员12人，车辆4辆，用水量260吨。六是将网格化管理工作落实落细。街道划分网格35个，探索建立了“四定”（定区域、定人员、定职责、定考核）网格化管理机制，明确“五员进网”中三级网格长和五类网格员（网格监督员、社区工作人员、城管执法人员、环卫保洁人员、社区民警）工作职责，确保工作落实到人到岗，以责任的压实推动工作落地见效。                                </w:t>
      </w:r>
    </w:p>
    <w:p>
      <w:pPr>
        <w:spacing w:line="52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5、惠民生，坚定不移增进百姓福祉。一是落实好计划生育惠民政策，认真抓好计划生育家庭各种奖励优惠政策，法定奖励优惠政策兑现率100%，按时开展网上办理壹孩、二孩生育登记，并核发生育服务证，做好云南省全员人口信息平台的录入、反馈。二是建立健全东华辖区群众文体骨干队伍，充分发挥辖区文艺团体、文体资源开展文体活动及全民健身活动；三是扎实开展医疗、临时、特殊困难救助工作；四是深化为民服务工作，截止目前，街道为民服务中心、办件24583件，办结率100%，接待群众咨询38711人次；五是社会保障不断加强。做好了就业再就业、大学生就业扶持、城乡居民养老保险、城镇居民医疗保险及职工医疗保险核定、企业扶持及维护劳动者合法权益工作，切实保障群众利益；六是确实抓好退役军人服务工作。积极做好退役军人咨询服务、就业指导、创业扶持等相关准备工作。</w:t>
      </w:r>
    </w:p>
    <w:p>
      <w:pPr>
        <w:spacing w:line="52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6、抓治理，凝心聚力优化社会环境。一是落实综治维稳责任制，层层签订各类专项工作责任书，增强各级人员的责任意识。二是加大对因城中村片区拆除改造引起的矛盾的收集、研判、沟通和报送工作，及时获取涉及社会稳定的情报信息，牢牢掌握应对和处置工作的主动权。三是持续开展安全生产大检查及专项整治工作，加大安全宣传教育培训工作，不断提高全民安全意识，加强应急救援体系建设，完善各类安全生产应急救援预案，形成“横向到边，纵向到底”的应急救援系统。四是运用街道综治中心智慧平台校园及周边治理模块和夜巡队模块整合资源，汇聚各方力量，使社会治安综合治理和安全生产在线监控、在线管理、在线处置。五是全面落实好扫黑除恶工作，完善台账资料，形成工作专班，对辖区乱点进行整治。</w:t>
      </w:r>
    </w:p>
    <w:p>
      <w:pPr>
        <w:spacing w:line="52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（四）部门管理制度。</w:t>
      </w:r>
    </w:p>
    <w:p>
      <w:pPr>
        <w:spacing w:line="52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东华街道办事处根据《行政事业单位内部控制规范（试行）》（财会[2012]21号）的规定，制定了相应的内控制度，包括《内部控制基本制度》、《预算管理制度》、《政府采购管理制度》、《资产管理制度》、《收支管理制度》、《合同管理制度》、《建设项目管理制度》共七个制度。包括了单位整体层面与业务层面的内部控制，内部控制制度完善，执行情况良好。</w:t>
      </w:r>
    </w:p>
    <w:p>
      <w:pPr>
        <w:spacing w:line="520" w:lineRule="exact"/>
        <w:ind w:firstLine="560" w:firstLineChars="200"/>
        <w:rPr>
          <w:rFonts w:ascii="仿宋" w:hAnsi="仿宋" w:eastAsia="仿宋" w:cs="仿宋"/>
          <w:color w:val="000000"/>
          <w:sz w:val="28"/>
          <w:szCs w:val="28"/>
        </w:rPr>
      </w:pPr>
    </w:p>
    <w:p>
      <w:pPr>
        <w:spacing w:line="52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（五）部门资金来源及使用情况。</w:t>
      </w:r>
    </w:p>
    <w:p>
      <w:pPr>
        <w:spacing w:line="520" w:lineRule="exact"/>
        <w:ind w:firstLine="560" w:firstLineChars="200"/>
        <w:contextualSpacing/>
        <w:rPr>
          <w:rFonts w:ascii="仿宋" w:hAnsi="仿宋" w:eastAsia="仿宋"/>
          <w:sz w:val="28"/>
          <w:szCs w:val="28"/>
          <w:lang w:val="zh-CN"/>
        </w:rPr>
      </w:pPr>
      <w:r>
        <w:rPr>
          <w:rFonts w:ascii="仿宋" w:hAnsi="仿宋" w:eastAsia="仿宋"/>
          <w:sz w:val="28"/>
          <w:szCs w:val="28"/>
          <w:lang w:val="zh-CN"/>
        </w:rPr>
        <w:t>201</w:t>
      </w:r>
      <w:r>
        <w:rPr>
          <w:rFonts w:hint="eastAsia" w:ascii="仿宋" w:hAnsi="仿宋" w:eastAsia="仿宋"/>
          <w:sz w:val="28"/>
          <w:szCs w:val="28"/>
        </w:rPr>
        <w:t>9</w:t>
      </w:r>
      <w:r>
        <w:rPr>
          <w:rFonts w:ascii="仿宋" w:hAnsi="仿宋" w:eastAsia="仿宋"/>
          <w:sz w:val="28"/>
          <w:szCs w:val="28"/>
          <w:lang w:val="zh-CN"/>
        </w:rPr>
        <w:t>年总收入</w:t>
      </w:r>
      <w:r>
        <w:rPr>
          <w:rFonts w:hint="eastAsia" w:ascii="仿宋" w:hAnsi="仿宋" w:eastAsia="仿宋"/>
          <w:sz w:val="28"/>
          <w:szCs w:val="28"/>
          <w:lang w:val="zh-CN"/>
        </w:rPr>
        <w:t>2</w:t>
      </w:r>
      <w:r>
        <w:rPr>
          <w:rFonts w:hint="eastAsia" w:ascii="仿宋" w:hAnsi="仿宋" w:eastAsia="仿宋"/>
          <w:sz w:val="28"/>
          <w:szCs w:val="28"/>
        </w:rPr>
        <w:t>,</w:t>
      </w:r>
      <w:r>
        <w:rPr>
          <w:rFonts w:hint="eastAsia" w:ascii="仿宋" w:hAnsi="仿宋" w:eastAsia="仿宋"/>
          <w:sz w:val="28"/>
          <w:szCs w:val="28"/>
          <w:lang w:val="zh-CN"/>
        </w:rPr>
        <w:t>860</w:t>
      </w:r>
      <w:r>
        <w:rPr>
          <w:rFonts w:hint="eastAsia" w:ascii="仿宋" w:hAnsi="仿宋" w:eastAsia="仿宋"/>
          <w:sz w:val="28"/>
          <w:szCs w:val="28"/>
        </w:rPr>
        <w:t>.</w:t>
      </w:r>
      <w:r>
        <w:rPr>
          <w:rFonts w:hint="eastAsia" w:ascii="仿宋" w:hAnsi="仿宋" w:eastAsia="仿宋"/>
          <w:sz w:val="28"/>
          <w:szCs w:val="28"/>
          <w:lang w:val="zh-CN"/>
        </w:rPr>
        <w:t>89万元，全部来源于财政拨款收入，总支出2</w:t>
      </w:r>
      <w:r>
        <w:rPr>
          <w:rFonts w:hint="eastAsia" w:ascii="仿宋" w:hAnsi="仿宋" w:eastAsia="仿宋"/>
          <w:sz w:val="28"/>
          <w:szCs w:val="28"/>
        </w:rPr>
        <w:t>,</w:t>
      </w:r>
      <w:r>
        <w:rPr>
          <w:rFonts w:hint="eastAsia" w:ascii="仿宋" w:hAnsi="仿宋" w:eastAsia="仿宋"/>
          <w:sz w:val="28"/>
          <w:szCs w:val="28"/>
          <w:lang w:val="zh-CN"/>
        </w:rPr>
        <w:t>860</w:t>
      </w:r>
      <w:r>
        <w:rPr>
          <w:rFonts w:hint="eastAsia" w:ascii="仿宋" w:hAnsi="仿宋" w:eastAsia="仿宋"/>
          <w:sz w:val="28"/>
          <w:szCs w:val="28"/>
        </w:rPr>
        <w:t>.</w:t>
      </w:r>
      <w:r>
        <w:rPr>
          <w:rFonts w:hint="eastAsia" w:ascii="仿宋" w:hAnsi="仿宋" w:eastAsia="仿宋"/>
          <w:sz w:val="28"/>
          <w:szCs w:val="28"/>
          <w:lang w:val="zh-CN"/>
        </w:rPr>
        <w:t>89万元，结余0.00万元。</w:t>
      </w:r>
    </w:p>
    <w:p>
      <w:pPr>
        <w:spacing w:line="520" w:lineRule="exact"/>
        <w:ind w:firstLine="560" w:firstLineChars="200"/>
        <w:contextualSpacing/>
        <w:rPr>
          <w:rFonts w:ascii="仿宋" w:hAnsi="仿宋" w:eastAsia="仿宋"/>
          <w:sz w:val="28"/>
          <w:szCs w:val="28"/>
          <w:lang w:val="zh-CN"/>
        </w:rPr>
      </w:pPr>
      <w:r>
        <w:rPr>
          <w:rFonts w:ascii="仿宋" w:hAnsi="仿宋" w:eastAsia="仿宋"/>
          <w:sz w:val="28"/>
          <w:szCs w:val="28"/>
          <w:lang w:val="zh-CN"/>
        </w:rPr>
        <w:t>201</w:t>
      </w:r>
      <w:r>
        <w:rPr>
          <w:rFonts w:hint="eastAsia" w:ascii="仿宋" w:hAnsi="仿宋" w:eastAsia="仿宋"/>
          <w:sz w:val="28"/>
          <w:szCs w:val="28"/>
        </w:rPr>
        <w:t>9</w:t>
      </w:r>
      <w:r>
        <w:rPr>
          <w:rFonts w:ascii="仿宋" w:hAnsi="仿宋" w:eastAsia="仿宋"/>
          <w:sz w:val="28"/>
          <w:szCs w:val="28"/>
          <w:lang w:val="zh-CN"/>
        </w:rPr>
        <w:t>年决算总支出</w:t>
      </w:r>
      <w:r>
        <w:rPr>
          <w:rFonts w:hint="eastAsia" w:ascii="仿宋" w:hAnsi="仿宋" w:eastAsia="仿宋"/>
          <w:sz w:val="28"/>
          <w:szCs w:val="28"/>
          <w:lang w:val="zh-CN"/>
        </w:rPr>
        <w:t>2</w:t>
      </w:r>
      <w:r>
        <w:rPr>
          <w:rFonts w:hint="eastAsia" w:ascii="仿宋" w:hAnsi="仿宋" w:eastAsia="仿宋"/>
          <w:sz w:val="28"/>
          <w:szCs w:val="28"/>
        </w:rPr>
        <w:t>,</w:t>
      </w:r>
      <w:r>
        <w:rPr>
          <w:rFonts w:hint="eastAsia" w:ascii="仿宋" w:hAnsi="仿宋" w:eastAsia="仿宋"/>
          <w:sz w:val="28"/>
          <w:szCs w:val="28"/>
          <w:lang w:val="zh-CN"/>
        </w:rPr>
        <w:t>860</w:t>
      </w:r>
      <w:r>
        <w:rPr>
          <w:rFonts w:hint="eastAsia" w:ascii="仿宋" w:hAnsi="仿宋" w:eastAsia="仿宋"/>
          <w:sz w:val="28"/>
          <w:szCs w:val="28"/>
        </w:rPr>
        <w:t>.</w:t>
      </w:r>
      <w:r>
        <w:rPr>
          <w:rFonts w:hint="eastAsia" w:ascii="仿宋" w:hAnsi="仿宋" w:eastAsia="仿宋"/>
          <w:sz w:val="28"/>
          <w:szCs w:val="28"/>
          <w:lang w:val="zh-CN"/>
        </w:rPr>
        <w:t>89万元</w:t>
      </w:r>
      <w:r>
        <w:rPr>
          <w:rFonts w:ascii="仿宋" w:hAnsi="仿宋" w:eastAsia="仿宋"/>
          <w:sz w:val="28"/>
          <w:szCs w:val="28"/>
          <w:lang w:val="zh-CN"/>
        </w:rPr>
        <w:t>，其中</w:t>
      </w:r>
      <w:r>
        <w:rPr>
          <w:rFonts w:hint="eastAsia" w:ascii="仿宋" w:hAnsi="仿宋" w:eastAsia="仿宋"/>
          <w:sz w:val="28"/>
          <w:szCs w:val="28"/>
          <w:lang w:val="zh-CN"/>
        </w:rPr>
        <w:t>人员经费</w:t>
      </w:r>
      <w:r>
        <w:rPr>
          <w:rFonts w:ascii="仿宋" w:hAnsi="仿宋" w:eastAsia="仿宋"/>
          <w:sz w:val="28"/>
          <w:szCs w:val="28"/>
          <w:lang w:val="zh-CN"/>
        </w:rPr>
        <w:t>支出</w:t>
      </w:r>
      <w:r>
        <w:rPr>
          <w:rFonts w:hint="eastAsia" w:ascii="仿宋" w:hAnsi="仿宋" w:eastAsia="仿宋"/>
          <w:sz w:val="28"/>
          <w:szCs w:val="28"/>
          <w:lang w:val="zh-CN"/>
        </w:rPr>
        <w:t>834</w:t>
      </w:r>
      <w:r>
        <w:rPr>
          <w:rFonts w:hint="eastAsia" w:ascii="仿宋" w:hAnsi="仿宋" w:eastAsia="仿宋"/>
          <w:sz w:val="28"/>
          <w:szCs w:val="28"/>
        </w:rPr>
        <w:t>.</w:t>
      </w:r>
      <w:r>
        <w:rPr>
          <w:rFonts w:hint="eastAsia" w:ascii="仿宋" w:hAnsi="仿宋" w:eastAsia="仿宋"/>
          <w:sz w:val="28"/>
          <w:szCs w:val="28"/>
          <w:lang w:val="zh-CN"/>
        </w:rPr>
        <w:t>9</w:t>
      </w:r>
      <w:r>
        <w:rPr>
          <w:rFonts w:hint="eastAsia" w:ascii="仿宋" w:hAnsi="仿宋" w:eastAsia="仿宋"/>
          <w:sz w:val="28"/>
          <w:szCs w:val="28"/>
        </w:rPr>
        <w:t>7</w:t>
      </w:r>
      <w:r>
        <w:rPr>
          <w:rFonts w:ascii="仿宋" w:hAnsi="仿宋" w:eastAsia="仿宋"/>
          <w:sz w:val="28"/>
          <w:szCs w:val="28"/>
          <w:lang w:val="zh-CN"/>
        </w:rPr>
        <w:t>万元、</w:t>
      </w:r>
      <w:r>
        <w:rPr>
          <w:rFonts w:hint="eastAsia" w:ascii="仿宋" w:hAnsi="仿宋" w:eastAsia="仿宋"/>
          <w:sz w:val="28"/>
          <w:szCs w:val="28"/>
          <w:lang w:val="zh-CN"/>
        </w:rPr>
        <w:t>日常公用经费</w:t>
      </w:r>
      <w:r>
        <w:rPr>
          <w:rFonts w:ascii="仿宋" w:hAnsi="仿宋" w:eastAsia="仿宋"/>
          <w:sz w:val="28"/>
          <w:szCs w:val="28"/>
          <w:lang w:val="zh-CN"/>
        </w:rPr>
        <w:t>支出</w:t>
      </w:r>
      <w:r>
        <w:rPr>
          <w:rFonts w:hint="eastAsia" w:ascii="仿宋" w:hAnsi="仿宋" w:eastAsia="仿宋"/>
          <w:sz w:val="28"/>
          <w:szCs w:val="28"/>
          <w:lang w:val="zh-CN"/>
        </w:rPr>
        <w:t>738</w:t>
      </w:r>
      <w:r>
        <w:rPr>
          <w:rFonts w:hint="eastAsia" w:ascii="仿宋" w:hAnsi="仿宋" w:eastAsia="仿宋"/>
          <w:sz w:val="28"/>
          <w:szCs w:val="28"/>
        </w:rPr>
        <w:t>.</w:t>
      </w:r>
      <w:r>
        <w:rPr>
          <w:rFonts w:hint="eastAsia" w:ascii="仿宋" w:hAnsi="仿宋" w:eastAsia="仿宋"/>
          <w:sz w:val="28"/>
          <w:szCs w:val="28"/>
          <w:lang w:val="zh-CN"/>
        </w:rPr>
        <w:t>4</w:t>
      </w:r>
      <w:r>
        <w:rPr>
          <w:rFonts w:hint="eastAsia" w:ascii="仿宋" w:hAnsi="仿宋" w:eastAsia="仿宋"/>
          <w:sz w:val="28"/>
          <w:szCs w:val="28"/>
        </w:rPr>
        <w:t>4</w:t>
      </w:r>
      <w:r>
        <w:rPr>
          <w:rFonts w:ascii="仿宋" w:hAnsi="仿宋" w:eastAsia="仿宋"/>
          <w:sz w:val="28"/>
          <w:szCs w:val="28"/>
          <w:lang w:val="zh-CN"/>
        </w:rPr>
        <w:t>万元</w:t>
      </w:r>
      <w:r>
        <w:rPr>
          <w:rFonts w:hint="eastAsia" w:ascii="仿宋" w:hAnsi="仿宋" w:eastAsia="仿宋"/>
          <w:sz w:val="28"/>
          <w:szCs w:val="28"/>
          <w:lang w:val="zh-CN"/>
        </w:rPr>
        <w:t>，项目</w:t>
      </w:r>
      <w:r>
        <w:rPr>
          <w:rFonts w:ascii="仿宋" w:hAnsi="仿宋" w:eastAsia="仿宋"/>
          <w:sz w:val="28"/>
          <w:szCs w:val="28"/>
          <w:lang w:val="zh-CN"/>
        </w:rPr>
        <w:t>支出</w:t>
      </w:r>
      <w:r>
        <w:rPr>
          <w:rFonts w:hint="eastAsia" w:ascii="仿宋" w:hAnsi="仿宋" w:eastAsia="仿宋"/>
          <w:sz w:val="28"/>
          <w:szCs w:val="28"/>
          <w:lang w:val="zh-CN"/>
        </w:rPr>
        <w:t>1</w:t>
      </w:r>
      <w:r>
        <w:rPr>
          <w:rFonts w:hint="eastAsia" w:ascii="仿宋" w:hAnsi="仿宋" w:eastAsia="仿宋"/>
          <w:sz w:val="28"/>
          <w:szCs w:val="28"/>
        </w:rPr>
        <w:t>,</w:t>
      </w:r>
      <w:r>
        <w:rPr>
          <w:rFonts w:hint="eastAsia" w:ascii="仿宋" w:hAnsi="仿宋" w:eastAsia="仿宋"/>
          <w:sz w:val="28"/>
          <w:szCs w:val="28"/>
          <w:lang w:val="zh-CN"/>
        </w:rPr>
        <w:t>287</w:t>
      </w:r>
      <w:r>
        <w:rPr>
          <w:rFonts w:hint="eastAsia" w:ascii="仿宋" w:hAnsi="仿宋" w:eastAsia="仿宋"/>
          <w:sz w:val="28"/>
          <w:szCs w:val="28"/>
        </w:rPr>
        <w:t>.</w:t>
      </w:r>
      <w:r>
        <w:rPr>
          <w:rFonts w:hint="eastAsia" w:ascii="仿宋" w:hAnsi="仿宋" w:eastAsia="仿宋"/>
          <w:sz w:val="28"/>
          <w:szCs w:val="28"/>
          <w:lang w:val="zh-CN"/>
        </w:rPr>
        <w:t>4</w:t>
      </w:r>
      <w:r>
        <w:rPr>
          <w:rFonts w:hint="eastAsia" w:ascii="仿宋" w:hAnsi="仿宋" w:eastAsia="仿宋"/>
          <w:sz w:val="28"/>
          <w:szCs w:val="28"/>
        </w:rPr>
        <w:t>8</w:t>
      </w:r>
      <w:r>
        <w:rPr>
          <w:rFonts w:ascii="仿宋" w:hAnsi="仿宋" w:eastAsia="仿宋"/>
          <w:sz w:val="28"/>
          <w:szCs w:val="28"/>
          <w:lang w:val="zh-CN"/>
        </w:rPr>
        <w:t>万元</w:t>
      </w:r>
      <w:r>
        <w:rPr>
          <w:rFonts w:hint="eastAsia" w:ascii="仿宋" w:hAnsi="仿宋" w:eastAsia="仿宋"/>
          <w:sz w:val="28"/>
          <w:szCs w:val="28"/>
          <w:lang w:val="zh-CN"/>
        </w:rPr>
        <w:t>（行政事业类项目</w:t>
      </w:r>
      <w:r>
        <w:rPr>
          <w:rFonts w:ascii="仿宋" w:hAnsi="仿宋" w:eastAsia="仿宋"/>
          <w:sz w:val="28"/>
          <w:szCs w:val="28"/>
          <w:lang w:val="zh-CN"/>
        </w:rPr>
        <w:t>支出</w:t>
      </w:r>
      <w:r>
        <w:rPr>
          <w:rFonts w:hint="eastAsia" w:ascii="仿宋" w:hAnsi="仿宋" w:eastAsia="仿宋"/>
          <w:sz w:val="28"/>
          <w:szCs w:val="28"/>
          <w:lang w:val="zh-CN"/>
        </w:rPr>
        <w:t>1</w:t>
      </w:r>
      <w:r>
        <w:rPr>
          <w:rFonts w:hint="eastAsia" w:ascii="仿宋" w:hAnsi="仿宋" w:eastAsia="仿宋"/>
          <w:sz w:val="28"/>
          <w:szCs w:val="28"/>
        </w:rPr>
        <w:t>,</w:t>
      </w:r>
      <w:r>
        <w:rPr>
          <w:rFonts w:hint="eastAsia" w:ascii="仿宋" w:hAnsi="仿宋" w:eastAsia="仿宋"/>
          <w:sz w:val="28"/>
          <w:szCs w:val="28"/>
          <w:lang w:val="zh-CN"/>
        </w:rPr>
        <w:t>287</w:t>
      </w:r>
      <w:r>
        <w:rPr>
          <w:rFonts w:hint="eastAsia" w:ascii="仿宋" w:hAnsi="仿宋" w:eastAsia="仿宋"/>
          <w:sz w:val="28"/>
          <w:szCs w:val="28"/>
        </w:rPr>
        <w:t>.</w:t>
      </w:r>
      <w:r>
        <w:rPr>
          <w:rFonts w:hint="eastAsia" w:ascii="仿宋" w:hAnsi="仿宋" w:eastAsia="仿宋"/>
          <w:sz w:val="28"/>
          <w:szCs w:val="28"/>
          <w:lang w:val="zh-CN"/>
        </w:rPr>
        <w:t>4</w:t>
      </w:r>
      <w:r>
        <w:rPr>
          <w:rFonts w:hint="eastAsia" w:ascii="仿宋" w:hAnsi="仿宋" w:eastAsia="仿宋"/>
          <w:sz w:val="28"/>
          <w:szCs w:val="28"/>
        </w:rPr>
        <w:t>8</w:t>
      </w:r>
      <w:r>
        <w:rPr>
          <w:rFonts w:ascii="仿宋" w:hAnsi="仿宋" w:eastAsia="仿宋"/>
          <w:sz w:val="28"/>
          <w:szCs w:val="28"/>
          <w:lang w:val="zh-CN"/>
        </w:rPr>
        <w:t>万元</w:t>
      </w:r>
      <w:r>
        <w:rPr>
          <w:rFonts w:hint="eastAsia" w:ascii="仿宋" w:hAnsi="仿宋" w:eastAsia="仿宋"/>
          <w:sz w:val="28"/>
          <w:szCs w:val="28"/>
          <w:lang w:val="zh-CN"/>
        </w:rPr>
        <w:t>）。</w:t>
      </w:r>
      <w:r>
        <w:rPr>
          <w:rFonts w:ascii="仿宋" w:hAnsi="仿宋" w:eastAsia="仿宋"/>
          <w:sz w:val="28"/>
          <w:szCs w:val="28"/>
          <w:lang w:val="zh-CN"/>
        </w:rPr>
        <w:t>上述决算支出中基本支出</w:t>
      </w:r>
      <w:r>
        <w:rPr>
          <w:rFonts w:hint="eastAsia" w:ascii="仿宋" w:hAnsi="仿宋" w:eastAsia="仿宋"/>
          <w:sz w:val="28"/>
          <w:szCs w:val="28"/>
          <w:lang w:val="zh-CN"/>
        </w:rPr>
        <w:t>1</w:t>
      </w:r>
      <w:r>
        <w:rPr>
          <w:rFonts w:hint="eastAsia" w:ascii="仿宋" w:hAnsi="仿宋" w:eastAsia="仿宋"/>
          <w:sz w:val="28"/>
          <w:szCs w:val="28"/>
        </w:rPr>
        <w:t>,</w:t>
      </w:r>
      <w:r>
        <w:rPr>
          <w:rFonts w:hint="eastAsia" w:ascii="仿宋" w:hAnsi="仿宋" w:eastAsia="仿宋"/>
          <w:sz w:val="28"/>
          <w:szCs w:val="28"/>
          <w:lang w:val="zh-CN"/>
        </w:rPr>
        <w:t>573</w:t>
      </w:r>
      <w:r>
        <w:rPr>
          <w:rFonts w:hint="eastAsia" w:ascii="仿宋" w:hAnsi="仿宋" w:eastAsia="仿宋"/>
          <w:sz w:val="28"/>
          <w:szCs w:val="28"/>
        </w:rPr>
        <w:t>.</w:t>
      </w:r>
      <w:r>
        <w:rPr>
          <w:rFonts w:hint="eastAsia" w:ascii="仿宋" w:hAnsi="仿宋" w:eastAsia="仿宋"/>
          <w:sz w:val="28"/>
          <w:szCs w:val="28"/>
          <w:lang w:val="zh-CN"/>
        </w:rPr>
        <w:t>4</w:t>
      </w:r>
      <w:r>
        <w:rPr>
          <w:rFonts w:hint="eastAsia" w:ascii="仿宋" w:hAnsi="仿宋" w:eastAsia="仿宋"/>
          <w:sz w:val="28"/>
          <w:szCs w:val="28"/>
        </w:rPr>
        <w:t>1</w:t>
      </w:r>
      <w:r>
        <w:rPr>
          <w:rFonts w:ascii="仿宋" w:hAnsi="仿宋" w:eastAsia="仿宋"/>
          <w:sz w:val="28"/>
          <w:szCs w:val="28"/>
          <w:lang w:val="zh-CN"/>
        </w:rPr>
        <w:t>万元，项目支出</w:t>
      </w:r>
      <w:r>
        <w:rPr>
          <w:rFonts w:hint="eastAsia" w:ascii="仿宋" w:hAnsi="仿宋" w:eastAsia="仿宋"/>
          <w:sz w:val="28"/>
          <w:szCs w:val="28"/>
          <w:lang w:val="zh-CN"/>
        </w:rPr>
        <w:t>1</w:t>
      </w:r>
      <w:r>
        <w:rPr>
          <w:rFonts w:hint="eastAsia" w:ascii="仿宋" w:hAnsi="仿宋" w:eastAsia="仿宋"/>
          <w:sz w:val="28"/>
          <w:szCs w:val="28"/>
        </w:rPr>
        <w:t>,</w:t>
      </w:r>
      <w:r>
        <w:rPr>
          <w:rFonts w:hint="eastAsia" w:ascii="仿宋" w:hAnsi="仿宋" w:eastAsia="仿宋"/>
          <w:sz w:val="28"/>
          <w:szCs w:val="28"/>
          <w:lang w:val="zh-CN"/>
        </w:rPr>
        <w:t>287</w:t>
      </w:r>
      <w:r>
        <w:rPr>
          <w:rFonts w:hint="eastAsia" w:ascii="仿宋" w:hAnsi="仿宋" w:eastAsia="仿宋"/>
          <w:sz w:val="28"/>
          <w:szCs w:val="28"/>
        </w:rPr>
        <w:t>.</w:t>
      </w:r>
      <w:r>
        <w:rPr>
          <w:rFonts w:hint="eastAsia" w:ascii="仿宋" w:hAnsi="仿宋" w:eastAsia="仿宋"/>
          <w:sz w:val="28"/>
          <w:szCs w:val="28"/>
          <w:lang w:val="zh-CN"/>
        </w:rPr>
        <w:t>4</w:t>
      </w:r>
      <w:r>
        <w:rPr>
          <w:rFonts w:hint="eastAsia" w:ascii="仿宋" w:hAnsi="仿宋" w:eastAsia="仿宋"/>
          <w:sz w:val="28"/>
          <w:szCs w:val="28"/>
        </w:rPr>
        <w:t>8</w:t>
      </w:r>
      <w:r>
        <w:rPr>
          <w:rFonts w:ascii="仿宋" w:hAnsi="仿宋" w:eastAsia="仿宋"/>
          <w:sz w:val="28"/>
          <w:szCs w:val="28"/>
          <w:lang w:val="zh-CN"/>
        </w:rPr>
        <w:t>万元</w:t>
      </w:r>
      <w:r>
        <w:rPr>
          <w:rFonts w:hint="eastAsia" w:ascii="仿宋" w:hAnsi="仿宋" w:eastAsia="仿宋"/>
          <w:sz w:val="28"/>
          <w:szCs w:val="28"/>
          <w:lang w:val="zh-CN"/>
        </w:rPr>
        <w:t>。</w:t>
      </w:r>
    </w:p>
    <w:p>
      <w:pPr>
        <w:spacing w:line="520" w:lineRule="exact"/>
        <w:ind w:firstLine="560" w:firstLineChars="200"/>
        <w:contextualSpacing/>
        <w:rPr>
          <w:rFonts w:ascii="仿宋" w:hAnsi="仿宋" w:eastAsia="仿宋" w:cs="黑体"/>
          <w:bCs/>
          <w:sz w:val="28"/>
          <w:szCs w:val="28"/>
        </w:rPr>
      </w:pPr>
      <w:r>
        <w:rPr>
          <w:rFonts w:ascii="仿宋" w:hAnsi="仿宋" w:eastAsia="仿宋" w:cs="黑体"/>
          <w:bCs/>
          <w:sz w:val="28"/>
          <w:szCs w:val="28"/>
        </w:rPr>
        <w:t>项目支出包括</w:t>
      </w:r>
      <w:r>
        <w:rPr>
          <w:rFonts w:hint="eastAsia" w:ascii="仿宋" w:hAnsi="仿宋" w:eastAsia="仿宋" w:cs="黑体"/>
          <w:bCs/>
          <w:sz w:val="28"/>
          <w:szCs w:val="28"/>
        </w:rPr>
        <w:t>：城市管理工作经费</w:t>
      </w:r>
      <w:r>
        <w:rPr>
          <w:rFonts w:ascii="仿宋" w:hAnsi="仿宋" w:eastAsia="仿宋" w:cs="黑体"/>
          <w:bCs/>
          <w:sz w:val="28"/>
          <w:szCs w:val="28"/>
        </w:rPr>
        <w:t>2</w:t>
      </w:r>
      <w:r>
        <w:rPr>
          <w:rFonts w:hint="eastAsia" w:ascii="仿宋" w:hAnsi="仿宋" w:eastAsia="仿宋" w:cs="黑体"/>
          <w:bCs/>
          <w:sz w:val="28"/>
          <w:szCs w:val="28"/>
        </w:rPr>
        <w:t>6</w:t>
      </w:r>
      <w:r>
        <w:rPr>
          <w:rFonts w:ascii="仿宋" w:hAnsi="仿宋" w:eastAsia="仿宋" w:cs="黑体"/>
          <w:bCs/>
          <w:sz w:val="28"/>
          <w:szCs w:val="28"/>
        </w:rPr>
        <w:t>0</w:t>
      </w:r>
      <w:r>
        <w:rPr>
          <w:rFonts w:hint="eastAsia" w:ascii="仿宋" w:hAnsi="仿宋" w:eastAsia="仿宋" w:cs="黑体"/>
          <w:bCs/>
          <w:sz w:val="28"/>
          <w:szCs w:val="28"/>
        </w:rPr>
        <w:t>万元、街道运转工作经费</w:t>
      </w:r>
      <w:r>
        <w:rPr>
          <w:rFonts w:ascii="仿宋" w:hAnsi="仿宋" w:eastAsia="仿宋" w:cs="黑体"/>
          <w:bCs/>
          <w:sz w:val="28"/>
          <w:szCs w:val="28"/>
        </w:rPr>
        <w:t>3</w:t>
      </w:r>
      <w:r>
        <w:rPr>
          <w:rFonts w:hint="eastAsia" w:ascii="仿宋" w:hAnsi="仿宋" w:eastAsia="仿宋" w:cs="黑体"/>
          <w:bCs/>
          <w:sz w:val="28"/>
          <w:szCs w:val="28"/>
        </w:rPr>
        <w:t>48</w:t>
      </w:r>
      <w:r>
        <w:rPr>
          <w:rFonts w:ascii="仿宋" w:hAnsi="仿宋" w:eastAsia="仿宋" w:cs="黑体"/>
          <w:bCs/>
          <w:sz w:val="28"/>
          <w:szCs w:val="28"/>
        </w:rPr>
        <w:t>.</w:t>
      </w:r>
      <w:r>
        <w:rPr>
          <w:rFonts w:hint="eastAsia" w:ascii="仿宋" w:hAnsi="仿宋" w:eastAsia="仿宋" w:cs="黑体"/>
          <w:bCs/>
          <w:sz w:val="28"/>
          <w:szCs w:val="28"/>
        </w:rPr>
        <w:t>96万元、经济工作经费50万元、党建工作经费6</w:t>
      </w:r>
      <w:r>
        <w:rPr>
          <w:rFonts w:ascii="仿宋" w:hAnsi="仿宋" w:eastAsia="仿宋" w:cs="黑体"/>
          <w:bCs/>
          <w:sz w:val="28"/>
          <w:szCs w:val="28"/>
        </w:rPr>
        <w:t>0</w:t>
      </w:r>
      <w:r>
        <w:rPr>
          <w:rFonts w:hint="eastAsia" w:ascii="仿宋" w:hAnsi="仿宋" w:eastAsia="仿宋" w:cs="黑体"/>
          <w:bCs/>
          <w:sz w:val="28"/>
          <w:szCs w:val="28"/>
        </w:rPr>
        <w:t>万元、铁路道口维护经费12万元、服务群众专项经费74.20万元、维稳工作经费6</w:t>
      </w:r>
      <w:r>
        <w:rPr>
          <w:rFonts w:ascii="仿宋" w:hAnsi="仿宋" w:eastAsia="仿宋" w:cs="黑体"/>
          <w:bCs/>
          <w:sz w:val="28"/>
          <w:szCs w:val="28"/>
        </w:rPr>
        <w:t>0</w:t>
      </w:r>
      <w:r>
        <w:rPr>
          <w:rFonts w:hint="eastAsia" w:ascii="仿宋" w:hAnsi="仿宋" w:eastAsia="仿宋" w:cs="黑体"/>
          <w:bCs/>
          <w:sz w:val="28"/>
          <w:szCs w:val="28"/>
        </w:rPr>
        <w:t>万元、白邑寺公园工作经</w:t>
      </w:r>
      <w:r>
        <w:rPr>
          <w:rFonts w:ascii="仿宋" w:hAnsi="仿宋" w:eastAsia="仿宋" w:cs="黑体"/>
          <w:bCs/>
          <w:sz w:val="28"/>
          <w:szCs w:val="28"/>
        </w:rPr>
        <w:t>95.99</w:t>
      </w:r>
      <w:r>
        <w:rPr>
          <w:rFonts w:hint="eastAsia" w:ascii="仿宋" w:hAnsi="仿宋" w:eastAsia="仿宋" w:cs="黑体"/>
          <w:bCs/>
          <w:sz w:val="28"/>
          <w:szCs w:val="28"/>
        </w:rPr>
        <w:t>万元、妇联工作经费</w:t>
      </w:r>
      <w:r>
        <w:rPr>
          <w:rFonts w:ascii="仿宋" w:hAnsi="仿宋" w:eastAsia="仿宋" w:cs="黑体"/>
          <w:bCs/>
          <w:sz w:val="28"/>
          <w:szCs w:val="28"/>
        </w:rPr>
        <w:t>10</w:t>
      </w:r>
      <w:r>
        <w:rPr>
          <w:rFonts w:hint="eastAsia" w:ascii="仿宋" w:hAnsi="仿宋" w:eastAsia="仿宋" w:cs="黑体"/>
          <w:bCs/>
          <w:sz w:val="28"/>
          <w:szCs w:val="28"/>
        </w:rPr>
        <w:t>万元、</w:t>
      </w:r>
      <w:r>
        <w:rPr>
          <w:rFonts w:ascii="仿宋" w:hAnsi="仿宋" w:eastAsia="仿宋" w:cs="黑体"/>
          <w:bCs/>
          <w:sz w:val="28"/>
          <w:szCs w:val="28"/>
        </w:rPr>
        <w:t>创文明城市</w:t>
      </w:r>
      <w:r>
        <w:rPr>
          <w:rFonts w:hint="eastAsia" w:ascii="仿宋" w:hAnsi="仿宋" w:eastAsia="仿宋" w:cs="黑体"/>
          <w:bCs/>
          <w:sz w:val="28"/>
          <w:szCs w:val="28"/>
        </w:rPr>
        <w:t>工作经费316.33万元。</w:t>
      </w:r>
    </w:p>
    <w:p>
      <w:pPr>
        <w:spacing w:line="520" w:lineRule="exact"/>
        <w:ind w:firstLine="560" w:firstLineChars="200"/>
        <w:contextualSpacing/>
        <w:rPr>
          <w:rFonts w:ascii="仿宋" w:hAnsi="仿宋" w:eastAsia="仿宋"/>
          <w:sz w:val="28"/>
          <w:szCs w:val="28"/>
          <w:lang w:val="zh-CN"/>
        </w:rPr>
      </w:pPr>
      <w:r>
        <w:rPr>
          <w:rFonts w:hint="eastAsia" w:ascii="仿宋" w:hAnsi="仿宋" w:eastAsia="仿宋"/>
          <w:sz w:val="28"/>
          <w:szCs w:val="28"/>
          <w:lang w:val="zh-CN"/>
        </w:rPr>
        <w:t>（六）政府采购情况。</w:t>
      </w:r>
    </w:p>
    <w:p>
      <w:pPr>
        <w:widowControl/>
        <w:shd w:val="clear" w:color="auto" w:fill="FFFFFF"/>
        <w:spacing w:line="520" w:lineRule="exact"/>
        <w:ind w:left="105" w:leftChars="50" w:firstLine="420" w:firstLineChars="150"/>
        <w:jc w:val="left"/>
        <w:rPr>
          <w:rFonts w:ascii="仿宋" w:hAnsi="仿宋" w:eastAsia="仿宋"/>
          <w:sz w:val="28"/>
          <w:szCs w:val="28"/>
          <w:lang w:val="zh-CN"/>
        </w:rPr>
      </w:pPr>
      <w:r>
        <w:rPr>
          <w:rFonts w:hint="eastAsia" w:ascii="仿宋" w:hAnsi="仿宋" w:eastAsia="仿宋"/>
          <w:sz w:val="28"/>
          <w:szCs w:val="28"/>
          <w:lang w:val="zh-CN"/>
        </w:rPr>
        <w:t>盘龙区人民政府东华街道办事处201</w:t>
      </w:r>
      <w:r>
        <w:rPr>
          <w:rFonts w:hint="eastAsia" w:ascii="仿宋" w:hAnsi="仿宋" w:eastAsia="仿宋"/>
          <w:sz w:val="28"/>
          <w:szCs w:val="28"/>
        </w:rPr>
        <w:t>9</w:t>
      </w:r>
      <w:r>
        <w:rPr>
          <w:rFonts w:hint="eastAsia" w:ascii="仿宋" w:hAnsi="仿宋" w:eastAsia="仿宋"/>
          <w:sz w:val="28"/>
          <w:szCs w:val="28"/>
          <w:lang w:val="zh-CN"/>
        </w:rPr>
        <w:t>年度政府采购预算</w:t>
      </w:r>
      <w:r>
        <w:rPr>
          <w:rFonts w:hint="eastAsia" w:ascii="仿宋" w:hAnsi="仿宋" w:eastAsia="仿宋"/>
          <w:sz w:val="28"/>
          <w:szCs w:val="28"/>
        </w:rPr>
        <w:t>284.81</w:t>
      </w:r>
      <w:r>
        <w:rPr>
          <w:rFonts w:ascii="仿宋" w:hAnsi="仿宋" w:eastAsia="仿宋"/>
          <w:sz w:val="28"/>
          <w:szCs w:val="28"/>
          <w:lang w:val="zh-CN"/>
        </w:rPr>
        <w:t>万元</w:t>
      </w:r>
      <w:r>
        <w:rPr>
          <w:rFonts w:hint="eastAsia" w:ascii="仿宋" w:hAnsi="仿宋" w:eastAsia="仿宋"/>
          <w:sz w:val="28"/>
          <w:szCs w:val="28"/>
          <w:lang w:val="zh-CN"/>
        </w:rPr>
        <w:t>，实际采购金额</w:t>
      </w:r>
      <w:r>
        <w:rPr>
          <w:rFonts w:hint="eastAsia" w:ascii="仿宋" w:hAnsi="仿宋" w:eastAsia="仿宋"/>
          <w:sz w:val="28"/>
          <w:szCs w:val="28"/>
        </w:rPr>
        <w:t>284.81</w:t>
      </w:r>
      <w:r>
        <w:rPr>
          <w:rFonts w:ascii="仿宋" w:hAnsi="仿宋" w:eastAsia="仿宋"/>
          <w:sz w:val="28"/>
          <w:szCs w:val="28"/>
          <w:lang w:val="zh-CN"/>
        </w:rPr>
        <w:t>万元</w:t>
      </w:r>
      <w:r>
        <w:rPr>
          <w:rFonts w:hint="eastAsia" w:ascii="仿宋" w:hAnsi="仿宋" w:eastAsia="仿宋"/>
          <w:sz w:val="28"/>
          <w:szCs w:val="28"/>
          <w:lang w:val="zh-CN"/>
        </w:rPr>
        <w:t>，其中：货物采购</w:t>
      </w:r>
      <w:r>
        <w:rPr>
          <w:rFonts w:hint="eastAsia" w:ascii="仿宋" w:hAnsi="仿宋" w:eastAsia="仿宋"/>
          <w:sz w:val="28"/>
          <w:szCs w:val="28"/>
        </w:rPr>
        <w:t>4.1</w:t>
      </w:r>
      <w:r>
        <w:rPr>
          <w:rFonts w:ascii="仿宋" w:hAnsi="仿宋" w:eastAsia="仿宋"/>
          <w:sz w:val="28"/>
          <w:szCs w:val="28"/>
          <w:lang w:val="zh-CN"/>
        </w:rPr>
        <w:t>万元</w:t>
      </w:r>
      <w:r>
        <w:rPr>
          <w:rFonts w:hint="eastAsia" w:ascii="仿宋" w:hAnsi="仿宋" w:eastAsia="仿宋"/>
          <w:sz w:val="28"/>
          <w:szCs w:val="28"/>
          <w:lang w:val="zh-CN"/>
        </w:rPr>
        <w:t>、服务采购</w:t>
      </w:r>
      <w:r>
        <w:rPr>
          <w:rFonts w:hint="eastAsia" w:ascii="仿宋" w:hAnsi="仿宋" w:eastAsia="仿宋"/>
          <w:sz w:val="28"/>
          <w:szCs w:val="28"/>
        </w:rPr>
        <w:t>280.8万元</w:t>
      </w:r>
      <w:r>
        <w:rPr>
          <w:rFonts w:hint="eastAsia" w:ascii="仿宋" w:hAnsi="仿宋" w:eastAsia="仿宋"/>
          <w:sz w:val="28"/>
          <w:szCs w:val="28"/>
          <w:lang w:val="zh-CN"/>
        </w:rPr>
        <w:t>。</w:t>
      </w:r>
    </w:p>
    <w:p>
      <w:pPr>
        <w:spacing w:line="520" w:lineRule="exact"/>
        <w:ind w:firstLine="560" w:firstLineChars="200"/>
        <w:contextualSpacing/>
        <w:rPr>
          <w:rFonts w:ascii="仿宋" w:hAnsi="仿宋" w:eastAsia="仿宋"/>
          <w:sz w:val="28"/>
          <w:szCs w:val="28"/>
          <w:lang w:val="zh-CN"/>
        </w:rPr>
      </w:pPr>
      <w:r>
        <w:rPr>
          <w:rFonts w:hint="eastAsia" w:ascii="仿宋" w:hAnsi="仿宋" w:eastAsia="仿宋"/>
          <w:sz w:val="28"/>
          <w:szCs w:val="28"/>
          <w:lang w:val="zh-CN"/>
        </w:rPr>
        <w:t>（七）固定资产情况。</w:t>
      </w:r>
    </w:p>
    <w:p>
      <w:pPr>
        <w:widowControl/>
        <w:shd w:val="clear" w:color="auto" w:fill="FFFFFF"/>
        <w:spacing w:line="520" w:lineRule="exact"/>
        <w:ind w:firstLine="560" w:firstLineChars="200"/>
        <w:jc w:val="left"/>
        <w:rPr>
          <w:rFonts w:ascii="仿宋" w:hAnsi="仿宋" w:eastAsia="仿宋"/>
          <w:sz w:val="28"/>
          <w:szCs w:val="28"/>
          <w:lang w:val="zh-CN"/>
        </w:rPr>
      </w:pPr>
      <w:r>
        <w:rPr>
          <w:rFonts w:hint="eastAsia" w:ascii="仿宋" w:hAnsi="仿宋" w:eastAsia="仿宋"/>
          <w:sz w:val="28"/>
          <w:szCs w:val="28"/>
          <w:lang w:val="zh-CN"/>
        </w:rPr>
        <w:t>盘龙区人民政府东华街道办事处20</w:t>
      </w:r>
      <w:r>
        <w:rPr>
          <w:rFonts w:hint="eastAsia" w:ascii="仿宋" w:hAnsi="仿宋" w:eastAsia="仿宋"/>
          <w:sz w:val="28"/>
          <w:szCs w:val="28"/>
        </w:rPr>
        <w:t>19</w:t>
      </w:r>
      <w:r>
        <w:rPr>
          <w:rFonts w:hint="eastAsia" w:ascii="仿宋" w:hAnsi="仿宋" w:eastAsia="仿宋"/>
          <w:sz w:val="28"/>
          <w:szCs w:val="28"/>
          <w:lang w:val="zh-CN"/>
        </w:rPr>
        <w:t>年初固定资产合计</w:t>
      </w:r>
      <w:r>
        <w:rPr>
          <w:rFonts w:hint="eastAsia" w:ascii="仿宋" w:hAnsi="仿宋" w:eastAsia="仿宋"/>
          <w:sz w:val="28"/>
          <w:szCs w:val="28"/>
        </w:rPr>
        <w:t>3684</w:t>
      </w:r>
      <w:r>
        <w:rPr>
          <w:rFonts w:hint="eastAsia" w:ascii="仿宋" w:hAnsi="仿宋" w:eastAsia="仿宋"/>
          <w:sz w:val="28"/>
          <w:szCs w:val="28"/>
          <w:lang w:val="zh-CN"/>
        </w:rPr>
        <w:t>项、</w:t>
      </w:r>
      <w:r>
        <w:rPr>
          <w:rFonts w:hint="eastAsia" w:ascii="仿宋" w:hAnsi="仿宋" w:eastAsia="仿宋"/>
          <w:sz w:val="28"/>
          <w:szCs w:val="28"/>
        </w:rPr>
        <w:t>14,265,957.02</w:t>
      </w:r>
      <w:r>
        <w:rPr>
          <w:rFonts w:hint="eastAsia" w:ascii="仿宋" w:hAnsi="仿宋" w:eastAsia="仿宋"/>
          <w:sz w:val="28"/>
          <w:szCs w:val="28"/>
          <w:lang w:val="zh-CN"/>
        </w:rPr>
        <w:t>元，本年新增</w:t>
      </w:r>
      <w:r>
        <w:rPr>
          <w:rFonts w:hint="eastAsia" w:ascii="仿宋" w:hAnsi="仿宋" w:eastAsia="仿宋"/>
          <w:sz w:val="28"/>
          <w:szCs w:val="28"/>
        </w:rPr>
        <w:t>218</w:t>
      </w:r>
      <w:r>
        <w:rPr>
          <w:rFonts w:hint="eastAsia" w:ascii="仿宋" w:hAnsi="仿宋" w:eastAsia="仿宋"/>
          <w:sz w:val="28"/>
          <w:szCs w:val="28"/>
          <w:lang w:val="zh-CN"/>
        </w:rPr>
        <w:t>项、</w:t>
      </w:r>
      <w:r>
        <w:rPr>
          <w:rFonts w:hint="eastAsia" w:ascii="仿宋" w:hAnsi="仿宋" w:eastAsia="仿宋"/>
          <w:sz w:val="28"/>
          <w:szCs w:val="28"/>
        </w:rPr>
        <w:t>259,260</w:t>
      </w:r>
      <w:r>
        <w:rPr>
          <w:rFonts w:hint="eastAsia" w:ascii="仿宋" w:hAnsi="仿宋" w:eastAsia="仿宋"/>
          <w:sz w:val="28"/>
          <w:szCs w:val="28"/>
          <w:lang w:val="zh-CN"/>
        </w:rPr>
        <w:t>元，本年减少0项、0元。年末合计</w:t>
      </w:r>
      <w:r>
        <w:rPr>
          <w:rFonts w:hint="eastAsia" w:ascii="仿宋" w:hAnsi="仿宋" w:eastAsia="仿宋"/>
          <w:sz w:val="28"/>
          <w:szCs w:val="28"/>
        </w:rPr>
        <w:t>3902</w:t>
      </w:r>
      <w:r>
        <w:rPr>
          <w:rFonts w:hint="eastAsia" w:ascii="仿宋" w:hAnsi="仿宋" w:eastAsia="仿宋"/>
          <w:sz w:val="28"/>
          <w:szCs w:val="28"/>
          <w:lang w:val="zh-CN"/>
        </w:rPr>
        <w:t>项、</w:t>
      </w:r>
      <w:r>
        <w:rPr>
          <w:rFonts w:hint="eastAsia" w:ascii="仿宋" w:hAnsi="仿宋" w:eastAsia="仿宋"/>
          <w:sz w:val="28"/>
          <w:szCs w:val="28"/>
        </w:rPr>
        <w:t>14,525,217.02</w:t>
      </w:r>
      <w:r>
        <w:rPr>
          <w:rFonts w:hint="eastAsia" w:ascii="仿宋" w:hAnsi="仿宋" w:eastAsia="仿宋"/>
          <w:sz w:val="28"/>
          <w:szCs w:val="28"/>
          <w:lang w:val="zh-CN"/>
        </w:rPr>
        <w:t>元，所有固定资产均为在用状态。</w:t>
      </w:r>
    </w:p>
    <w:p>
      <w:pPr>
        <w:topLinePunct/>
        <w:spacing w:line="520" w:lineRule="exact"/>
        <w:ind w:firstLine="700" w:firstLineChars="250"/>
        <w:rPr>
          <w:rFonts w:ascii="仿宋" w:hAnsi="仿宋" w:eastAsia="仿宋"/>
          <w:sz w:val="28"/>
          <w:szCs w:val="28"/>
        </w:rPr>
      </w:pPr>
      <w:r>
        <w:rPr>
          <w:rFonts w:hint="eastAsia" w:ascii="仿宋" w:hAnsi="仿宋" w:eastAsia="仿宋"/>
          <w:sz w:val="28"/>
          <w:szCs w:val="28"/>
        </w:rPr>
        <w:t>二、绩效目标</w:t>
      </w:r>
    </w:p>
    <w:p>
      <w:pPr>
        <w:topLinePunct/>
        <w:spacing w:line="520" w:lineRule="exact"/>
        <w:ind w:firstLine="700" w:firstLineChars="250"/>
        <w:rPr>
          <w:rFonts w:ascii="仿宋" w:hAnsi="仿宋" w:eastAsia="仿宋"/>
          <w:sz w:val="28"/>
          <w:szCs w:val="28"/>
        </w:rPr>
      </w:pPr>
      <w:r>
        <w:rPr>
          <w:rFonts w:hint="eastAsia" w:ascii="仿宋" w:hAnsi="仿宋" w:eastAsia="仿宋"/>
          <w:sz w:val="28"/>
          <w:szCs w:val="28"/>
        </w:rPr>
        <w:t>（一）部门总目标。</w:t>
      </w:r>
    </w:p>
    <w:p>
      <w:pPr>
        <w:topLinePunct/>
        <w:spacing w:line="520" w:lineRule="exact"/>
        <w:ind w:firstLine="700" w:firstLineChars="250"/>
        <w:rPr>
          <w:rFonts w:ascii="仿宋" w:hAnsi="仿宋" w:eastAsia="仿宋"/>
          <w:sz w:val="28"/>
          <w:szCs w:val="28"/>
        </w:rPr>
      </w:pPr>
      <w:r>
        <w:rPr>
          <w:rFonts w:hint="eastAsia" w:ascii="仿宋" w:hAnsi="仿宋" w:eastAsia="仿宋"/>
          <w:sz w:val="28"/>
          <w:szCs w:val="28"/>
        </w:rPr>
        <w:t>在区委、区政府的正确领导下，以发展为根本，以服务为理念，以民生为关键，以片区改造为契机，以快速推进项目为突破，以楼宇经济为载体，围绕中心抓项目，立足服务促发展，创新载体增活力，完成区委、区政府下达的各项目标任务，促进了街道各项事业平稳、快速、健康发展。</w:t>
      </w:r>
    </w:p>
    <w:p>
      <w:pPr>
        <w:topLinePunct/>
        <w:spacing w:line="520" w:lineRule="exact"/>
        <w:ind w:firstLine="700" w:firstLineChars="250"/>
        <w:rPr>
          <w:rFonts w:ascii="仿宋" w:hAnsi="仿宋" w:eastAsia="仿宋" w:cs="仿宋"/>
          <w:sz w:val="28"/>
          <w:szCs w:val="28"/>
        </w:rPr>
      </w:pPr>
      <w:r>
        <w:rPr>
          <w:rFonts w:hint="eastAsia" w:ascii="仿宋" w:hAnsi="仿宋" w:eastAsia="仿宋" w:cs="仿宋"/>
          <w:color w:val="000000"/>
          <w:sz w:val="28"/>
          <w:szCs w:val="28"/>
        </w:rPr>
        <w:t>（二）部门项目具体计划目标</w:t>
      </w:r>
    </w:p>
    <w:p>
      <w:pPr>
        <w:topLinePunct/>
        <w:spacing w:line="520" w:lineRule="exact"/>
        <w:ind w:firstLine="700" w:firstLineChars="250"/>
        <w:rPr>
          <w:rFonts w:ascii="仿宋" w:hAnsi="仿宋" w:eastAsia="仿宋"/>
          <w:sz w:val="28"/>
          <w:szCs w:val="28"/>
        </w:rPr>
      </w:pPr>
      <w:r>
        <w:rPr>
          <w:rFonts w:hint="eastAsia" w:ascii="仿宋" w:hAnsi="仿宋" w:eastAsia="仿宋"/>
          <w:sz w:val="28"/>
          <w:szCs w:val="28"/>
        </w:rPr>
        <w:t>1、按质按量完成街道办辖区行政管理工作。</w:t>
      </w:r>
    </w:p>
    <w:p>
      <w:pPr>
        <w:topLinePunct/>
        <w:spacing w:line="520" w:lineRule="exact"/>
        <w:ind w:firstLine="700" w:firstLineChars="250"/>
        <w:rPr>
          <w:rFonts w:ascii="仿宋" w:hAnsi="仿宋" w:eastAsia="仿宋"/>
          <w:sz w:val="28"/>
          <w:szCs w:val="28"/>
        </w:rPr>
      </w:pPr>
      <w:r>
        <w:rPr>
          <w:rFonts w:ascii="仿宋" w:hAnsi="仿宋" w:eastAsia="仿宋"/>
          <w:sz w:val="28"/>
          <w:szCs w:val="28"/>
        </w:rPr>
        <w:t>2</w:t>
      </w:r>
      <w:r>
        <w:rPr>
          <w:rFonts w:hint="eastAsia" w:ascii="仿宋" w:hAnsi="仿宋" w:eastAsia="仿宋"/>
          <w:sz w:val="28"/>
          <w:szCs w:val="28"/>
        </w:rPr>
        <w:t>、</w:t>
      </w:r>
      <w:r>
        <w:rPr>
          <w:rFonts w:ascii="仿宋" w:hAnsi="仿宋" w:eastAsia="仿宋"/>
          <w:sz w:val="28"/>
          <w:szCs w:val="28"/>
        </w:rPr>
        <w:t>机构编制管理工作</w:t>
      </w:r>
      <w:r>
        <w:rPr>
          <w:rFonts w:hint="eastAsia" w:ascii="仿宋" w:hAnsi="仿宋" w:eastAsia="仿宋"/>
          <w:sz w:val="28"/>
          <w:szCs w:val="28"/>
        </w:rPr>
        <w:t>：</w:t>
      </w:r>
      <w:r>
        <w:rPr>
          <w:rFonts w:ascii="仿宋" w:hAnsi="仿宋" w:eastAsia="仿宋"/>
          <w:sz w:val="28"/>
          <w:szCs w:val="28"/>
        </w:rPr>
        <w:t>根据区委编办的相关规定和工作要求，对本单位的行政执法机构人员编制情况进行了摸底调查工作，并上报了相关统计表。</w:t>
      </w:r>
    </w:p>
    <w:p>
      <w:pPr>
        <w:topLinePunct/>
        <w:spacing w:line="520" w:lineRule="exact"/>
        <w:ind w:firstLine="700" w:firstLineChars="250"/>
        <w:rPr>
          <w:rFonts w:ascii="仿宋" w:hAnsi="仿宋" w:eastAsia="仿宋"/>
          <w:sz w:val="28"/>
          <w:szCs w:val="28"/>
        </w:rPr>
      </w:pPr>
      <w:r>
        <w:rPr>
          <w:rFonts w:ascii="仿宋" w:hAnsi="仿宋" w:eastAsia="仿宋"/>
          <w:sz w:val="28"/>
          <w:szCs w:val="28"/>
        </w:rPr>
        <w:t>3</w:t>
      </w:r>
      <w:r>
        <w:rPr>
          <w:rFonts w:hint="eastAsia" w:ascii="仿宋" w:hAnsi="仿宋" w:eastAsia="仿宋"/>
          <w:sz w:val="28"/>
          <w:szCs w:val="28"/>
        </w:rPr>
        <w:t>、</w:t>
      </w:r>
      <w:r>
        <w:rPr>
          <w:rFonts w:ascii="仿宋" w:hAnsi="仿宋" w:eastAsia="仿宋"/>
          <w:sz w:val="28"/>
          <w:szCs w:val="28"/>
        </w:rPr>
        <w:t>协税护税工作201</w:t>
      </w:r>
      <w:r>
        <w:rPr>
          <w:rFonts w:hint="eastAsia" w:ascii="仿宋" w:hAnsi="仿宋" w:eastAsia="仿宋"/>
          <w:sz w:val="28"/>
          <w:szCs w:val="28"/>
        </w:rPr>
        <w:t>9</w:t>
      </w:r>
      <w:r>
        <w:rPr>
          <w:rFonts w:ascii="仿宋" w:hAnsi="仿宋" w:eastAsia="仿宋"/>
          <w:sz w:val="28"/>
          <w:szCs w:val="28"/>
        </w:rPr>
        <w:t>年，区委下达的目标任务数是2</w:t>
      </w:r>
      <w:r>
        <w:rPr>
          <w:rFonts w:hint="eastAsia" w:ascii="仿宋" w:hAnsi="仿宋" w:eastAsia="仿宋"/>
          <w:sz w:val="28"/>
          <w:szCs w:val="28"/>
        </w:rPr>
        <w:t>.9534亿</w:t>
      </w:r>
      <w:r>
        <w:rPr>
          <w:rFonts w:ascii="仿宋" w:hAnsi="仿宋" w:eastAsia="仿宋"/>
          <w:sz w:val="28"/>
          <w:szCs w:val="28"/>
        </w:rPr>
        <w:t>元</w:t>
      </w:r>
      <w:r>
        <w:rPr>
          <w:rFonts w:hint="eastAsia" w:ascii="仿宋" w:hAnsi="仿宋" w:eastAsia="仿宋"/>
          <w:sz w:val="28"/>
          <w:szCs w:val="28"/>
        </w:rPr>
        <w:t>。</w:t>
      </w:r>
    </w:p>
    <w:p>
      <w:pPr>
        <w:topLinePunct/>
        <w:spacing w:line="520" w:lineRule="exact"/>
        <w:ind w:firstLine="700" w:firstLineChars="250"/>
        <w:rPr>
          <w:rFonts w:ascii="仿宋" w:hAnsi="仿宋" w:eastAsia="仿宋"/>
          <w:sz w:val="28"/>
          <w:szCs w:val="28"/>
        </w:rPr>
      </w:pPr>
      <w:r>
        <w:rPr>
          <w:rFonts w:ascii="仿宋" w:hAnsi="仿宋" w:eastAsia="仿宋"/>
          <w:sz w:val="28"/>
          <w:szCs w:val="28"/>
        </w:rPr>
        <w:t>4</w:t>
      </w:r>
      <w:r>
        <w:rPr>
          <w:rFonts w:hint="eastAsia" w:ascii="仿宋" w:hAnsi="仿宋" w:eastAsia="仿宋"/>
          <w:sz w:val="28"/>
          <w:szCs w:val="28"/>
        </w:rPr>
        <w:t>、加强</w:t>
      </w:r>
      <w:r>
        <w:rPr>
          <w:rFonts w:ascii="仿宋" w:hAnsi="仿宋" w:eastAsia="仿宋"/>
          <w:sz w:val="28"/>
          <w:szCs w:val="28"/>
        </w:rPr>
        <w:t>楼宇（总部）经济发展</w:t>
      </w:r>
      <w:r>
        <w:rPr>
          <w:rFonts w:hint="eastAsia" w:ascii="仿宋" w:hAnsi="仿宋" w:eastAsia="仿宋"/>
          <w:sz w:val="28"/>
          <w:szCs w:val="28"/>
        </w:rPr>
        <w:t>创收</w:t>
      </w:r>
      <w:r>
        <w:rPr>
          <w:rFonts w:ascii="仿宋" w:hAnsi="仿宋" w:eastAsia="仿宋"/>
          <w:sz w:val="28"/>
          <w:szCs w:val="28"/>
        </w:rPr>
        <w:t>能力。</w:t>
      </w:r>
    </w:p>
    <w:p>
      <w:pPr>
        <w:topLinePunct/>
        <w:spacing w:line="520" w:lineRule="exact"/>
        <w:ind w:firstLine="700" w:firstLineChars="250"/>
        <w:rPr>
          <w:rFonts w:ascii="仿宋" w:hAnsi="仿宋" w:eastAsia="仿宋"/>
          <w:sz w:val="28"/>
          <w:szCs w:val="28"/>
        </w:rPr>
      </w:pPr>
      <w:r>
        <w:rPr>
          <w:rFonts w:hint="eastAsia" w:ascii="仿宋" w:hAnsi="仿宋" w:eastAsia="仿宋"/>
          <w:sz w:val="28"/>
          <w:szCs w:val="28"/>
        </w:rPr>
        <w:t>4、</w:t>
      </w:r>
      <w:r>
        <w:rPr>
          <w:rFonts w:ascii="仿宋" w:hAnsi="仿宋" w:eastAsia="仿宋"/>
          <w:sz w:val="28"/>
          <w:szCs w:val="28"/>
        </w:rPr>
        <w:t>固定资产投资</w:t>
      </w:r>
      <w:r>
        <w:rPr>
          <w:rFonts w:hint="eastAsia" w:ascii="仿宋" w:hAnsi="仿宋" w:eastAsia="仿宋"/>
          <w:sz w:val="28"/>
          <w:szCs w:val="28"/>
        </w:rPr>
        <w:t>，</w:t>
      </w:r>
      <w:r>
        <w:rPr>
          <w:rFonts w:ascii="仿宋" w:hAnsi="仿宋" w:eastAsia="仿宋"/>
          <w:sz w:val="28"/>
          <w:szCs w:val="28"/>
        </w:rPr>
        <w:t>全年目标任务数为2</w:t>
      </w:r>
      <w:r>
        <w:rPr>
          <w:rFonts w:hint="eastAsia" w:ascii="仿宋" w:hAnsi="仿宋" w:eastAsia="仿宋"/>
          <w:sz w:val="28"/>
          <w:szCs w:val="28"/>
        </w:rPr>
        <w:t>5亿</w:t>
      </w:r>
      <w:r>
        <w:rPr>
          <w:rFonts w:ascii="仿宋" w:hAnsi="仿宋" w:eastAsia="仿宋"/>
          <w:sz w:val="28"/>
          <w:szCs w:val="28"/>
        </w:rPr>
        <w:t>元，</w:t>
      </w:r>
    </w:p>
    <w:p>
      <w:pPr>
        <w:topLinePunct/>
        <w:spacing w:line="520" w:lineRule="exact"/>
        <w:ind w:firstLine="700" w:firstLineChars="250"/>
        <w:rPr>
          <w:rFonts w:ascii="仿宋" w:hAnsi="仿宋" w:eastAsia="仿宋"/>
          <w:sz w:val="28"/>
          <w:szCs w:val="28"/>
        </w:rPr>
      </w:pPr>
      <w:r>
        <w:rPr>
          <w:rFonts w:hint="eastAsia" w:ascii="仿宋" w:hAnsi="仿宋" w:eastAsia="仿宋"/>
          <w:sz w:val="28"/>
          <w:szCs w:val="28"/>
        </w:rPr>
        <w:t>5、</w:t>
      </w:r>
      <w:r>
        <w:rPr>
          <w:rFonts w:ascii="仿宋" w:hAnsi="仿宋" w:eastAsia="仿宋"/>
          <w:sz w:val="28"/>
          <w:szCs w:val="28"/>
        </w:rPr>
        <w:t>城镇（农村）常住居民人均可支配收入全年目标任务数为57653元</w:t>
      </w:r>
      <w:r>
        <w:rPr>
          <w:rFonts w:hint="eastAsia" w:ascii="仿宋" w:hAnsi="仿宋" w:eastAsia="仿宋"/>
          <w:sz w:val="28"/>
          <w:szCs w:val="28"/>
        </w:rPr>
        <w:t>。</w:t>
      </w:r>
    </w:p>
    <w:p>
      <w:pPr>
        <w:topLinePunct/>
        <w:spacing w:line="520" w:lineRule="exact"/>
        <w:ind w:firstLine="700" w:firstLineChars="250"/>
        <w:rPr>
          <w:rFonts w:ascii="仿宋" w:hAnsi="仿宋" w:eastAsia="仿宋"/>
          <w:sz w:val="28"/>
          <w:szCs w:val="28"/>
        </w:rPr>
      </w:pPr>
      <w:r>
        <w:rPr>
          <w:rFonts w:hint="eastAsia" w:ascii="仿宋" w:hAnsi="仿宋" w:eastAsia="仿宋"/>
          <w:sz w:val="28"/>
          <w:szCs w:val="28"/>
        </w:rPr>
        <w:t>6、</w:t>
      </w:r>
      <w:r>
        <w:rPr>
          <w:rFonts w:ascii="仿宋" w:hAnsi="仿宋" w:eastAsia="仿宋"/>
          <w:sz w:val="28"/>
          <w:szCs w:val="28"/>
        </w:rPr>
        <w:t>限额以上社会消费品零售总额</w:t>
      </w:r>
      <w:r>
        <w:rPr>
          <w:rFonts w:hint="eastAsia" w:ascii="仿宋" w:hAnsi="仿宋" w:eastAsia="仿宋"/>
          <w:sz w:val="28"/>
          <w:szCs w:val="28"/>
        </w:rPr>
        <w:t>，</w:t>
      </w:r>
      <w:r>
        <w:rPr>
          <w:rFonts w:ascii="仿宋" w:hAnsi="仿宋" w:eastAsia="仿宋"/>
          <w:sz w:val="28"/>
          <w:szCs w:val="28"/>
        </w:rPr>
        <w:t>全年目标任务数为同比增长12%</w:t>
      </w:r>
      <w:r>
        <w:rPr>
          <w:rFonts w:hint="eastAsia" w:ascii="仿宋" w:hAnsi="仿宋" w:eastAsia="仿宋"/>
          <w:sz w:val="28"/>
          <w:szCs w:val="28"/>
        </w:rPr>
        <w:t>。</w:t>
      </w:r>
    </w:p>
    <w:p>
      <w:pPr>
        <w:topLinePunct/>
        <w:spacing w:line="520" w:lineRule="exact"/>
        <w:ind w:firstLine="700" w:firstLineChars="250"/>
        <w:rPr>
          <w:rFonts w:ascii="仿宋" w:hAnsi="仿宋" w:eastAsia="仿宋"/>
          <w:sz w:val="28"/>
          <w:szCs w:val="28"/>
          <w:highlight w:val="lightGray"/>
        </w:rPr>
      </w:pPr>
      <w:r>
        <w:rPr>
          <w:rFonts w:hint="eastAsia" w:ascii="仿宋_GB2312" w:hAnsi="仿宋_GB2312" w:eastAsia="仿宋_GB2312" w:cs="仿宋_GB2312"/>
          <w:color w:val="000000"/>
          <w:sz w:val="28"/>
          <w:szCs w:val="28"/>
        </w:rPr>
        <w:t>7</w:t>
      </w:r>
      <w:r>
        <w:rPr>
          <w:rFonts w:hint="eastAsia" w:ascii="仿宋" w:hAnsi="仿宋" w:eastAsia="仿宋"/>
          <w:sz w:val="28"/>
          <w:szCs w:val="28"/>
        </w:rPr>
        <w:t>、</w:t>
      </w:r>
      <w:r>
        <w:rPr>
          <w:rFonts w:ascii="仿宋" w:hAnsi="仿宋" w:eastAsia="仿宋"/>
          <w:sz w:val="28"/>
          <w:szCs w:val="28"/>
        </w:rPr>
        <w:t>201</w:t>
      </w:r>
      <w:r>
        <w:rPr>
          <w:rFonts w:hint="eastAsia" w:ascii="仿宋" w:hAnsi="仿宋" w:eastAsia="仿宋"/>
          <w:sz w:val="28"/>
          <w:szCs w:val="28"/>
        </w:rPr>
        <w:t>9</w:t>
      </w:r>
      <w:r>
        <w:rPr>
          <w:rFonts w:ascii="仿宋" w:hAnsi="仿宋" w:eastAsia="仿宋"/>
          <w:sz w:val="28"/>
          <w:szCs w:val="28"/>
        </w:rPr>
        <w:t>年，完成招商引资的区级目标任务8</w:t>
      </w:r>
      <w:r>
        <w:rPr>
          <w:rFonts w:hint="eastAsia" w:ascii="仿宋" w:hAnsi="仿宋" w:eastAsia="仿宋"/>
          <w:sz w:val="28"/>
          <w:szCs w:val="28"/>
        </w:rPr>
        <w:t>亿</w:t>
      </w:r>
      <w:r>
        <w:rPr>
          <w:rFonts w:ascii="仿宋" w:hAnsi="仿宋" w:eastAsia="仿宋"/>
          <w:sz w:val="28"/>
          <w:szCs w:val="28"/>
        </w:rPr>
        <w:t>元</w:t>
      </w:r>
      <w:r>
        <w:rPr>
          <w:rFonts w:hint="eastAsia" w:ascii="仿宋" w:hAnsi="仿宋" w:eastAsia="仿宋"/>
          <w:sz w:val="28"/>
          <w:szCs w:val="28"/>
        </w:rPr>
        <w:t>。</w:t>
      </w:r>
    </w:p>
    <w:p>
      <w:pPr>
        <w:topLinePunct/>
        <w:spacing w:line="520" w:lineRule="exact"/>
        <w:ind w:firstLine="700" w:firstLineChars="250"/>
        <w:rPr>
          <w:rFonts w:ascii="仿宋_GB2312" w:hAnsi="仿宋_GB2312" w:eastAsia="仿宋_GB2312" w:cs="仿宋_GB2312"/>
          <w:color w:val="000000"/>
          <w:sz w:val="28"/>
          <w:szCs w:val="28"/>
        </w:rPr>
      </w:pPr>
      <w:r>
        <w:rPr>
          <w:rFonts w:hint="eastAsia" w:ascii="仿宋" w:hAnsi="仿宋" w:eastAsia="仿宋"/>
          <w:sz w:val="28"/>
          <w:szCs w:val="28"/>
        </w:rPr>
        <w:t>8、完成上级及其他部门安排的其他任务，包括</w:t>
      </w:r>
      <w:r>
        <w:rPr>
          <w:rFonts w:ascii="仿宋" w:hAnsi="仿宋" w:eastAsia="仿宋"/>
          <w:sz w:val="28"/>
          <w:szCs w:val="28"/>
        </w:rPr>
        <w:t>路网建设工作</w:t>
      </w:r>
      <w:r>
        <w:rPr>
          <w:rFonts w:hint="eastAsia" w:ascii="仿宋" w:hAnsi="仿宋" w:eastAsia="仿宋"/>
          <w:sz w:val="28"/>
          <w:szCs w:val="28"/>
        </w:rPr>
        <w:t>、</w:t>
      </w:r>
      <w:r>
        <w:rPr>
          <w:rFonts w:ascii="仿宋" w:hAnsi="仿宋" w:eastAsia="仿宋"/>
          <w:sz w:val="28"/>
          <w:szCs w:val="28"/>
        </w:rPr>
        <w:t>民政工作</w:t>
      </w:r>
      <w:r>
        <w:rPr>
          <w:rFonts w:hint="eastAsia" w:ascii="仿宋" w:hAnsi="仿宋" w:eastAsia="仿宋"/>
          <w:sz w:val="28"/>
          <w:szCs w:val="28"/>
        </w:rPr>
        <w:t>、</w:t>
      </w:r>
      <w:r>
        <w:rPr>
          <w:rFonts w:ascii="仿宋" w:hAnsi="仿宋" w:eastAsia="仿宋"/>
          <w:sz w:val="28"/>
          <w:szCs w:val="28"/>
        </w:rPr>
        <w:t>社会保险工作</w:t>
      </w:r>
      <w:r>
        <w:rPr>
          <w:rFonts w:hint="eastAsia" w:ascii="仿宋" w:hAnsi="仿宋" w:eastAsia="仿宋"/>
          <w:sz w:val="28"/>
          <w:szCs w:val="28"/>
        </w:rPr>
        <w:t>、</w:t>
      </w:r>
      <w:r>
        <w:rPr>
          <w:rFonts w:ascii="仿宋" w:hAnsi="仿宋" w:eastAsia="仿宋"/>
          <w:sz w:val="28"/>
          <w:szCs w:val="28"/>
        </w:rPr>
        <w:t>教育工作</w:t>
      </w:r>
      <w:r>
        <w:rPr>
          <w:rFonts w:hint="eastAsia" w:ascii="仿宋" w:hAnsi="仿宋" w:eastAsia="仿宋"/>
          <w:sz w:val="28"/>
          <w:szCs w:val="28"/>
        </w:rPr>
        <w:t>、</w:t>
      </w:r>
      <w:r>
        <w:rPr>
          <w:rFonts w:ascii="仿宋" w:hAnsi="仿宋" w:eastAsia="仿宋"/>
          <w:sz w:val="28"/>
          <w:szCs w:val="28"/>
        </w:rPr>
        <w:t>文化体育工作</w:t>
      </w:r>
      <w:r>
        <w:rPr>
          <w:rFonts w:hint="eastAsia" w:ascii="仿宋" w:hAnsi="仿宋" w:eastAsia="仿宋"/>
          <w:sz w:val="28"/>
          <w:szCs w:val="28"/>
        </w:rPr>
        <w:t>、</w:t>
      </w:r>
      <w:r>
        <w:rPr>
          <w:rFonts w:ascii="仿宋" w:hAnsi="仿宋" w:eastAsia="仿宋"/>
          <w:sz w:val="28"/>
          <w:szCs w:val="28"/>
        </w:rPr>
        <w:t>卫生、计生、防艾工作等</w:t>
      </w:r>
      <w:r>
        <w:rPr>
          <w:rFonts w:hint="eastAsia" w:ascii="仿宋" w:hAnsi="仿宋" w:eastAsia="仿宋"/>
          <w:sz w:val="28"/>
          <w:szCs w:val="28"/>
        </w:rPr>
        <w:t>。</w:t>
      </w:r>
    </w:p>
    <w:p>
      <w:pPr>
        <w:topLinePunct/>
        <w:spacing w:line="520" w:lineRule="exact"/>
        <w:ind w:firstLine="560" w:firstLineChars="200"/>
        <w:rPr>
          <w:rFonts w:ascii="黑体" w:hAnsi="黑体" w:eastAsia="黑体"/>
          <w:sz w:val="28"/>
          <w:szCs w:val="28"/>
        </w:rPr>
      </w:pPr>
      <w:r>
        <w:rPr>
          <w:rFonts w:hint="eastAsia" w:ascii="黑体" w:hAnsi="黑体" w:eastAsia="黑体"/>
          <w:sz w:val="28"/>
          <w:szCs w:val="28"/>
        </w:rPr>
        <w:t>三、评价思路和过程</w:t>
      </w:r>
    </w:p>
    <w:p>
      <w:pPr>
        <w:topLinePunct/>
        <w:spacing w:line="520" w:lineRule="exact"/>
        <w:ind w:firstLine="700" w:firstLineChars="250"/>
        <w:rPr>
          <w:rFonts w:ascii="仿宋" w:hAnsi="仿宋" w:eastAsia="仿宋"/>
          <w:sz w:val="28"/>
          <w:szCs w:val="28"/>
        </w:rPr>
      </w:pPr>
      <w:r>
        <w:rPr>
          <w:rFonts w:hint="eastAsia" w:ascii="仿宋" w:hAnsi="仿宋" w:eastAsia="仿宋"/>
          <w:sz w:val="28"/>
          <w:szCs w:val="28"/>
        </w:rPr>
        <w:t>（一）评价思路：确认当年度部门整体支出的绩效目标→梳理部门内部管理制度及存量资源→分析确定当年度部门整体支出的评价重点→构建绩效评价指标体系。</w:t>
      </w:r>
    </w:p>
    <w:p>
      <w:pPr>
        <w:adjustRightInd w:val="0"/>
        <w:spacing w:line="520" w:lineRule="exact"/>
        <w:ind w:firstLine="560" w:firstLineChars="200"/>
        <w:rPr>
          <w:rFonts w:ascii="仿宋" w:hAnsi="仿宋" w:eastAsia="仿宋"/>
          <w:sz w:val="28"/>
          <w:szCs w:val="28"/>
        </w:rPr>
      </w:pPr>
      <w:r>
        <w:rPr>
          <w:rFonts w:hint="eastAsia" w:ascii="仿宋" w:hAnsi="仿宋" w:eastAsia="仿宋"/>
          <w:sz w:val="28"/>
          <w:szCs w:val="28"/>
        </w:rPr>
        <w:t>（二）评价目的。</w:t>
      </w:r>
      <w:r>
        <w:rPr>
          <w:rFonts w:hint="eastAsia" w:ascii="仿宋" w:hAnsi="仿宋" w:eastAsia="仿宋" w:cs="仿宋_GB2312"/>
          <w:color w:val="000000"/>
          <w:kern w:val="0"/>
          <w:sz w:val="28"/>
          <w:szCs w:val="28"/>
        </w:rPr>
        <w:t>通过收集部门（单位）基本情况、预算制定与明细、部门中长期规划目标及组织架构等信息，分析部门（单位）资源配置的合理性及中长期规划目标完成与履职情况，总结经验做法，找出预算绩效管理中的薄弱环节，提出改进建议，提高财政资金的使用效益。</w:t>
      </w:r>
    </w:p>
    <w:p>
      <w:pPr>
        <w:topLinePunct/>
        <w:spacing w:line="520" w:lineRule="exact"/>
        <w:ind w:firstLine="700" w:firstLineChars="250"/>
        <w:rPr>
          <w:rFonts w:ascii="仿宋" w:hAnsi="仿宋" w:eastAsia="仿宋"/>
          <w:sz w:val="28"/>
          <w:szCs w:val="28"/>
        </w:rPr>
      </w:pPr>
      <w:r>
        <w:rPr>
          <w:rFonts w:hint="eastAsia" w:ascii="仿宋" w:hAnsi="仿宋" w:eastAsia="仿宋"/>
          <w:sz w:val="28"/>
          <w:szCs w:val="28"/>
        </w:rPr>
        <w:t>（三）评价依据。</w:t>
      </w:r>
    </w:p>
    <w:p>
      <w:pPr>
        <w:topLinePunct/>
        <w:spacing w:line="520" w:lineRule="exact"/>
        <w:ind w:firstLine="700" w:firstLineChars="250"/>
        <w:rPr>
          <w:rFonts w:ascii="仿宋" w:hAnsi="仿宋" w:eastAsia="仿宋" w:cs="仿宋"/>
          <w:color w:val="000000"/>
          <w:sz w:val="28"/>
          <w:szCs w:val="28"/>
        </w:rPr>
      </w:pPr>
      <w:r>
        <w:rPr>
          <w:rFonts w:hint="eastAsia" w:ascii="仿宋" w:hAnsi="仿宋" w:eastAsia="仿宋" w:cs="仿宋"/>
          <w:color w:val="000000"/>
          <w:sz w:val="28"/>
          <w:szCs w:val="28"/>
        </w:rPr>
        <w:t>1、预算管理制度、资金及财务管理办法、财务会计资料；</w:t>
      </w:r>
    </w:p>
    <w:p>
      <w:pPr>
        <w:topLinePunct/>
        <w:spacing w:line="520" w:lineRule="exact"/>
        <w:ind w:firstLine="700" w:firstLineChars="250"/>
        <w:rPr>
          <w:rFonts w:ascii="仿宋" w:hAnsi="仿宋" w:eastAsia="仿宋" w:cs="仿宋"/>
          <w:color w:val="000000"/>
          <w:sz w:val="28"/>
          <w:szCs w:val="28"/>
        </w:rPr>
      </w:pPr>
      <w:r>
        <w:rPr>
          <w:rFonts w:hint="eastAsia" w:ascii="仿宋" w:hAnsi="仿宋" w:eastAsia="仿宋" w:cs="仿宋"/>
          <w:color w:val="000000"/>
          <w:sz w:val="28"/>
          <w:szCs w:val="28"/>
        </w:rPr>
        <w:t>2、预算部门职能职责、中长期发展规划及年度工作计划；</w:t>
      </w:r>
    </w:p>
    <w:p>
      <w:pPr>
        <w:topLinePunct/>
        <w:spacing w:line="520" w:lineRule="exact"/>
        <w:ind w:firstLine="700" w:firstLineChars="250"/>
        <w:rPr>
          <w:rFonts w:ascii="仿宋" w:hAnsi="仿宋" w:eastAsia="仿宋" w:cs="仿宋"/>
          <w:color w:val="000000"/>
          <w:sz w:val="28"/>
          <w:szCs w:val="28"/>
        </w:rPr>
      </w:pPr>
      <w:r>
        <w:rPr>
          <w:rFonts w:hint="eastAsia" w:ascii="仿宋" w:hAnsi="仿宋" w:eastAsia="仿宋" w:cs="仿宋"/>
          <w:color w:val="000000"/>
          <w:sz w:val="28"/>
          <w:szCs w:val="28"/>
        </w:rPr>
        <w:t>3、政府政策、行业标准及专业技术规范、及相关指标；</w:t>
      </w:r>
    </w:p>
    <w:p>
      <w:pPr>
        <w:topLinePunct/>
        <w:spacing w:line="520" w:lineRule="exact"/>
        <w:ind w:firstLine="700" w:firstLineChars="250"/>
        <w:rPr>
          <w:rFonts w:ascii="仿宋" w:hAnsi="仿宋" w:eastAsia="仿宋" w:cs="仿宋"/>
          <w:color w:val="000000"/>
          <w:sz w:val="28"/>
          <w:szCs w:val="28"/>
        </w:rPr>
      </w:pPr>
      <w:r>
        <w:rPr>
          <w:rFonts w:hint="eastAsia" w:ascii="仿宋" w:hAnsi="仿宋" w:eastAsia="仿宋" w:cs="仿宋"/>
          <w:color w:val="000000"/>
          <w:sz w:val="28"/>
          <w:szCs w:val="28"/>
        </w:rPr>
        <w:t>4、申请预算时提出的绩效目标及其他相关材料，财政部门预算批复，财政部门和预算部门年度预算执行情况，年度决算报告；</w:t>
      </w:r>
    </w:p>
    <w:p>
      <w:pPr>
        <w:topLinePunct/>
        <w:spacing w:line="520" w:lineRule="exact"/>
        <w:ind w:firstLine="700" w:firstLineChars="250"/>
        <w:rPr>
          <w:rFonts w:ascii="仿宋" w:hAnsi="仿宋" w:eastAsia="仿宋" w:cs="仿宋"/>
          <w:color w:val="000000"/>
          <w:sz w:val="28"/>
          <w:szCs w:val="28"/>
        </w:rPr>
      </w:pPr>
      <w:r>
        <w:rPr>
          <w:rFonts w:hint="eastAsia" w:ascii="仿宋" w:hAnsi="仿宋" w:eastAsia="仿宋" w:cs="仿宋"/>
          <w:color w:val="000000"/>
          <w:sz w:val="28"/>
          <w:szCs w:val="28"/>
        </w:rPr>
        <w:t>5、其他相关资料。</w:t>
      </w:r>
    </w:p>
    <w:p>
      <w:pPr>
        <w:topLinePunct/>
        <w:spacing w:line="520" w:lineRule="exact"/>
        <w:ind w:firstLine="700" w:firstLineChars="250"/>
        <w:rPr>
          <w:rFonts w:ascii="仿宋" w:hAnsi="仿宋" w:eastAsia="仿宋"/>
          <w:sz w:val="28"/>
          <w:szCs w:val="28"/>
        </w:rPr>
      </w:pPr>
      <w:r>
        <w:rPr>
          <w:rFonts w:hint="eastAsia" w:ascii="仿宋" w:hAnsi="仿宋" w:eastAsia="仿宋"/>
          <w:sz w:val="28"/>
          <w:szCs w:val="28"/>
        </w:rPr>
        <w:t>（四）评价对象及评价时段。</w:t>
      </w:r>
    </w:p>
    <w:p>
      <w:pPr>
        <w:spacing w:line="520" w:lineRule="exact"/>
        <w:ind w:firstLine="280" w:firstLineChars="100"/>
        <w:rPr>
          <w:rFonts w:ascii="仿宋" w:hAnsi="仿宋" w:eastAsia="仿宋" w:cs="仿宋"/>
          <w:color w:val="000000"/>
          <w:sz w:val="28"/>
          <w:szCs w:val="28"/>
        </w:rPr>
      </w:pPr>
      <w:r>
        <w:rPr>
          <w:rFonts w:hint="eastAsia" w:ascii="仿宋" w:hAnsi="仿宋" w:eastAsia="仿宋" w:cs="仿宋"/>
          <w:color w:val="000000"/>
          <w:sz w:val="28"/>
          <w:szCs w:val="28"/>
        </w:rPr>
        <w:t xml:space="preserve">  绩效评价的对象包括盘龙区人民政府东华街道办事处入预算管理的整体支出，评价时段为2019年1月1日至2019年12月31日。</w:t>
      </w:r>
    </w:p>
    <w:p>
      <w:pPr>
        <w:topLinePunct/>
        <w:spacing w:line="520" w:lineRule="exact"/>
        <w:ind w:firstLine="560" w:firstLineChars="200"/>
        <w:rPr>
          <w:rFonts w:ascii="黑体" w:hAnsi="黑体" w:eastAsia="黑体"/>
          <w:sz w:val="28"/>
          <w:szCs w:val="28"/>
        </w:rPr>
      </w:pPr>
      <w:r>
        <w:rPr>
          <w:rFonts w:hint="eastAsia" w:ascii="黑体" w:hAnsi="黑体" w:eastAsia="黑体"/>
          <w:sz w:val="28"/>
          <w:szCs w:val="28"/>
        </w:rPr>
        <w:t>四、评价结论和绩效分析</w:t>
      </w:r>
    </w:p>
    <w:p>
      <w:pPr>
        <w:topLinePunct/>
        <w:spacing w:line="520" w:lineRule="exact"/>
        <w:ind w:firstLine="700" w:firstLineChars="250"/>
        <w:rPr>
          <w:rFonts w:ascii="仿宋" w:hAnsi="仿宋" w:eastAsia="仿宋"/>
          <w:sz w:val="28"/>
          <w:szCs w:val="28"/>
        </w:rPr>
      </w:pPr>
      <w:r>
        <w:rPr>
          <w:rFonts w:hint="eastAsia" w:ascii="仿宋" w:hAnsi="仿宋" w:eastAsia="仿宋"/>
          <w:sz w:val="28"/>
          <w:szCs w:val="28"/>
        </w:rPr>
        <w:t>（一）评价结论。</w:t>
      </w:r>
    </w:p>
    <w:p>
      <w:pPr>
        <w:topLinePunct/>
        <w:spacing w:line="52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盘龙区人民政府东华街道办事处2019年度整体部门评价得分99分，评价结果为优。</w:t>
      </w:r>
    </w:p>
    <w:p>
      <w:pPr>
        <w:topLinePunct/>
        <w:spacing w:line="52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（二）主要绩效</w:t>
      </w:r>
    </w:p>
    <w:p>
      <w:pPr>
        <w:spacing w:line="52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1、经济工作稳中求进。2019年协税护税目标任务数29,534万元，1-12月完成28,066万元,完成任务的95.03%；2019年招商引资目标任务数80,000万元，1-12月完成85,568.41万元，完成任务的107%；2019年固定资产投资目标任务数250,000万元，1-12月上报完成20.0306亿元，完成任务的80.12%；2019年限额以上社会消费品零售总额，目标任务数同比增长12%，1-12月上报完成14.8572亿元，同比增长6%；2019年城镇居民人均可支配收入目标任务57,653元，同比增长8%，1-12月完成58,050元，完成任务数的100.69%。2019年，辖区3栋楼宇出租率：金平果商务大厦89 %，霖岚国际82%，凯悦时代79%，入驻企业共321家，税收达到9000余万元，总部企业税收达到800余万元，新增楼宇企业30余家，新增楼宇税收1,000余万元。</w:t>
      </w:r>
    </w:p>
    <w:p>
      <w:pPr>
        <w:spacing w:line="52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2、项目建设取得新进展。新草房城中村改造项目完成了回迁安置房交房工作，商业新迎新城购物中心于2019年10月18日开业。周家营·石闸村城中村改造项目正在通过开展依法征收的方式对剩余2宗国有土地进行依法征收，爱琴海购物公园于2019年9月28日开业。蒋家营城中村改造项目回迁安置房已交付，破产重整工作进入收尾，即将转向后续全面复工。东华北区老旧住宅小区改建项目一期建成完工，正在准备二三期启动前期工作。地铁4号线东华站、5号线白云路站、穿金路站沿线地上建构筑物及附属物完成了拆除任务，目前施工单位已进场正常施工建设。</w:t>
      </w:r>
    </w:p>
    <w:p>
      <w:pPr>
        <w:spacing w:line="52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3、社会治理是国家治理的重要内容，关乎民生福祉，关乎社会和谐。东华街道历来高度重视社会治理工作，按照“一个中心，两个支点，逐步推开”的思路，继续加大社会治理创新，探索打造盘龙区社区治理工作的东华样板。一是强化政治导向，将党的建设融入社区治理始终。加强和创新社会治理工作离不开党的领导，东华街道在工作中，注重将党的领导和我国社会主义制度优势转化为社会治理优势。充分发挥社区党组织在社区治理创新中的核心作用，教育广大党员率先垂范，引导广大群众提高政治觉悟，坚定不移跟党走，推动社会治理沿着正确方向前进。如因地制宜，在辖区文汇路打造党建长廊，让走过路过的党员群众，了解党史、感知党恩，拥护党的领导。二是坚持协调导向，充分调动志愿者及志愿者队伍参与社区治理。为充分调动志愿者及志愿者队伍参与社区治理工作，探索制定《东华街道志愿者及志愿者队伍参与共建共治活动激励办法（试行）》，为参与东华社会治理工作的广大志愿者和志愿者队伍提供一定的物质奖励和精神奖励，截止目前，已有522人注册为东华街道志愿者，街道、社区共计发布活动65 次，参与人员累计315人，积攒金豆共计383颗。三是结合创建全国文明城市，对各社区综合文化服务中心进行提升改造，加强对社区班子成员、工作人员思想教育及业务工作培训，制定并完善社区考核办法，进一步加强对社区工作人员作风建设。</w:t>
      </w:r>
    </w:p>
    <w:p>
      <w:pPr>
        <w:spacing w:line="52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 xml:space="preserve">4、细管理，辖区人居环境显著提升。一是加强对辖区市容环境进行巡查及检查，督促京云盘宸公司严格落实保洁制度，确实做好辖区道路的清扫保洁和生活垃圾的清运，做到日产日清。二是扎实开展绿化管养工作，完成东华街道办事处辖区范围内“荒地硬地变绿地”600㎡、完成新迎路口的景观提升改造、完成白邑寺公园及“五个十”小游园提升改造移交、同时做好辖区绿化苗木的抗旱保苗、病虫害防治及其它日常养护项目的实施。三是加强物业管理、考核。督促物业公司按照实地测评标准配合开展创文工作，以确保物业服务小区达到创文相关标准。对环境卫生进行清理整治，清理小广告、楼道杂物、修复破损公共设施、完善物业管理等进行对标整改。四是扎实开展滇池保护治理工作，完成金汁河东华段河道清淤及河堤两岸杂草割除2.3公里，清淤量约800方，完成穿金路化机厂、轻机厂、田园路片区淹水点排水管网清淤除障，清掏排水管网2千米，清淤量约500方，合计约1300方。五是扎实开展生态环境保护工作，提高清扫保洁力度和洒水降尘频次，尤其加强对工地聚集区域的洒水降尘频次。要求保洁公司每天按合同标准完成辖区48469平方米主次道路洒水降尘和道路冲洗工作，重点是人民东路、环城东路、白龙路、穿金路、二环东路、白云路、新迎路、新兴路、文艺路等主要道路，每天共计出动人员12人，车辆4辆，用水量260吨。六是将网格化管理工作落实落细。街道划分网格35个，探索建立了“四定”（定区域、定人员、定职责、定考核）网格化管理机制，明确“五员进网”中三级网格长和五类网格员（网格监督员、社区工作人员、城管执法人员、环卫保洁人员、社区民警）工作职责，确保工作落实到人到岗，以责任的压实推动工作落地见效。                                </w:t>
      </w:r>
    </w:p>
    <w:p>
      <w:pPr>
        <w:spacing w:line="52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5、惠民生，坚定不移增进百姓福祉。一是落实好计划生育惠民政策，认真抓好计划生育家庭各种奖励优惠政策，法定奖励优惠政策兑现率100%，按时开展网上办理壹孩、二孩生育登记，并核发生育服务证，做好云南省全员人口信息平台的录入、反馈。二是建立健全东华辖区群众文体骨干队伍，充分发挥辖区文艺团体、文体资源开展文体活动及全民健身活动；三是扎实开展医疗、临时、特殊困难救助工作；四是深化为民服务工作，截止目前，街道为民服务中心、办件24583件，办结率100%，接待群众咨询38711人次；五是社会保障不断加强。做好了就业再就业、大学生就业扶持、城乡居民养老保险、城镇居民医疗保险及职工医疗保险核定、企业扶持及维护劳动者合法权益工作，切实保障群众利益；六是确实抓好退役军人服务工作。积极做好退役军人咨询服务、就业指导、创业扶持等相关准备工作。</w:t>
      </w:r>
    </w:p>
    <w:p>
      <w:pPr>
        <w:spacing w:line="520" w:lineRule="exact"/>
        <w:ind w:firstLine="560" w:firstLineChars="200"/>
        <w:rPr>
          <w:rFonts w:ascii="仿宋" w:hAnsi="仿宋" w:eastAsia="仿宋" w:cs="仿宋"/>
          <w:color w:val="000000"/>
          <w:sz w:val="28"/>
          <w:szCs w:val="28"/>
          <w:highlight w:val="lightGray"/>
        </w:rPr>
      </w:pPr>
      <w:r>
        <w:rPr>
          <w:rFonts w:hint="eastAsia" w:ascii="仿宋" w:hAnsi="仿宋" w:eastAsia="仿宋" w:cs="仿宋"/>
          <w:color w:val="000000"/>
          <w:sz w:val="28"/>
          <w:szCs w:val="28"/>
        </w:rPr>
        <w:t>6、抓治理，凝心聚力优化社会环境。一是落实综治维稳责任制，层层签订各类专项工作责任书，增强各级人员的责任意识。二是加大对因城中村片区拆除改造引起的矛盾的收集、研判、沟通和报送工作，及时获取涉及社会稳定的情报信息，牢牢掌握应对和处置工作的主动权。三是持续开展安全生产大检查及专项整治工作，加大安全宣传教育培训工作，不断提高全民安全意识，加强应急救援体系建设，完善各类安全生产应急救援预案，形成“横向到边，纵向到底”的应急救援系统。四是运用街道综治中心智慧平台校园及周边治理模块和夜巡队模块整合资源，汇聚各方力量，使社会治安综合治理和安全生产在线监控、在线管理、在线处置。五是全面落实好扫黑除恶工作，完善台账资料，形成工作专班，对辖区乱点进行整治。</w:t>
      </w:r>
    </w:p>
    <w:p>
      <w:pPr>
        <w:topLinePunct/>
        <w:spacing w:line="520" w:lineRule="exact"/>
        <w:ind w:firstLine="700" w:firstLineChars="250"/>
        <w:rPr>
          <w:rFonts w:ascii="仿宋" w:hAnsi="仿宋" w:eastAsia="仿宋" w:cs="仿宋"/>
          <w:sz w:val="28"/>
          <w:szCs w:val="28"/>
        </w:rPr>
      </w:pPr>
      <w:r>
        <w:rPr>
          <w:rFonts w:hint="eastAsia" w:ascii="仿宋" w:hAnsi="仿宋" w:eastAsia="仿宋" w:cs="仿宋"/>
          <w:sz w:val="28"/>
          <w:szCs w:val="28"/>
        </w:rPr>
        <w:t>（二）具体绩效分析。</w:t>
      </w:r>
    </w:p>
    <w:p>
      <w:pPr>
        <w:topLinePunct/>
        <w:spacing w:line="52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根据指标评价结果显示，盘龙区人民政府东华街道办事处在绩效指标明确性方面存在不足，其他指标得分均为满分。</w:t>
      </w:r>
    </w:p>
    <w:p>
      <w:pPr>
        <w:topLinePunct/>
        <w:spacing w:line="520" w:lineRule="exact"/>
        <w:ind w:firstLine="560" w:firstLineChars="200"/>
        <w:rPr>
          <w:rFonts w:ascii="仿宋" w:hAnsi="仿宋" w:eastAsia="仿宋"/>
          <w:sz w:val="28"/>
          <w:szCs w:val="28"/>
          <w:lang w:val="zh-CN"/>
        </w:rPr>
      </w:pPr>
      <w:r>
        <w:rPr>
          <w:rFonts w:hint="eastAsia" w:ascii="仿宋" w:hAnsi="仿宋" w:eastAsia="仿宋" w:cs="仿宋"/>
          <w:color w:val="000000"/>
          <w:sz w:val="28"/>
          <w:szCs w:val="28"/>
        </w:rPr>
        <w:t>A1部门目标指标满分12分，得分11分，扣分项在A15绩效指标明确性方面。绩效指标明确性满分3分，得分2分。根据部门年度重点工作任务与工作计划，绩效目标申报表分析结果，预算绩效指标不够量化细化，得分2分。</w:t>
      </w:r>
    </w:p>
    <w:p>
      <w:pPr>
        <w:topLinePunct/>
        <w:spacing w:line="520" w:lineRule="exact"/>
        <w:ind w:firstLine="560" w:firstLineChars="200"/>
        <w:rPr>
          <w:rFonts w:ascii="仿宋" w:hAnsi="仿宋" w:eastAsia="仿宋"/>
          <w:sz w:val="28"/>
          <w:szCs w:val="28"/>
          <w:lang w:val="zh-CN"/>
        </w:rPr>
      </w:pPr>
      <w:r>
        <w:rPr>
          <w:rFonts w:ascii="仿宋" w:hAnsi="仿宋" w:eastAsia="仿宋"/>
          <w:sz w:val="28"/>
          <w:szCs w:val="28"/>
          <w:lang w:val="zh-CN"/>
        </w:rPr>
        <w:t>具体得分情况</w:t>
      </w:r>
      <w:r>
        <w:rPr>
          <w:rFonts w:hint="eastAsia" w:ascii="仿宋" w:hAnsi="仿宋" w:eastAsia="仿宋"/>
          <w:sz w:val="28"/>
          <w:szCs w:val="28"/>
          <w:lang w:val="zh-CN"/>
        </w:rPr>
        <w:t>，</w:t>
      </w:r>
      <w:r>
        <w:rPr>
          <w:rFonts w:ascii="仿宋" w:hAnsi="仿宋" w:eastAsia="仿宋"/>
          <w:sz w:val="28"/>
          <w:szCs w:val="28"/>
          <w:lang w:val="zh-CN"/>
        </w:rPr>
        <w:t>详见附件</w:t>
      </w:r>
      <w:r>
        <w:rPr>
          <w:rFonts w:hint="eastAsia" w:ascii="仿宋" w:hAnsi="仿宋" w:eastAsia="仿宋"/>
          <w:sz w:val="28"/>
          <w:szCs w:val="28"/>
          <w:lang w:val="zh-CN"/>
        </w:rPr>
        <w:t>3。</w:t>
      </w:r>
    </w:p>
    <w:p>
      <w:pPr>
        <w:topLinePunct/>
        <w:spacing w:line="520" w:lineRule="exact"/>
        <w:ind w:firstLine="560" w:firstLineChars="200"/>
        <w:rPr>
          <w:rFonts w:ascii="黑体" w:hAnsi="黑体" w:eastAsia="黑体"/>
          <w:sz w:val="28"/>
          <w:szCs w:val="28"/>
        </w:rPr>
      </w:pPr>
      <w:r>
        <w:rPr>
          <w:rFonts w:hint="eastAsia" w:ascii="黑体" w:hAnsi="黑体" w:eastAsia="黑体"/>
          <w:sz w:val="28"/>
          <w:szCs w:val="28"/>
        </w:rPr>
        <w:t>五、主要经验做法</w:t>
      </w:r>
    </w:p>
    <w:p>
      <w:pPr>
        <w:topLinePunct/>
        <w:spacing w:line="520" w:lineRule="exact"/>
        <w:ind w:firstLine="560" w:firstLineChars="200"/>
        <w:rPr>
          <w:rFonts w:ascii="仿宋" w:hAnsi="仿宋" w:eastAsia="仿宋"/>
          <w:sz w:val="28"/>
          <w:szCs w:val="28"/>
          <w:lang w:val="zh-CN"/>
        </w:rPr>
      </w:pPr>
      <w:r>
        <w:rPr>
          <w:rFonts w:hint="eastAsia" w:ascii="仿宋" w:hAnsi="仿宋" w:eastAsia="仿宋"/>
          <w:sz w:val="28"/>
          <w:szCs w:val="28"/>
          <w:lang w:val="zh-CN"/>
        </w:rPr>
        <w:t>东华街道办事处在区委、区政府的坚强领导下，在区人大、政协的关心支持下，深入学习贯彻党的十九大精神、习近平新时代中国特色社会主义思想，对照区第十一次党代会、区委十一届六次全会、区委十一届七次全会和区“两会”确定的各项目标任务，紧紧围绕区委、区政府各项工作安排部署，开拓进取，攻坚克难，抢抓机遇，创新实干，扎实推进办事处各项工作，实现辖区经济和社会各项事业的又好又快发展。</w:t>
      </w:r>
    </w:p>
    <w:p>
      <w:pPr>
        <w:topLinePunct/>
        <w:spacing w:line="520" w:lineRule="exact"/>
        <w:ind w:firstLine="562" w:firstLineChars="200"/>
        <w:rPr>
          <w:rFonts w:ascii="仿宋" w:hAnsi="仿宋" w:eastAsia="仿宋"/>
          <w:b/>
          <w:bCs/>
          <w:sz w:val="28"/>
          <w:szCs w:val="28"/>
          <w:lang w:val="zh-CN"/>
        </w:rPr>
      </w:pPr>
      <w:r>
        <w:rPr>
          <w:rFonts w:hint="eastAsia" w:ascii="仿宋" w:hAnsi="仿宋" w:eastAsia="仿宋"/>
          <w:b/>
          <w:bCs/>
          <w:sz w:val="28"/>
          <w:szCs w:val="28"/>
          <w:lang w:val="zh-CN"/>
        </w:rPr>
        <w:t>六、</w:t>
      </w:r>
      <w:bookmarkStart w:id="0" w:name="_Hlk44931933"/>
      <w:r>
        <w:rPr>
          <w:rFonts w:hint="eastAsia" w:ascii="仿宋" w:hAnsi="仿宋" w:eastAsia="仿宋"/>
          <w:b/>
          <w:bCs/>
          <w:sz w:val="28"/>
          <w:szCs w:val="28"/>
          <w:lang w:val="zh-CN"/>
        </w:rPr>
        <w:t>绩效自评结果应用</w:t>
      </w:r>
      <w:bookmarkEnd w:id="0"/>
    </w:p>
    <w:p>
      <w:pPr>
        <w:topLinePunct/>
        <w:spacing w:line="520" w:lineRule="exact"/>
        <w:ind w:firstLine="560" w:firstLineChars="200"/>
        <w:rPr>
          <w:rFonts w:hint="eastAsia" w:ascii="仿宋" w:hAnsi="仿宋" w:eastAsia="仿宋"/>
          <w:sz w:val="28"/>
          <w:szCs w:val="28"/>
          <w:lang w:val="zh-CN"/>
        </w:rPr>
      </w:pPr>
      <w:bookmarkStart w:id="1" w:name="_Hlk44931956"/>
      <w:r>
        <w:rPr>
          <w:rFonts w:hint="eastAsia" w:ascii="仿宋" w:hAnsi="仿宋" w:eastAsia="仿宋"/>
          <w:sz w:val="28"/>
          <w:szCs w:val="28"/>
          <w:lang w:val="zh-CN"/>
        </w:rPr>
        <w:t>东华街道办事处通过开展绩效自评工作，加强财政资金支出管理、增强资金绩效理念、强化资金管理水平、提高资金使用效益。将绩效自评结果运用到下年度预算编制工作中，与预算绩效目标编制挂钩，对评价结果优秀的项目，在安排后续资金时给与充分保障，对绩效自评中存在的问题在下年工作中及时跟进，对能整改的及时整改</w:t>
      </w:r>
      <w:bookmarkEnd w:id="1"/>
      <w:r>
        <w:rPr>
          <w:rFonts w:hint="eastAsia" w:ascii="仿宋" w:hAnsi="仿宋" w:eastAsia="仿宋"/>
          <w:sz w:val="28"/>
          <w:szCs w:val="28"/>
          <w:lang w:val="zh-CN"/>
        </w:rPr>
        <w:t>。</w:t>
      </w:r>
    </w:p>
    <w:p>
      <w:pPr>
        <w:topLinePunct/>
        <w:spacing w:line="520" w:lineRule="exact"/>
        <w:ind w:firstLine="560" w:firstLineChars="200"/>
        <w:rPr>
          <w:rFonts w:ascii="黑体" w:hAnsi="黑体" w:eastAsia="黑体"/>
          <w:sz w:val="28"/>
          <w:szCs w:val="28"/>
        </w:rPr>
      </w:pPr>
      <w:r>
        <w:rPr>
          <w:rFonts w:hint="eastAsia" w:ascii="黑体" w:hAnsi="黑体" w:eastAsia="黑体"/>
          <w:sz w:val="28"/>
          <w:szCs w:val="28"/>
        </w:rPr>
        <w:t>七、存在的问题</w:t>
      </w:r>
    </w:p>
    <w:p>
      <w:pPr>
        <w:tabs>
          <w:tab w:val="center" w:pos="4436"/>
        </w:tabs>
        <w:topLinePunct/>
        <w:spacing w:line="520" w:lineRule="exact"/>
        <w:ind w:firstLine="560" w:firstLineChars="200"/>
        <w:rPr>
          <w:rFonts w:ascii="仿宋" w:hAnsi="仿宋" w:eastAsia="仿宋"/>
          <w:sz w:val="28"/>
          <w:szCs w:val="28"/>
          <w:lang w:val="zh-CN"/>
        </w:rPr>
      </w:pPr>
      <w:r>
        <w:rPr>
          <w:rFonts w:hint="eastAsia" w:ascii="仿宋" w:hAnsi="仿宋" w:eastAsia="仿宋"/>
          <w:sz w:val="28"/>
          <w:szCs w:val="28"/>
        </w:rPr>
        <w:t>1、</w:t>
      </w:r>
      <w:r>
        <w:rPr>
          <w:rFonts w:hint="eastAsia" w:ascii="仿宋" w:hAnsi="仿宋" w:eastAsia="仿宋"/>
          <w:sz w:val="28"/>
          <w:szCs w:val="28"/>
          <w:lang w:val="zh-CN"/>
        </w:rPr>
        <w:t>仍然存在部分工程项目停工及资金困难的情况，造成延期交付使用，及各种矛盾易发多发，由此带来较大的维稳压力。</w:t>
      </w:r>
    </w:p>
    <w:p>
      <w:pPr>
        <w:tabs>
          <w:tab w:val="center" w:pos="4436"/>
        </w:tabs>
        <w:topLinePunct/>
        <w:spacing w:line="520" w:lineRule="exact"/>
        <w:ind w:firstLine="560" w:firstLineChars="200"/>
        <w:rPr>
          <w:rFonts w:ascii="仿宋" w:hAnsi="仿宋" w:eastAsia="仿宋"/>
          <w:sz w:val="28"/>
          <w:szCs w:val="28"/>
          <w:lang w:val="zh-CN"/>
        </w:rPr>
      </w:pPr>
      <w:r>
        <w:rPr>
          <w:rFonts w:hint="eastAsia" w:ascii="仿宋" w:hAnsi="仿宋" w:eastAsia="仿宋"/>
          <w:sz w:val="28"/>
          <w:szCs w:val="28"/>
        </w:rPr>
        <w:t>2、</w:t>
      </w:r>
      <w:r>
        <w:rPr>
          <w:rFonts w:hint="eastAsia" w:ascii="仿宋" w:hAnsi="仿宋" w:eastAsia="仿宋"/>
          <w:sz w:val="28"/>
          <w:szCs w:val="28"/>
          <w:lang w:val="zh-CN"/>
        </w:rPr>
        <w:t>街道辖区老旧居民区居多，民生工作任务量大，涉及的群体范围广，热点的民生问题如就业、居家养老、老旧居民小区管理、小区停车难等问题较为突出，因此民生保障工作压力较大。</w:t>
      </w:r>
    </w:p>
    <w:p>
      <w:pPr>
        <w:tabs>
          <w:tab w:val="center" w:pos="4436"/>
        </w:tabs>
        <w:topLinePunct/>
        <w:spacing w:line="520" w:lineRule="exact"/>
        <w:ind w:firstLine="560" w:firstLineChars="200"/>
        <w:rPr>
          <w:rFonts w:ascii="黑体" w:hAnsi="黑体" w:eastAsia="黑体"/>
          <w:sz w:val="28"/>
          <w:szCs w:val="28"/>
        </w:rPr>
      </w:pPr>
      <w:r>
        <w:rPr>
          <w:rFonts w:hint="eastAsia" w:ascii="仿宋" w:hAnsi="仿宋" w:eastAsia="仿宋"/>
          <w:sz w:val="28"/>
          <w:szCs w:val="28"/>
        </w:rPr>
        <w:t>3、东华街道办在经历大开发后，</w:t>
      </w:r>
      <w:r>
        <w:rPr>
          <w:rFonts w:hint="eastAsia" w:ascii="仿宋" w:hAnsi="仿宋" w:eastAsia="仿宋"/>
          <w:sz w:val="28"/>
          <w:szCs w:val="28"/>
          <w:lang w:val="zh-CN"/>
        </w:rPr>
        <w:t>辖区内基本没有可供开发建设的土地，只剩下密集的居民区，存在发展空间极度受限的问题。</w:t>
      </w:r>
    </w:p>
    <w:p>
      <w:pPr>
        <w:topLinePunct/>
        <w:spacing w:line="520" w:lineRule="exact"/>
        <w:ind w:firstLine="560" w:firstLineChars="200"/>
        <w:rPr>
          <w:rFonts w:ascii="黑体" w:hAnsi="黑体" w:eastAsia="黑体"/>
          <w:sz w:val="28"/>
          <w:szCs w:val="28"/>
        </w:rPr>
      </w:pPr>
      <w:r>
        <w:rPr>
          <w:rFonts w:hint="eastAsia" w:ascii="黑体" w:hAnsi="黑体" w:eastAsia="黑体"/>
          <w:sz w:val="28"/>
          <w:szCs w:val="28"/>
        </w:rPr>
        <w:t>八、改进措施及建议</w:t>
      </w:r>
    </w:p>
    <w:p>
      <w:pPr>
        <w:tabs>
          <w:tab w:val="center" w:pos="4436"/>
        </w:tabs>
        <w:topLinePunct/>
        <w:spacing w:line="520" w:lineRule="exact"/>
        <w:ind w:firstLine="560" w:firstLineChars="200"/>
        <w:rPr>
          <w:rFonts w:ascii="仿宋" w:hAnsi="仿宋" w:eastAsia="仿宋"/>
          <w:sz w:val="28"/>
          <w:szCs w:val="28"/>
        </w:rPr>
      </w:pPr>
      <w:r>
        <w:rPr>
          <w:rFonts w:hint="eastAsia" w:ascii="仿宋" w:hAnsi="仿宋" w:eastAsia="仿宋"/>
          <w:sz w:val="28"/>
          <w:szCs w:val="28"/>
        </w:rPr>
        <w:t>1、</w:t>
      </w:r>
      <w:r>
        <w:rPr>
          <w:rFonts w:hint="eastAsia" w:ascii="仿宋" w:hAnsi="仿宋" w:eastAsia="仿宋"/>
          <w:sz w:val="28"/>
          <w:szCs w:val="28"/>
          <w:lang w:val="zh-CN"/>
        </w:rPr>
        <w:t>停工项目加快盘活。对症下药、科学施策、一项目一措施，盘活停工项目，解决遗留问题</w:t>
      </w:r>
      <w:r>
        <w:rPr>
          <w:rFonts w:hint="eastAsia" w:ascii="仿宋" w:hAnsi="仿宋" w:eastAsia="仿宋"/>
          <w:sz w:val="28"/>
          <w:szCs w:val="28"/>
        </w:rPr>
        <w:t>,</w:t>
      </w:r>
      <w:r>
        <w:rPr>
          <w:rFonts w:hint="eastAsia" w:ascii="仿宋" w:hAnsi="仿宋" w:eastAsia="仿宋"/>
          <w:sz w:val="28"/>
          <w:szCs w:val="28"/>
          <w:lang w:val="zh-CN"/>
        </w:rPr>
        <w:t>积极探索盘活新方法</w:t>
      </w:r>
      <w:r>
        <w:rPr>
          <w:rFonts w:hint="eastAsia" w:ascii="仿宋" w:hAnsi="仿宋" w:eastAsia="仿宋"/>
          <w:sz w:val="28"/>
          <w:szCs w:val="28"/>
        </w:rPr>
        <w:t>.</w:t>
      </w:r>
    </w:p>
    <w:p>
      <w:pPr>
        <w:tabs>
          <w:tab w:val="center" w:pos="4436"/>
        </w:tabs>
        <w:topLinePunct/>
        <w:spacing w:line="520" w:lineRule="exact"/>
        <w:ind w:firstLine="560" w:firstLineChars="200"/>
        <w:rPr>
          <w:rFonts w:ascii="仿宋" w:hAnsi="仿宋" w:eastAsia="仿宋"/>
          <w:sz w:val="28"/>
          <w:szCs w:val="28"/>
          <w:lang w:val="zh-CN"/>
        </w:rPr>
      </w:pPr>
      <w:r>
        <w:rPr>
          <w:rFonts w:hint="eastAsia" w:ascii="仿宋" w:hAnsi="仿宋" w:eastAsia="仿宋"/>
          <w:sz w:val="28"/>
          <w:szCs w:val="28"/>
        </w:rPr>
        <w:t>2、结合辖区实际情况，</w:t>
      </w:r>
      <w:r>
        <w:rPr>
          <w:rFonts w:hint="eastAsia" w:ascii="仿宋" w:hAnsi="仿宋" w:eastAsia="仿宋"/>
          <w:sz w:val="28"/>
          <w:szCs w:val="28"/>
          <w:lang w:val="zh-CN"/>
        </w:rPr>
        <w:t>多渠道、多方法，引入有实力的社会投资人，做好东华老旧小区改造工作，在打造省级综治中心示范点的同时，在社会治理创新方面全面发力，较高水平完成省级综治中心示范点验收，解决好历史遗留问题，提升辖区形象，促进辖区经济发展。</w:t>
      </w:r>
    </w:p>
    <w:p>
      <w:pPr>
        <w:tabs>
          <w:tab w:val="center" w:pos="4436"/>
        </w:tabs>
        <w:topLinePunct/>
        <w:spacing w:line="520" w:lineRule="exact"/>
        <w:ind w:firstLine="560" w:firstLineChars="200"/>
        <w:rPr>
          <w:rFonts w:ascii="仿宋" w:hAnsi="仿宋" w:eastAsia="仿宋"/>
          <w:sz w:val="28"/>
          <w:szCs w:val="28"/>
          <w:lang w:val="zh-CN"/>
        </w:rPr>
      </w:pPr>
      <w:r>
        <w:rPr>
          <w:rFonts w:hint="eastAsia" w:ascii="仿宋" w:hAnsi="仿宋" w:eastAsia="仿宋"/>
          <w:sz w:val="28"/>
          <w:szCs w:val="28"/>
        </w:rPr>
        <w:t>3、</w:t>
      </w:r>
      <w:r>
        <w:rPr>
          <w:rFonts w:hint="eastAsia" w:ascii="仿宋" w:hAnsi="仿宋" w:eastAsia="仿宋"/>
          <w:sz w:val="28"/>
          <w:szCs w:val="28"/>
          <w:lang w:val="zh-CN"/>
        </w:rPr>
        <w:t>发展空间受限，可以充分利用新迎新城、瑞鼎城爱琴海购物公园等在商贸服务业发展上探索新路，同时利用金平果商务大厦、霖岚国际广场、官房广场等楼宇引进“科技信息产业、文创旅游、金融机构”，做强楼宇总部经济。</w:t>
      </w:r>
    </w:p>
    <w:p>
      <w:pPr>
        <w:spacing w:line="520" w:lineRule="exact"/>
        <w:rPr>
          <w:rFonts w:ascii="仿宋" w:hAnsi="仿宋" w:eastAsia="仿宋"/>
        </w:rPr>
      </w:pPr>
      <w:bookmarkStart w:id="2" w:name="_GoBack"/>
      <w:bookmarkEnd w:id="2"/>
    </w:p>
    <w:sectPr>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fldChar w:fldCharType="begin"/>
    </w:r>
    <w:r>
      <w:instrText xml:space="preserve"> PAGE   \* MERGEFORMAT </w:instrText>
    </w:r>
    <w:r>
      <w:fldChar w:fldCharType="separate"/>
    </w:r>
    <w:r>
      <w:rPr>
        <w:lang w:val="zh-CN"/>
      </w:rPr>
      <w:t>6</w: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7C5B"/>
    <w:rsid w:val="0004319D"/>
    <w:rsid w:val="0004375D"/>
    <w:rsid w:val="00047719"/>
    <w:rsid w:val="00097317"/>
    <w:rsid w:val="000A7578"/>
    <w:rsid w:val="000B26C9"/>
    <w:rsid w:val="000B5414"/>
    <w:rsid w:val="000C158D"/>
    <w:rsid w:val="000C689F"/>
    <w:rsid w:val="000D5240"/>
    <w:rsid w:val="001027DF"/>
    <w:rsid w:val="0010291D"/>
    <w:rsid w:val="00131F2C"/>
    <w:rsid w:val="001A4977"/>
    <w:rsid w:val="001B3B2B"/>
    <w:rsid w:val="001C6B0E"/>
    <w:rsid w:val="001E7FCC"/>
    <w:rsid w:val="001F0096"/>
    <w:rsid w:val="001F7E2A"/>
    <w:rsid w:val="00210498"/>
    <w:rsid w:val="00225E28"/>
    <w:rsid w:val="00236B16"/>
    <w:rsid w:val="002372D2"/>
    <w:rsid w:val="00241895"/>
    <w:rsid w:val="00245BC0"/>
    <w:rsid w:val="00257C5B"/>
    <w:rsid w:val="00264006"/>
    <w:rsid w:val="002802EE"/>
    <w:rsid w:val="002A11B6"/>
    <w:rsid w:val="002D088F"/>
    <w:rsid w:val="002D437B"/>
    <w:rsid w:val="002F5FEB"/>
    <w:rsid w:val="00317C51"/>
    <w:rsid w:val="00331CF4"/>
    <w:rsid w:val="00333281"/>
    <w:rsid w:val="003507ED"/>
    <w:rsid w:val="00362C38"/>
    <w:rsid w:val="00364752"/>
    <w:rsid w:val="003657B2"/>
    <w:rsid w:val="003824DF"/>
    <w:rsid w:val="003A476B"/>
    <w:rsid w:val="003B4A9C"/>
    <w:rsid w:val="003C0521"/>
    <w:rsid w:val="003E61D9"/>
    <w:rsid w:val="0040467B"/>
    <w:rsid w:val="00440AA7"/>
    <w:rsid w:val="0045650B"/>
    <w:rsid w:val="0047439B"/>
    <w:rsid w:val="00486FAD"/>
    <w:rsid w:val="004C7F31"/>
    <w:rsid w:val="004D0F1D"/>
    <w:rsid w:val="00522DFB"/>
    <w:rsid w:val="00532E90"/>
    <w:rsid w:val="005361A3"/>
    <w:rsid w:val="00546896"/>
    <w:rsid w:val="00564E6E"/>
    <w:rsid w:val="00594EBE"/>
    <w:rsid w:val="005B0900"/>
    <w:rsid w:val="005B1177"/>
    <w:rsid w:val="005E69D5"/>
    <w:rsid w:val="00601D96"/>
    <w:rsid w:val="006122D5"/>
    <w:rsid w:val="00671245"/>
    <w:rsid w:val="00676E38"/>
    <w:rsid w:val="00681915"/>
    <w:rsid w:val="006B5116"/>
    <w:rsid w:val="006C67E0"/>
    <w:rsid w:val="006D54A8"/>
    <w:rsid w:val="006E0347"/>
    <w:rsid w:val="006F1CDA"/>
    <w:rsid w:val="00723E08"/>
    <w:rsid w:val="00751E1F"/>
    <w:rsid w:val="0077012C"/>
    <w:rsid w:val="007740DC"/>
    <w:rsid w:val="007A4512"/>
    <w:rsid w:val="007A6F3D"/>
    <w:rsid w:val="007B5532"/>
    <w:rsid w:val="007C3A97"/>
    <w:rsid w:val="007C403C"/>
    <w:rsid w:val="007E1DC5"/>
    <w:rsid w:val="007E28D3"/>
    <w:rsid w:val="00822D8D"/>
    <w:rsid w:val="00833D5F"/>
    <w:rsid w:val="00843F1A"/>
    <w:rsid w:val="00847ABE"/>
    <w:rsid w:val="0085042E"/>
    <w:rsid w:val="00860E0B"/>
    <w:rsid w:val="00865532"/>
    <w:rsid w:val="008658D3"/>
    <w:rsid w:val="00895CDF"/>
    <w:rsid w:val="008A07B1"/>
    <w:rsid w:val="008B324B"/>
    <w:rsid w:val="008B725B"/>
    <w:rsid w:val="008C5459"/>
    <w:rsid w:val="008E1F6D"/>
    <w:rsid w:val="008E5929"/>
    <w:rsid w:val="009126E1"/>
    <w:rsid w:val="0091545F"/>
    <w:rsid w:val="00920956"/>
    <w:rsid w:val="00965A81"/>
    <w:rsid w:val="00971523"/>
    <w:rsid w:val="0098586E"/>
    <w:rsid w:val="00986DAD"/>
    <w:rsid w:val="00993639"/>
    <w:rsid w:val="009A18C6"/>
    <w:rsid w:val="009B42FF"/>
    <w:rsid w:val="009C59EE"/>
    <w:rsid w:val="009E5C18"/>
    <w:rsid w:val="009F0374"/>
    <w:rsid w:val="00A001ED"/>
    <w:rsid w:val="00A064C9"/>
    <w:rsid w:val="00A234EA"/>
    <w:rsid w:val="00A24CD5"/>
    <w:rsid w:val="00A679BF"/>
    <w:rsid w:val="00A966D5"/>
    <w:rsid w:val="00AB3BD3"/>
    <w:rsid w:val="00AC75FA"/>
    <w:rsid w:val="00AF3111"/>
    <w:rsid w:val="00B00B5A"/>
    <w:rsid w:val="00B061EF"/>
    <w:rsid w:val="00B36184"/>
    <w:rsid w:val="00B430B3"/>
    <w:rsid w:val="00B4443C"/>
    <w:rsid w:val="00BA7363"/>
    <w:rsid w:val="00BE69A2"/>
    <w:rsid w:val="00C05FB5"/>
    <w:rsid w:val="00C06491"/>
    <w:rsid w:val="00C172A2"/>
    <w:rsid w:val="00C32E04"/>
    <w:rsid w:val="00C40B5C"/>
    <w:rsid w:val="00C46726"/>
    <w:rsid w:val="00C64964"/>
    <w:rsid w:val="00C67111"/>
    <w:rsid w:val="00C75DFE"/>
    <w:rsid w:val="00C90B26"/>
    <w:rsid w:val="00CF162E"/>
    <w:rsid w:val="00CF479B"/>
    <w:rsid w:val="00CF5660"/>
    <w:rsid w:val="00D14B99"/>
    <w:rsid w:val="00D15B2A"/>
    <w:rsid w:val="00D26002"/>
    <w:rsid w:val="00D349F1"/>
    <w:rsid w:val="00D378FE"/>
    <w:rsid w:val="00D4290B"/>
    <w:rsid w:val="00D66B99"/>
    <w:rsid w:val="00D73CD1"/>
    <w:rsid w:val="00D825B6"/>
    <w:rsid w:val="00D93C9C"/>
    <w:rsid w:val="00DC7AFB"/>
    <w:rsid w:val="00DD355C"/>
    <w:rsid w:val="00E056C6"/>
    <w:rsid w:val="00E058AF"/>
    <w:rsid w:val="00E22370"/>
    <w:rsid w:val="00E22B5F"/>
    <w:rsid w:val="00E31E78"/>
    <w:rsid w:val="00E36A46"/>
    <w:rsid w:val="00E379DA"/>
    <w:rsid w:val="00E404FD"/>
    <w:rsid w:val="00E65CA3"/>
    <w:rsid w:val="00E67D23"/>
    <w:rsid w:val="00E8121F"/>
    <w:rsid w:val="00EA0EC7"/>
    <w:rsid w:val="00ED277B"/>
    <w:rsid w:val="00EE1A7D"/>
    <w:rsid w:val="00EE3BA4"/>
    <w:rsid w:val="00F01B8A"/>
    <w:rsid w:val="00F201C8"/>
    <w:rsid w:val="00F44CB0"/>
    <w:rsid w:val="00F52937"/>
    <w:rsid w:val="00F6531C"/>
    <w:rsid w:val="00F6706D"/>
    <w:rsid w:val="00FB1D35"/>
    <w:rsid w:val="00FC48AA"/>
    <w:rsid w:val="00FD5048"/>
    <w:rsid w:val="00FE5081"/>
    <w:rsid w:val="00FE5B26"/>
    <w:rsid w:val="00FF36FA"/>
    <w:rsid w:val="00FF4336"/>
    <w:rsid w:val="032C063A"/>
    <w:rsid w:val="07653250"/>
    <w:rsid w:val="0B0A17EE"/>
    <w:rsid w:val="1001065A"/>
    <w:rsid w:val="12FD2368"/>
    <w:rsid w:val="13F42E38"/>
    <w:rsid w:val="1B44030E"/>
    <w:rsid w:val="1D803CEB"/>
    <w:rsid w:val="1FA71647"/>
    <w:rsid w:val="214A3387"/>
    <w:rsid w:val="22A56620"/>
    <w:rsid w:val="23827683"/>
    <w:rsid w:val="2D135394"/>
    <w:rsid w:val="2E48369C"/>
    <w:rsid w:val="2EA26A00"/>
    <w:rsid w:val="2FA154DD"/>
    <w:rsid w:val="319534B9"/>
    <w:rsid w:val="35AA1D78"/>
    <w:rsid w:val="35E03923"/>
    <w:rsid w:val="366C1A04"/>
    <w:rsid w:val="36811FC1"/>
    <w:rsid w:val="37A13D3A"/>
    <w:rsid w:val="39D85FBE"/>
    <w:rsid w:val="3AF416D2"/>
    <w:rsid w:val="3C5A1BCC"/>
    <w:rsid w:val="3EA06003"/>
    <w:rsid w:val="3F281F21"/>
    <w:rsid w:val="41896692"/>
    <w:rsid w:val="4649503E"/>
    <w:rsid w:val="4C827634"/>
    <w:rsid w:val="4DFA5B3C"/>
    <w:rsid w:val="51612AEF"/>
    <w:rsid w:val="51A761FD"/>
    <w:rsid w:val="51BD51D2"/>
    <w:rsid w:val="571E5FEA"/>
    <w:rsid w:val="57643976"/>
    <w:rsid w:val="5F7A1B35"/>
    <w:rsid w:val="604128B4"/>
    <w:rsid w:val="60595944"/>
    <w:rsid w:val="607A4531"/>
    <w:rsid w:val="61BD39AB"/>
    <w:rsid w:val="6220035D"/>
    <w:rsid w:val="64AD55F3"/>
    <w:rsid w:val="68247F11"/>
    <w:rsid w:val="6BF8749A"/>
    <w:rsid w:val="6C8A6D66"/>
    <w:rsid w:val="6D3C5D30"/>
    <w:rsid w:val="6DBB0430"/>
    <w:rsid w:val="6EF83498"/>
    <w:rsid w:val="70042531"/>
    <w:rsid w:val="71BA094B"/>
    <w:rsid w:val="74CB6E9B"/>
    <w:rsid w:val="76552FD9"/>
    <w:rsid w:val="76744664"/>
    <w:rsid w:val="78400C2A"/>
    <w:rsid w:val="788F3717"/>
    <w:rsid w:val="7AED5F91"/>
    <w:rsid w:val="7EE529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3"/>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uiPriority w:val="1"/>
  </w:style>
  <w:style w:type="table" w:default="1" w:styleId="6">
    <w:name w:val="Normal Table"/>
    <w:semiHidden/>
    <w:unhideWhenUsed/>
    <w:uiPriority w:val="99"/>
    <w:tblPr>
      <w:tblLayout w:type="fixed"/>
      <w:tblCellMar>
        <w:top w:w="0" w:type="dxa"/>
        <w:left w:w="108" w:type="dxa"/>
        <w:bottom w:w="0" w:type="dxa"/>
        <w:right w:w="108" w:type="dxa"/>
      </w:tblCellMar>
    </w:tblPr>
  </w:style>
  <w:style w:type="paragraph" w:styleId="3">
    <w:name w:val="footer"/>
    <w:basedOn w:val="1"/>
    <w:link w:val="10"/>
    <w:unhideWhenUsed/>
    <w:qFormat/>
    <w:uiPriority w:val="99"/>
    <w:pPr>
      <w:tabs>
        <w:tab w:val="center" w:pos="4153"/>
        <w:tab w:val="right" w:pos="8306"/>
      </w:tabs>
      <w:snapToGrid w:val="0"/>
      <w:jc w:val="left"/>
    </w:pPr>
    <w:rPr>
      <w:kern w:val="0"/>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5">
    <w:name w:val="Normal (Web)"/>
    <w:basedOn w:val="1"/>
    <w:qFormat/>
    <w:uiPriority w:val="99"/>
    <w:pPr>
      <w:widowControl/>
      <w:spacing w:before="100" w:beforeAutospacing="1" w:after="100" w:afterAutospacing="1"/>
      <w:jc w:val="left"/>
    </w:pPr>
    <w:rPr>
      <w:rFonts w:ascii="Times New Roman" w:hAnsi="Times New Roman"/>
      <w:kern w:val="0"/>
      <w:sz w:val="24"/>
      <w:szCs w:val="24"/>
    </w:rPr>
  </w:style>
  <w:style w:type="character" w:styleId="8">
    <w:name w:val="Strong"/>
    <w:basedOn w:val="7"/>
    <w:qFormat/>
    <w:uiPriority w:val="22"/>
    <w:rPr>
      <w:b/>
      <w:bCs/>
    </w:rPr>
  </w:style>
  <w:style w:type="character" w:customStyle="1" w:styleId="9">
    <w:name w:val="页眉 字符"/>
    <w:basedOn w:val="7"/>
    <w:link w:val="4"/>
    <w:qFormat/>
    <w:uiPriority w:val="99"/>
    <w:rPr>
      <w:rFonts w:ascii="Calibri" w:hAnsi="Calibri" w:eastAsia="宋体" w:cs="Times New Roman"/>
      <w:kern w:val="0"/>
      <w:sz w:val="18"/>
      <w:szCs w:val="18"/>
    </w:rPr>
  </w:style>
  <w:style w:type="character" w:customStyle="1" w:styleId="10">
    <w:name w:val="页脚 字符"/>
    <w:basedOn w:val="7"/>
    <w:link w:val="3"/>
    <w:qFormat/>
    <w:uiPriority w:val="99"/>
    <w:rPr>
      <w:rFonts w:ascii="Calibri" w:hAnsi="Calibri" w:eastAsia="宋体" w:cs="Times New Roman"/>
      <w:kern w:val="0"/>
      <w:sz w:val="18"/>
      <w:szCs w:val="18"/>
    </w:rPr>
  </w:style>
  <w:style w:type="paragraph" w:customStyle="1" w:styleId="11">
    <w:name w:val="TOC 标题1"/>
    <w:basedOn w:val="2"/>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12">
    <w:name w:val="正文 A"/>
    <w:qFormat/>
    <w:uiPriority w:val="99"/>
    <w:pPr>
      <w:spacing w:after="200" w:line="276" w:lineRule="auto"/>
    </w:pPr>
    <w:rPr>
      <w:rFonts w:ascii="Calibri" w:hAnsi="Calibri" w:eastAsia="宋体" w:cs="Calibri"/>
      <w:color w:val="000000"/>
      <w:sz w:val="22"/>
      <w:szCs w:val="22"/>
      <w:u w:color="000000"/>
      <w:lang w:val="en-US" w:eastAsia="zh-CN" w:bidi="ar-SA"/>
    </w:rPr>
  </w:style>
  <w:style w:type="character" w:customStyle="1" w:styleId="13">
    <w:name w:val="标题 1 字符"/>
    <w:basedOn w:val="7"/>
    <w:link w:val="2"/>
    <w:qFormat/>
    <w:uiPriority w:val="9"/>
    <w:rPr>
      <w:rFonts w:ascii="Calibri" w:hAnsi="Calibri" w:eastAsia="宋体" w:cs="Times New Roman"/>
      <w:b/>
      <w:bCs/>
      <w:kern w:val="44"/>
      <w:sz w:val="44"/>
      <w:szCs w:val="44"/>
    </w:rPr>
  </w:style>
  <w:style w:type="paragraph" w:styleId="14">
    <w:name w:val="List Paragraph"/>
    <w:basedOn w:val="1"/>
    <w:qFormat/>
    <w:uiPriority w:val="99"/>
    <w:pPr>
      <w:ind w:firstLine="420" w:firstLineChars="200"/>
    </w:pPr>
    <w:rPr>
      <w:rFonts w:ascii="Times New Roman" w:hAnsi="Times New Roman"/>
    </w:rPr>
  </w:style>
  <w:style w:type="paragraph" w:customStyle="1" w:styleId="15">
    <w:name w:val="列出段落1"/>
    <w:basedOn w:val="1"/>
    <w:qFormat/>
    <w:uiPriority w:val="34"/>
    <w:pPr>
      <w:ind w:firstLine="420" w:firstLineChars="200"/>
    </w:pPr>
    <w:rPr>
      <w:rFonts w:asciiTheme="minorHAnsi" w:hAnsiTheme="minorHAnsi" w:eastAsiaTheme="minorEastAsia" w:cstheme="minorBidi"/>
    </w:rPr>
  </w:style>
  <w:style w:type="paragraph" w:customStyle="1" w:styleId="16">
    <w:name w:val="p0"/>
    <w:basedOn w:val="1"/>
    <w:qFormat/>
    <w:uiPriority w:val="99"/>
    <w:pPr>
      <w:widowControl/>
      <w:spacing w:beforeAutospacing="1" w:afterAutospacing="1"/>
      <w:jc w:val="left"/>
    </w:pPr>
    <w:rPr>
      <w:rFonts w:ascii="宋体" w:hAnsi="宋体" w:cs="宋体"/>
      <w:kern w:val="0"/>
      <w:sz w:val="24"/>
      <w:szCs w:val="24"/>
    </w:rPr>
  </w:style>
  <w:style w:type="character" w:customStyle="1" w:styleId="17">
    <w:name w:val="apple-converted-space"/>
    <w:basedOn w:val="7"/>
    <w:qFormat/>
    <w:uiPriority w:val="0"/>
  </w:style>
  <w:style w:type="character" w:customStyle="1" w:styleId="18">
    <w:name w:val="ca-3"/>
    <w:qFormat/>
    <w:uiPriority w:val="0"/>
    <w:rPr>
      <w:rFonts w:ascii="Tahoma" w:cs="Tahoma"/>
      <w:sz w:val="20"/>
      <w:szCs w:val="20"/>
    </w:rPr>
  </w:style>
  <w:style w:type="paragraph" w:customStyle="1" w:styleId="19">
    <w:name w:val="pa-3"/>
    <w:basedOn w:val="1"/>
    <w:qFormat/>
    <w:uiPriority w:val="0"/>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19</Pages>
  <Words>1720</Words>
  <Characters>9804</Characters>
  <Lines>81</Lines>
  <Paragraphs>23</Paragraphs>
  <TotalTime>87</TotalTime>
  <ScaleCrop>false</ScaleCrop>
  <LinksUpToDate>false</LinksUpToDate>
  <CharactersWithSpaces>11501</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2019-04-20T06:40:00Z</dcterms:created>
  <dc:creator>cai</dc:creator>
  <cp:lastModifiedBy>hp1</cp:lastModifiedBy>
  <cp:lastPrinted>2019-05-10T01:34:00Z</cp:lastPrinted>
  <dcterms:modified xsi:type="dcterms:W3CDTF">2020-09-21T07:24:27Z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