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840" w:hanging="840" w:hangingChars="300"/>
        <w:jc w:val="left"/>
        <w:rPr>
          <w:rFonts w:ascii="方正小标宋_GBK" w:hAnsi="Calibri" w:eastAsia="方正小标宋_GBK" w:cs="Times New Roman"/>
          <w:sz w:val="28"/>
          <w:szCs w:val="28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52"/>
          <w:szCs w:val="52"/>
        </w:rPr>
      </w:pPr>
    </w:p>
    <w:p>
      <w:pPr>
        <w:tabs>
          <w:tab w:val="left" w:pos="1215"/>
        </w:tabs>
        <w:spacing w:line="360" w:lineRule="auto"/>
        <w:jc w:val="center"/>
        <w:rPr>
          <w:rFonts w:ascii="方正小标宋_GBK" w:hAnsi="Calibri" w:eastAsia="方正小标宋_GBK" w:cs="Calibri"/>
          <w:b/>
          <w:bCs/>
          <w:sz w:val="44"/>
          <w:szCs w:val="44"/>
        </w:rPr>
      </w:pP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水电费项目支出绩效自评报告</w:t>
      </w:r>
    </w:p>
    <w:p>
      <w:pPr>
        <w:tabs>
          <w:tab w:val="left" w:pos="1215"/>
        </w:tabs>
        <w:spacing w:line="360" w:lineRule="auto"/>
        <w:jc w:val="center"/>
        <w:rPr>
          <w:rFonts w:ascii="方正小标宋_GBK" w:hAnsi="Calibri" w:eastAsia="方正小标宋_GBK" w:cs="Calibri"/>
          <w:b/>
          <w:bCs/>
          <w:sz w:val="44"/>
          <w:szCs w:val="44"/>
        </w:rPr>
      </w:pP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（</w:t>
      </w:r>
      <w:r>
        <w:rPr>
          <w:rFonts w:hint="eastAsia" w:ascii="方正小标宋_GBK" w:hAnsi="Calibri" w:eastAsia="方正小标宋_GBK" w:cs="Calibri"/>
          <w:b/>
          <w:bCs/>
          <w:sz w:val="44"/>
          <w:szCs w:val="44"/>
          <w:lang w:eastAsia="zh-CN"/>
        </w:rPr>
        <w:t>2019年</w:t>
      </w: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w:pict>
          <v:shape id="直接箭头连接符 5" o:spid="_x0000_s1026" o:spt="32" type="#_x0000_t32" style="position:absolute;left:0pt;margin-left:186.75pt;margin-top:15.45pt;height:0pt;width:196.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部门名称（公章）：昆明市盘龙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区机关事务管理服务中心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w:pict>
          <v:shape id="直接箭头连接符 3" o:spid="_x0000_s1029" o:spt="32" type="#_x0000_t32" style="position:absolute;left:0pt;margin-left:135pt;margin-top:14.25pt;height:0pt;width:196.5pt;z-index:2516613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主管部门：昆明市盘龙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区机关事务管理服务中心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w:pict>
          <v:shape id="直接箭头连接符 2" o:spid="_x0000_s1028" o:spt="32" type="#_x0000_t32" style="position:absolute;left:0pt;margin-left:135pt;margin-top:14.25pt;height:0pt;width:196.5pt;z-index:25166233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项目名称：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水电费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w:pict>
          <v:shape id="直接箭头连接符 1" o:spid="_x0000_s1027" o:spt="32" type="#_x0000_t32" style="position:absolute;left:0pt;margin-left:135pt;margin-top:14.25pt;height:0pt;width:196.5pt;z-index:2516633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仿宋" w:hAnsi="仿宋" w:eastAsia="仿宋" w:cs="黑体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20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黑体"/>
          <w:b/>
          <w:bCs/>
          <w:sz w:val="32"/>
          <w:szCs w:val="32"/>
        </w:rPr>
        <w:t>年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黑体"/>
          <w:b/>
          <w:bCs/>
          <w:sz w:val="32"/>
          <w:szCs w:val="32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spacing w:line="360" w:lineRule="auto"/>
        <w:ind w:left="420" w:leftChars="200"/>
        <w:rPr>
          <w:rFonts w:hint="eastAsia" w:ascii="Times New Roman" w:hAnsi="Times New Roman" w:eastAsia="黑体" w:cs="黑体"/>
          <w:color w:val="000000"/>
          <w:sz w:val="24"/>
          <w:szCs w:val="24"/>
          <w:u w:color="000000"/>
          <w:lang w:val="zh-TW" w:eastAsia="zh-TW"/>
        </w:rPr>
      </w:pPr>
    </w:p>
    <w:p>
      <w:pPr>
        <w:spacing w:line="360" w:lineRule="auto"/>
        <w:ind w:left="420" w:leftChars="200"/>
        <w:rPr>
          <w:rFonts w:ascii="Times New Roman" w:hAnsi="Times New Roman" w:eastAsia="黑体" w:cs="Times New Roman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Times New Roman" w:hAnsi="Times New Roman" w:eastAsia="黑体" w:cs="黑体"/>
          <w:color w:val="000000"/>
          <w:sz w:val="24"/>
          <w:szCs w:val="24"/>
          <w:u w:color="000000"/>
          <w:lang w:val="zh-TW" w:eastAsia="zh-TW"/>
        </w:rPr>
        <w:t>评价小组成员：</w:t>
      </w:r>
    </w:p>
    <w:tbl>
      <w:tblPr>
        <w:tblStyle w:val="13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753"/>
        <w:gridCol w:w="1488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评价小组</w:t>
            </w:r>
          </w:p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姓名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职务/职称</w:t>
            </w:r>
          </w:p>
        </w:tc>
        <w:tc>
          <w:tcPr>
            <w:tcW w:w="1488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所属</w:t>
            </w:r>
          </w:p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组长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肖伟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>副主任</w:t>
            </w:r>
          </w:p>
        </w:tc>
        <w:tc>
          <w:tcPr>
            <w:tcW w:w="1488" w:type="dxa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>政府办</w:t>
            </w:r>
          </w:p>
        </w:tc>
        <w:tc>
          <w:tcPr>
            <w:tcW w:w="1621" w:type="dxa"/>
          </w:tcPr>
          <w:p>
            <w:pPr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副组长</w:t>
            </w:r>
          </w:p>
        </w:tc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闫鑫</w:t>
            </w:r>
          </w:p>
        </w:tc>
        <w:tc>
          <w:tcPr>
            <w:tcW w:w="175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副主任</w:t>
            </w:r>
          </w:p>
        </w:tc>
        <w:tc>
          <w:tcPr>
            <w:tcW w:w="148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机关事务管理服务中心</w:t>
            </w:r>
          </w:p>
        </w:tc>
        <w:tc>
          <w:tcPr>
            <w:tcW w:w="1621" w:type="dxa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副组长</w:t>
            </w:r>
          </w:p>
        </w:tc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杨艳</w:t>
            </w:r>
          </w:p>
        </w:tc>
        <w:tc>
          <w:tcPr>
            <w:tcW w:w="175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副主任</w:t>
            </w:r>
          </w:p>
        </w:tc>
        <w:tc>
          <w:tcPr>
            <w:tcW w:w="148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机关事务管理服务中心</w:t>
            </w:r>
          </w:p>
        </w:tc>
        <w:tc>
          <w:tcPr>
            <w:tcW w:w="1621" w:type="dxa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组员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和娟</w:t>
            </w:r>
          </w:p>
        </w:tc>
        <w:tc>
          <w:tcPr>
            <w:tcW w:w="175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主任</w:t>
            </w:r>
          </w:p>
        </w:tc>
        <w:tc>
          <w:tcPr>
            <w:tcW w:w="1488" w:type="dxa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办公室</w:t>
            </w:r>
          </w:p>
        </w:tc>
        <w:tc>
          <w:tcPr>
            <w:tcW w:w="1621" w:type="dxa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组员</w:t>
            </w:r>
          </w:p>
        </w:tc>
        <w:tc>
          <w:tcPr>
            <w:tcW w:w="1620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>董文富</w:t>
            </w:r>
          </w:p>
        </w:tc>
        <w:tc>
          <w:tcPr>
            <w:tcW w:w="1753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科长</w:t>
            </w:r>
          </w:p>
        </w:tc>
        <w:tc>
          <w:tcPr>
            <w:tcW w:w="1488" w:type="dxa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房产基建科</w:t>
            </w:r>
          </w:p>
        </w:tc>
        <w:tc>
          <w:tcPr>
            <w:tcW w:w="1621" w:type="dxa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</w:tc>
        <w:tc>
          <w:tcPr>
            <w:tcW w:w="1620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753" w:type="dxa"/>
          </w:tcPr>
          <w:p>
            <w:pPr>
              <w:spacing w:line="360" w:lineRule="auto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</w:p>
        </w:tc>
        <w:tc>
          <w:tcPr>
            <w:tcW w:w="1488" w:type="dxa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</w:p>
        </w:tc>
        <w:tc>
          <w:tcPr>
            <w:tcW w:w="1621" w:type="dxa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报告撰写人（签字）：</w:t>
            </w:r>
          </w:p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年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月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评价工作负责人（签字）：</w:t>
            </w:r>
          </w:p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年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月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日</w:t>
            </w:r>
          </w:p>
        </w:tc>
      </w:tr>
    </w:tbl>
    <w:p>
      <w:pPr>
        <w:pStyle w:val="7"/>
        <w:rPr>
          <w:rStyle w:val="12"/>
          <w:rFonts w:hint="eastAsia"/>
          <w:color w:val="auto"/>
          <w:u w:val="none"/>
        </w:rPr>
      </w:pPr>
    </w:p>
    <w:p>
      <w:pPr>
        <w:pStyle w:val="7"/>
        <w:rPr>
          <w:rStyle w:val="12"/>
          <w:rFonts w:hint="eastAsia"/>
          <w:color w:val="auto"/>
          <w:u w:val="none"/>
        </w:rPr>
      </w:pPr>
    </w:p>
    <w:p>
      <w:pPr>
        <w:pStyle w:val="7"/>
        <w:rPr>
          <w:rStyle w:val="12"/>
          <w:rFonts w:hint="eastAsia"/>
          <w:color w:val="auto"/>
          <w:u w:val="none"/>
        </w:rPr>
      </w:pPr>
    </w:p>
    <w:p>
      <w:pPr>
        <w:pStyle w:val="7"/>
        <w:rPr>
          <w:rStyle w:val="12"/>
          <w:rFonts w:hint="eastAsia"/>
          <w:color w:val="auto"/>
          <w:u w:val="none"/>
        </w:rPr>
      </w:pPr>
    </w:p>
    <w:p>
      <w:pPr>
        <w:pStyle w:val="7"/>
        <w:rPr>
          <w:rStyle w:val="12"/>
          <w:rFonts w:hint="eastAsia"/>
          <w:color w:val="auto"/>
          <w:u w:val="none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2"/>
          <w:rFonts w:hint="eastAsia" w:ascii="黑体" w:hAnsi="黑体" w:eastAsia="黑体" w:cs="黑体"/>
          <w:color w:val="auto"/>
          <w:sz w:val="44"/>
          <w:szCs w:val="44"/>
          <w:u w:val="none"/>
        </w:rPr>
      </w:pPr>
      <w:r>
        <w:rPr>
          <w:rStyle w:val="12"/>
          <w:rFonts w:hint="eastAsia" w:ascii="黑体" w:hAnsi="黑体" w:eastAsia="黑体" w:cs="黑体"/>
          <w:color w:val="auto"/>
          <w:sz w:val="44"/>
          <w:szCs w:val="44"/>
          <w:u w:val="none"/>
        </w:rPr>
        <w:t>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2"/>
          <w:rFonts w:hint="eastAsia" w:ascii="黑体" w:hAnsi="黑体" w:eastAsia="黑体" w:cs="黑体"/>
          <w:color w:val="auto"/>
          <w:sz w:val="28"/>
          <w:szCs w:val="28"/>
          <w:u w:val="none"/>
        </w:rPr>
      </w:pPr>
      <w:r>
        <w:rPr>
          <w:rStyle w:val="12"/>
          <w:rFonts w:hint="eastAsia" w:ascii="黑体" w:hAnsi="黑体" w:eastAsia="黑体" w:cs="黑体"/>
          <w:color w:val="auto"/>
          <w:sz w:val="28"/>
          <w:szCs w:val="28"/>
          <w:u w:val="none"/>
        </w:rPr>
        <w:t>摘要</w:t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Style w:val="12"/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Style w:val="12"/>
          <w:rFonts w:hint="eastAsia" w:ascii="黑体" w:hAnsi="黑体" w:eastAsia="黑体" w:cs="黑体"/>
          <w:sz w:val="28"/>
          <w:szCs w:val="28"/>
        </w:rPr>
        <w:instrText xml:space="preserve">TOC \o "1-2" \h \z \u</w:instrText>
      </w:r>
      <w:r>
        <w:rPr>
          <w:rStyle w:val="12"/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_Toc21999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一、项目概况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_Toc21999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_Toc27318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（一）项目立项背景及目的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_Toc27318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_Toc8460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（二）预算收支情况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_Toc8460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_Toc11128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二、评价结论</w:t>
      </w:r>
      <w:bookmarkStart w:id="31" w:name="_GoBack"/>
      <w:bookmarkEnd w:id="31"/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_Toc11128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_Toc8608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三、经验、问题和建议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_Toc8608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5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_Toc26064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（一）主要经验及做法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_Toc26064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5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_Toc12407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（二）存在的问题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_Toc12407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5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_Toc10578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（三）建议和改进措施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_Toc10578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6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2"/>
          <w:rFonts w:hint="eastAsia" w:ascii="黑体" w:hAnsi="黑体" w:eastAsia="黑体" w:cs="黑体"/>
          <w:color w:val="auto"/>
          <w:sz w:val="28"/>
          <w:szCs w:val="28"/>
          <w:u w:val="none"/>
          <w:lang w:eastAsia="zh-CN"/>
        </w:rPr>
      </w:pPr>
      <w:r>
        <w:rPr>
          <w:rStyle w:val="12"/>
          <w:rFonts w:hint="eastAsia" w:ascii="黑体" w:hAnsi="黑体" w:eastAsia="黑体" w:cs="黑体"/>
          <w:color w:val="auto"/>
          <w:sz w:val="28"/>
          <w:szCs w:val="28"/>
          <w:u w:val="none"/>
          <w:lang w:eastAsia="zh-CN"/>
        </w:rPr>
        <w:t>正文</w:t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_Toc6396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一、项目基本情况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_Toc6396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7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_Toc19773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（一）项目概况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_Toc19773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7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_Toc12531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（二）项目绩效目标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_Toc12531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8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_Toc17110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二、绩效评价工作情况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_Toc17110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8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_Toc9676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(一)评价的目的和依据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_Toc9676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8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_Toc2086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（二）绩效评价工作方案制定过程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_Toc2086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9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_Toc21465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（三）绩效评价原则及评价方法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_Toc21465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10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_Toc6957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(四) 绩效评价实施过程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_Toc6957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10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_Toc32216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（五）绩效评价的局限性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_Toc32216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11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_Toc17423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三、评价结论和绩效分析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_Toc17423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11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_Toc7732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(一)评价结论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_Toc7732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11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_Toc25367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（二）具体绩效分析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_Toc25367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_Toc19821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四、成本效益分析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_Toc19821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_Toc2714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（一）项目经济性分析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_Toc2714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_Toc10483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（二）项目的效益性分析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_Toc10483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_Toc11512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44"/>
          <w:sz w:val="28"/>
          <w:szCs w:val="28"/>
        </w:rPr>
        <w:t>五、项目主要经验及做法、存在的问题和建议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_Toc11512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13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_Toc8621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（一）主要经验及做法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_Toc8621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13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_Toc10098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（二）存在的问题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_Toc10098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\l _Toc30693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kern w:val="2"/>
          <w:sz w:val="28"/>
          <w:szCs w:val="28"/>
        </w:rPr>
        <w:t>（三）建议和改进措施</w:t>
      </w:r>
      <w:r>
        <w:rPr>
          <w:rFonts w:hint="eastAsia" w:ascii="黑体" w:hAnsi="黑体" w:eastAsia="黑体" w:cs="黑体"/>
          <w:sz w:val="28"/>
          <w:szCs w:val="28"/>
        </w:rPr>
        <w:tab/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PAGEREF _Toc30693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28"/>
          <w:szCs w:val="28"/>
        </w:rPr>
        <w:t>14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黑体" w:hAnsi="黑体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fldChar w:fldCharType="end"/>
      </w:r>
    </w:p>
    <w:p>
      <w:pPr>
        <w:spacing w:line="440" w:lineRule="exact"/>
        <w:jc w:val="center"/>
        <w:rPr>
          <w:rFonts w:ascii="方正小标宋_GBK" w:hAnsi="Calibri" w:eastAsia="方正小标宋_GBK" w:cs="Times New Roman"/>
          <w:sz w:val="36"/>
          <w:szCs w:val="36"/>
        </w:rPr>
      </w:pPr>
    </w:p>
    <w:p>
      <w:pPr>
        <w:pageBreakBefore w:val="0"/>
        <w:tabs>
          <w:tab w:val="left" w:pos="1215"/>
        </w:tabs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hint="eastAsia" w:asciiTheme="minorEastAsia" w:hAnsiTheme="minorEastAsia"/>
          <w:b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sz w:val="44"/>
          <w:szCs w:val="44"/>
        </w:rPr>
        <w:t>昆明市盘龙</w:t>
      </w:r>
      <w:r>
        <w:rPr>
          <w:rFonts w:hint="eastAsia" w:asciiTheme="minorEastAsia" w:hAnsiTheme="minorEastAsia"/>
          <w:b/>
          <w:sz w:val="44"/>
          <w:szCs w:val="44"/>
          <w:lang w:eastAsia="zh-CN"/>
        </w:rPr>
        <w:t>区机关事务管理服务中心</w:t>
      </w:r>
    </w:p>
    <w:p>
      <w:pPr>
        <w:pageBreakBefore w:val="0"/>
        <w:tabs>
          <w:tab w:val="left" w:pos="1215"/>
        </w:tabs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cs="Calibri" w:asciiTheme="minorEastAsia" w:hAnsiTheme="minorEastAsia"/>
          <w:b/>
          <w:bCs/>
          <w:sz w:val="44"/>
          <w:szCs w:val="44"/>
        </w:rPr>
        <w:t>水电费</w:t>
      </w:r>
      <w:r>
        <w:rPr>
          <w:rFonts w:hint="eastAsia" w:asciiTheme="minorEastAsia" w:hAnsiTheme="minorEastAsia"/>
          <w:b/>
          <w:sz w:val="44"/>
          <w:szCs w:val="44"/>
        </w:rPr>
        <w:t>项目支出绩效自评报告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rPr>
          <w:rFonts w:ascii="仿宋" w:hAnsi="仿宋" w:eastAsia="仿宋" w:cs="宋体"/>
          <w:b/>
          <w:bCs/>
          <w:color w:val="333333"/>
          <w:kern w:val="0"/>
          <w:sz w:val="36"/>
          <w:szCs w:val="36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60" w:firstLineChars="200"/>
        <w:jc w:val="center"/>
        <w:rPr>
          <w:rFonts w:ascii="方正小标宋_GBK" w:hAnsi="黑体" w:eastAsia="方正小标宋_GBK" w:cs="Times New Roman"/>
          <w:sz w:val="28"/>
          <w:szCs w:val="32"/>
        </w:rPr>
      </w:pPr>
      <w:r>
        <w:rPr>
          <w:rFonts w:hint="eastAsia" w:ascii="方正小标宋_GBK" w:hAnsi="黑体" w:eastAsia="方正小标宋_GBK" w:cs="Times New Roman"/>
          <w:sz w:val="28"/>
          <w:szCs w:val="32"/>
        </w:rPr>
        <w:t>摘要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0" w:name="_Toc21999"/>
      <w:r>
        <w:rPr>
          <w:rFonts w:hint="eastAsia" w:ascii="黑体" w:hAnsi="黑体" w:eastAsia="黑体" w:cstheme="minorBidi"/>
          <w:kern w:val="44"/>
          <w:sz w:val="32"/>
          <w:szCs w:val="32"/>
        </w:rPr>
        <w:t>一、项目概况</w:t>
      </w:r>
      <w:bookmarkEnd w:id="0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" w:name="_Toc27318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（一）项目立项背景及目的</w:t>
      </w:r>
      <w:bookmarkEnd w:id="1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围绕区委、区政府中心工作，切实履行各项职责，高效服务，保障区委、区政府的各项工作高效有序运转。根据《关于印发&lt;昆明市盘龙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主要职责内设机构和人员编制规定&gt;的通知》（盘政办通</w:t>
      </w:r>
      <w:r>
        <w:rPr>
          <w:rFonts w:hint="eastAsia" w:cs="Arial Unicode MS" w:asciiTheme="minorEastAsia" w:hAnsiTheme="minorEastAsia"/>
          <w:color w:val="333333"/>
          <w:kern w:val="0"/>
          <w:sz w:val="32"/>
          <w:szCs w:val="32"/>
        </w:rPr>
        <w:t>﹝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2005</w:t>
      </w:r>
      <w:r>
        <w:rPr>
          <w:rFonts w:hint="eastAsia" w:ascii="宋体" w:hAnsi="宋体" w:eastAsia="宋体" w:cs="Arial Unicode MS"/>
          <w:color w:val="333333"/>
          <w:kern w:val="0"/>
          <w:sz w:val="32"/>
          <w:szCs w:val="32"/>
        </w:rPr>
        <w:t>﹞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34号）文件精神，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主要承担区级机关后勤保障服务。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" w:name="_Toc8460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（二）预算收支情况</w:t>
      </w:r>
      <w:bookmarkEnd w:id="2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黑体" w:hAnsi="黑体" w:eastAsia="黑体"/>
          <w:kern w:val="44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为确保区级机关后勤保障工作到位，需申请水电经费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实际收到财政拨款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元，实际支出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元。 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3" w:name="_Toc11128"/>
      <w:r>
        <w:rPr>
          <w:rFonts w:hint="eastAsia" w:ascii="黑体" w:hAnsi="黑体" w:eastAsia="黑体" w:cstheme="minorBidi"/>
          <w:kern w:val="44"/>
          <w:sz w:val="32"/>
          <w:szCs w:val="32"/>
        </w:rPr>
        <w:t>二、评价结论</w:t>
      </w:r>
      <w:bookmarkEnd w:id="3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1.评分结果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根据制定的绩效指标考评体系，本次绩效考核得分9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分，绩效评价等级为优秀。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2.主要结论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本项目不属于投资建设类项目，主要内容为我单位管理的集中办公区、住宅区的水、电费用支出。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度完成工作效益较好，保证了区委、区政府各项工作的顺利开展。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4" w:name="_Toc8608"/>
      <w:r>
        <w:rPr>
          <w:rFonts w:hint="eastAsia" w:ascii="黑体" w:hAnsi="黑体" w:eastAsia="黑体" w:cstheme="minorBidi"/>
          <w:kern w:val="44"/>
          <w:sz w:val="32"/>
          <w:szCs w:val="32"/>
        </w:rPr>
        <w:t>三、经验、问题和建议</w:t>
      </w:r>
      <w:bookmarkEnd w:id="4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5" w:name="_Toc26064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（一）主要经验及做法</w:t>
      </w:r>
      <w:bookmarkEnd w:id="5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盘龙区区级部门预算绩效自评管理暂行办法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《昆明市盘龙区财政局关于开展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年度区级预算支出绩效自评工作的通知》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精神，进行了自评，通过前期调研工作，充分了解评价项目有关情况；通过查看资金使用情况，核实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水、电费支出的合法性、合规性；通过分析目标完成情况，查找存在的问题及总结好的经验方法，较好的完成了自评工作。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6" w:name="_Toc12407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（二）存在的问题</w:t>
      </w:r>
      <w:bookmarkEnd w:id="6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1.目前对这些人员和服务的监管相对薄弱，考核评价体系及相应制度欠缺。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2.大部分人员的工资水平差距不大，致使部分人员的薪资水平与社会平均工资差异较大，使得这部分人工作积极性难以提高。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3.因工资水平整体偏低，业务技能水平不高，综合素质</w:t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低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，在服务质量上和干部职工的要求还有差距。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7" w:name="_Toc10578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（三）建议和改进措施</w:t>
      </w:r>
      <w:bookmarkEnd w:id="7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1.根据不同的服务内容，制定更加科学、合理、细致的考核评价体系，强化对各类服务人员的日常监管，切实提高服务水平。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2.根据不同工作岗位的重要性、工作量、专业技术水平等，制定更加合理的薪资标准，不断激励并倡导所有人员新城必学赶超的良好工作氛围。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3.积极探索向新型服务的模式，继续扩大机关后勤服务社会化程度，由服务提供者向监管者转变。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both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正文：昆明市盘龙</w:t>
      </w:r>
      <w:r>
        <w:rPr>
          <w:rFonts w:hint="eastAsia" w:ascii="方正小标宋_GBK" w:eastAsia="方正小标宋_GBK"/>
          <w:b/>
          <w:bCs/>
          <w:sz w:val="44"/>
          <w:szCs w:val="44"/>
          <w:lang w:eastAsia="zh-CN"/>
        </w:rPr>
        <w:t>区机关事务管理服务中心</w:t>
      </w:r>
      <w:r>
        <w:rPr>
          <w:rFonts w:hint="eastAsia" w:ascii="方正小标宋_GBK" w:eastAsia="方正小标宋_GBK"/>
          <w:b/>
          <w:bCs/>
          <w:sz w:val="44"/>
          <w:szCs w:val="44"/>
        </w:rPr>
        <w:t>水电费项目支出绩效自评报告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360"/>
        <w:jc w:val="left"/>
        <w:outlineLvl w:val="0"/>
        <w:rPr>
          <w:rFonts w:ascii="仿宋" w:hAnsi="仿宋" w:eastAsia="仿宋" w:cs="宋体"/>
          <w:b/>
          <w:bCs/>
          <w:color w:val="333333"/>
          <w:kern w:val="0"/>
          <w:sz w:val="29"/>
          <w:szCs w:val="29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8" w:name="_Toc6396"/>
      <w:r>
        <w:rPr>
          <w:rFonts w:hint="eastAsia" w:ascii="黑体" w:hAnsi="黑体" w:eastAsia="黑体" w:cstheme="minorBidi"/>
          <w:kern w:val="44"/>
          <w:sz w:val="32"/>
          <w:szCs w:val="32"/>
        </w:rPr>
        <w:t>一、项目基本情况</w:t>
      </w:r>
      <w:bookmarkEnd w:id="8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9" w:name="_Toc531033281"/>
      <w:bookmarkStart w:id="10" w:name="_Toc19773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（一）项目概况</w:t>
      </w:r>
      <w:bookmarkEnd w:id="9"/>
      <w:bookmarkEnd w:id="10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1.项目立项背景及目的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紧紧围绕区委、区政府中心工作，切实履行各项职责，高效服务，力促发展，保障了区委、区政府各项工作高效有序运转。通过完善水电支付及水电维护、保养、零星修缮等各项工作职责及服务流程，狠抓日常工作落实及服务监管，为区委、区政府提供了坚强有力的后勤保障服务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为确保区委、区政府后勤服务正常开展，上级机关交办事项办理到位，需申请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水电费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元，用于各办公区、住宅区水电费支出。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2.项目实施情况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根据各办公区、住宅区实际用水用电量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按期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完成水电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费缴纳工作。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3.项目资金来源及使用情况 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（1）项目经费来源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根据昆明市盘龙区财政局《关于下达盘龙区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部门预算的批复》（盘财〔201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〕1号）文件安排项目资金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元，资金来源全部为区级财政拨款。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（2）项目经费使用情况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截至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12月31日，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水电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元已全部支出，主要用于水电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费支出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，具体详见下表：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right"/>
        <w:rPr>
          <w:rFonts w:ascii="仿宋_GB2312" w:hAnsi="微软雅黑" w:eastAsia="仿宋_GB2312" w:cs="宋体"/>
          <w:color w:val="333333"/>
          <w:kern w:val="0"/>
          <w:szCs w:val="24"/>
        </w:rPr>
      </w:pPr>
      <w:r>
        <w:rPr>
          <w:rFonts w:hint="eastAsia" w:ascii="仿宋_GB2312" w:hAnsi="仿宋" w:eastAsia="仿宋_GB2312" w:cs="宋体"/>
          <w:color w:val="333333"/>
          <w:kern w:val="0"/>
          <w:sz w:val="24"/>
          <w:szCs w:val="29"/>
        </w:rPr>
        <w:t>单位：元</w:t>
      </w:r>
    </w:p>
    <w:tbl>
      <w:tblPr>
        <w:tblStyle w:val="13"/>
        <w:tblW w:w="8791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3"/>
        <w:gridCol w:w="2541"/>
        <w:gridCol w:w="2083"/>
        <w:gridCol w:w="17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333333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333333"/>
                <w:kern w:val="0"/>
                <w:sz w:val="24"/>
                <w:szCs w:val="24"/>
              </w:rPr>
              <w:t>年初预算资金安排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333333"/>
                <w:kern w:val="0"/>
                <w:sz w:val="24"/>
                <w:szCs w:val="24"/>
              </w:rPr>
              <w:t>实际支出数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333333"/>
                <w:kern w:val="0"/>
                <w:sz w:val="24"/>
                <w:szCs w:val="24"/>
              </w:rPr>
              <w:t>预算执行率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  <w:lang w:eastAsia="zh-CN"/>
              </w:rPr>
              <w:t>水费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444,038.88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444,038.88</w:t>
            </w:r>
          </w:p>
        </w:tc>
        <w:tc>
          <w:tcPr>
            <w:tcW w:w="1734" w:type="dxa"/>
            <w:vMerge w:val="restart"/>
            <w:tcBorders>
              <w:top w:val="nil"/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333333"/>
                <w:kern w:val="0"/>
                <w:sz w:val="24"/>
                <w:szCs w:val="24"/>
              </w:rPr>
              <w:t>100%</w:t>
            </w:r>
          </w:p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color w:val="333333"/>
                <w:kern w:val="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333333"/>
                <w:kern w:val="0"/>
                <w:sz w:val="24"/>
                <w:szCs w:val="24"/>
              </w:rPr>
              <w:t>电费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802,376.50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802,376.50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color w:val="333333"/>
                <w:kern w:val="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333333"/>
                <w:kern w:val="0"/>
                <w:sz w:val="32"/>
                <w:szCs w:val="32"/>
              </w:rPr>
              <w:t>合计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333333"/>
                <w:kern w:val="0"/>
                <w:sz w:val="32"/>
                <w:szCs w:val="32"/>
                <w:lang w:val="en-US" w:eastAsia="zh-CN"/>
              </w:rPr>
              <w:t>1246415.38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ascii="仿宋_GB2312" w:hAnsi="微软雅黑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333333"/>
                <w:kern w:val="0"/>
                <w:sz w:val="32"/>
                <w:szCs w:val="32"/>
                <w:lang w:val="en-US" w:eastAsia="zh-CN"/>
              </w:rPr>
              <w:t>1246415.38</w:t>
            </w:r>
          </w:p>
        </w:tc>
        <w:tc>
          <w:tcPr>
            <w:tcW w:w="1734" w:type="dxa"/>
            <w:vMerge w:val="continue"/>
            <w:tcBorders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bottom"/>
              <w:rPr>
                <w:rFonts w:ascii="仿宋_GB2312" w:hAnsi="仿宋" w:eastAsia="仿宋_GB2312" w:cs="宋体"/>
                <w:color w:val="333333"/>
                <w:kern w:val="0"/>
                <w:sz w:val="24"/>
                <w:szCs w:val="24"/>
                <w:highlight w:val="yellow"/>
              </w:rPr>
            </w:pPr>
          </w:p>
        </w:tc>
      </w:tr>
    </w:tbl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 4.项目组织及管理情况 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我单位负责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个集中办公区、七个住宅区的水、电费缴付工作，该项工作基本以委托方式，银行贷收。通过对资金支付、付款单据等相关原始资料的检查，本项目资金拨付审批手续完整，支出依据合规，未发现虚列套取、截留、挤占、挪用情况和超标准开支的情况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1" w:name="_Toc12531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（二）项目绩效目标</w:t>
      </w:r>
      <w:bookmarkEnd w:id="11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1.总目标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为确保区委、区政府后勤服务正常开展，上级机关交办事项办理到位，为各办公区、住宅区提供水、电维护、保养、零星修缮等后勤管理服务。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2.年度目标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0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bookmarkStart w:id="12" w:name="_Toc9684"/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完成集中办公区、机关住宅区的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水电费缴纳工作。</w:t>
      </w:r>
      <w:bookmarkEnd w:id="12"/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微软雅黑" w:hAnsi="微软雅黑" w:eastAsia="微软雅黑"/>
          <w:b w:val="0"/>
          <w:bCs w:val="0"/>
          <w:color w:val="333333"/>
        </w:rPr>
      </w:pPr>
      <w:bookmarkStart w:id="13" w:name="_Toc17110"/>
      <w:r>
        <w:rPr>
          <w:rFonts w:hint="eastAsia" w:ascii="黑体" w:hAnsi="黑体" w:eastAsia="黑体" w:cstheme="minorBidi"/>
          <w:kern w:val="44"/>
          <w:sz w:val="32"/>
          <w:szCs w:val="32"/>
        </w:rPr>
        <w:t>二、绩效评价工作情况</w:t>
      </w:r>
      <w:bookmarkEnd w:id="13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4" w:name="_Toc9676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(一)评价的目的和依据</w:t>
      </w:r>
      <w:bookmarkEnd w:id="14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1.评价目的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通过对项目实施以及财政专项资金使用情况的调研和评价，客观反映项目的实施状态、财政资金使用效益，总结项目成功经验，科学研判项目实施以及资金使用过程中存在的难题和局限，为进一步提升预算管理水平、提高公共服务质量、优化公共资源配置提供决策参考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2.评价主要依据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（1）政府部门文件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ind w:firstLine="800" w:firstLineChars="250"/>
        <w:textAlignment w:val="auto"/>
        <w:outlineLvl w:val="9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盘龙区区级部门预算绩效自评管理暂行办法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《昆明市盘龙区财政局关于开展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年度区级预算支出绩效自评工作的通知》（盘财〔20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等文件。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（2）项目资料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项目预算批复等相关文件，项目相关支出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凭据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等。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（3）财务资料及相关制度和标准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财务资料：会计账簿、会计凭证、会计报表、决算报表等财务资料。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《中华人民共和国会计法》《事业单位会计制度》等。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5" w:name="_Toc2086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（二）绩效评价工作方案制定过程</w:t>
      </w:r>
      <w:bookmarkEnd w:id="15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1.前期调研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本次绩效评价开始前，评价组对项目开展情况、资金使用管理情况、财务账务处理等进行了前期调研，掌握了项目运行的第一手资料，为该项目绩效评价工作的开展打下了坚实的基础。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2.研究文件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ind w:firstLine="800" w:firstLineChars="250"/>
        <w:textAlignment w:val="auto"/>
        <w:outlineLvl w:val="9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盘龙区区级部门预算绩效自评管理暂行办法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《昆明市盘龙区财政局关于开展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年度区级预算支出绩效自评工作的通知》（盘财〔20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进行了认真研究，吃透文件精神，以确保绩效评价工作符合区财政局的相关要求。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3.绩效评价指标体系及工作方案的设计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参照《盘龙区区级部门预算绩效自评管理暂行办法》的项目支出共性指标，结合项目资金使用部门的职能职责和项目资金的具体用途，设计该项目支出的绩效评价指标体系和评价工作方案，以确保方案可行，绩效评价指标符合项目实际，具有准确性和可操作性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6" w:name="_Toc21465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（三）绩效评价原则及评价方法</w:t>
      </w:r>
      <w:bookmarkEnd w:id="16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1.绩效评价原则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评价工作组秉承科学规范、客观公正、定性定量的原则，采取计划标准、历史标准相结合的方式开展绩效评价。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2.绩效评价方法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此次评价采用现场抽查、随机调查、文献查阅等方式进行，采取了以下几种评价方法。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比较分析法：把两个相互联系的指标数据加以比较分析，借以做出程度性判断，分绝对数比较和相对数比较，如将实际成本与预算成本相比较。 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访谈法：随机访谈了相关工作人员，根据被询问者的答复搜集客观的、不带偏见的事实材料和评语。 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抽查法：抽查全部资金到位情况等。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 xml:space="preserve"> </w:t>
      </w:r>
      <w:bookmarkStart w:id="17" w:name="_Toc6957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(四) 绩效评价实施过程</w:t>
      </w:r>
      <w:bookmarkEnd w:id="17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1.数据填报和采集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评价组严格按照昆明市盘龙区财政局关于印发《盘龙区区级部门预算绩效自评管理暂行办法》的要求，结合本单位项目支出财务资料和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决算资料进行相关数据采集和填报。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2.数据分析和撰写报告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评价组在前期数据采集和填报的基础上，对项目的成本控制、各项绩效指标进行了详细分析，严格按照《盘龙区区级部门预算绩效自评管理暂行办法》的要求撰写项目支出绩效评价报告。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8" w:name="_Toc32216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（五）绩效评价的局限性</w:t>
      </w:r>
      <w:bookmarkEnd w:id="18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由于该项目为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经常性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类项目，故以本单位实际开展日常工作情况为绩效效果进行考评，且资金管理由本单位进行统一管理。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19" w:name="_Toc17423"/>
      <w:r>
        <w:rPr>
          <w:rFonts w:hint="eastAsia" w:ascii="黑体" w:hAnsi="黑体" w:eastAsia="黑体" w:cstheme="minorBidi"/>
          <w:kern w:val="44"/>
          <w:sz w:val="32"/>
          <w:szCs w:val="32"/>
        </w:rPr>
        <w:t>三、评价结论和绩效分析</w:t>
      </w:r>
      <w:bookmarkEnd w:id="19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0" w:name="_Toc7732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(一)评价结论</w:t>
      </w:r>
      <w:bookmarkEnd w:id="20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1.评价结果 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对投入类指标、过程类指标和产出效益类指标的分析，本项目立项规范，绩效目标质量较好，项目管理制度执行情况良好。项目严格执行财务管理相关制度的规定，财务制度健全，管理规范，做到了专款专用，无贪污、截留、挪用现象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综上，根据《盘龙区区级部门预算绩效自评管理暂行办法》，项目绩效评价得分为9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分，自评结果为优。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2.主要绩效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本项目不属于投资建设类项目，主要内容为水电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支付。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度完成工作效益较好，保证了区委、区政府各项工作的顺利开展。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1" w:name="_Toc25367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（二）具体绩效分析</w:t>
      </w:r>
      <w:bookmarkEnd w:id="21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具体详见附件1（业务经费项目支出绩效评价共性指标体系）</w:t>
      </w:r>
      <w:bookmarkStart w:id="22" w:name="_Toc522800820"/>
      <w:bookmarkEnd w:id="22"/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23" w:name="_Toc19821"/>
      <w:r>
        <w:rPr>
          <w:rFonts w:hint="eastAsia" w:ascii="黑体" w:hAnsi="黑体" w:eastAsia="黑体" w:cstheme="minorBidi"/>
          <w:kern w:val="44"/>
          <w:sz w:val="32"/>
          <w:szCs w:val="32"/>
        </w:rPr>
        <w:t>四、成本效益分析</w:t>
      </w:r>
      <w:bookmarkEnd w:id="23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4" w:name="_Toc2714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（一）项目经济性分析</w:t>
      </w:r>
      <w:bookmarkEnd w:id="24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1.项目成本控制情况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根据昆明市盘龙区财政局昆明市盘龙区财政局《关于下达盘龙区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部门预算的批复》（盘财〔201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〕1号）下达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水电专项经费2019年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实际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246415.38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元，项目资金使用控制在预算范围内。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2.项目的效率性分析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根据相关的项目资料显示，截止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12月31日，本单位各项工作均有序进行。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5" w:name="_Toc10483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（二）项目的效益性分析</w:t>
      </w:r>
      <w:bookmarkEnd w:id="25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1.经济效益</w:t>
      </w:r>
    </w:p>
    <w:p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机关各办公区、住宅区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交纳水电费</w:t>
      </w:r>
      <w:r>
        <w:rPr>
          <w:rFonts w:hint="eastAsia" w:ascii="仿宋_GB2312" w:hAnsi="仿宋_GB2312" w:eastAsia="仿宋_GB2312" w:cs="仿宋_GB2312"/>
          <w:sz w:val="32"/>
          <w:szCs w:val="32"/>
        </w:rPr>
        <w:t>是一项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经常性</w:t>
      </w:r>
      <w:r>
        <w:rPr>
          <w:rFonts w:hint="eastAsia" w:ascii="仿宋_GB2312" w:hAnsi="仿宋_GB2312" w:eastAsia="仿宋_GB2312" w:cs="仿宋_GB2312"/>
          <w:sz w:val="32"/>
          <w:szCs w:val="32"/>
        </w:rPr>
        <w:t>后勤保障工作，其直接和间接的经济效益难以计算。在本项目的实施过程中，在确保正常办公及生活的情况下，节约用水、用电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2.社会效益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为各办公区办公人员及住宅区居民提供高效、快捷、安全的服务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3.可持续影响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本项目的实施，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保障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了区委、区政府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办公有房，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不断优化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流程、模式等，为建设节约型政府及节约型社会奠定了基础。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340" w:after="330" w:line="52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26" w:name="_Toc11512"/>
      <w:r>
        <w:rPr>
          <w:rFonts w:hint="eastAsia" w:ascii="黑体" w:hAnsi="黑体" w:eastAsia="黑体" w:cstheme="minorBidi"/>
          <w:kern w:val="44"/>
          <w:sz w:val="32"/>
          <w:szCs w:val="32"/>
        </w:rPr>
        <w:t>五、项目主要经验及做法、存在的问题和建议</w:t>
      </w:r>
      <w:bookmarkEnd w:id="26"/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7" w:name="_Toc8621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（一）主要经验及做法</w:t>
      </w:r>
      <w:bookmarkEnd w:id="27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1.强化组织领导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成立由部门负责人任组长的绩效评价领导小组，保证了财政支出绩效评价各项工作的顺利开展。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2.加强学习，强化绩效管理的理念。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认真学习财政部《关于推进预算绩效管理的指导意见》（财预〔2014〕416号）、云南省财政厅《云南省省级部门财政支出绩效办法》（云财预〔2016〕98号）、《盘龙区区级部门预算绩效自评管理暂行办法》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《昆明市盘龙区财政局关于开展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年度区级预算支出绩效自评工作的通知》（盘财〔20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相关绩效管理文件，吃透文件精神，强化绩效管理的理念。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3.创新方式，落实责任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创新管理方式，落实岗位责任制，夯实基础工作，突出工作重点，强化制度建设，推动本单位预算绩效管理各项工作齐头并进。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8" w:name="_Toc10098"/>
      <w:bookmarkStart w:id="29" w:name="_（二）存在的问题_1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fldChar w:fldCharType="begin"/>
      </w:r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instrText xml:space="preserve"> HYPERLINK \l "_（二）存在的问题_1" </w:instrText>
      </w:r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fldChar w:fldCharType="separate"/>
      </w:r>
      <w:r>
        <w:rPr>
          <w:rStyle w:val="12"/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t>（二）存在的问题</w:t>
      </w:r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fldChar w:fldCharType="end"/>
      </w:r>
      <w:bookmarkEnd w:id="28"/>
    </w:p>
    <w:bookmarkEnd w:id="29"/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1.主要是办公区、住宅区建设年代久，小区陈旧，设施设备老化、能耗消耗大。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2.大部分人员的工资水平差距不大，致使部分人员的薪资水平与社会平均工资差异较大，使得这部分人工作积极性、业务技能水平难以提高。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before="260" w:after="260" w:line="52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30" w:name="_Toc30693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（三）建议和改进措施</w:t>
      </w:r>
      <w:bookmarkEnd w:id="30"/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1.根据不同的服务内容，制定更加科学、合理、细致的考核评价体系，强化对各类服务人员的日常监管，切实提高服务水平。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2.根据不同工作岗位的重要性、工作量、专业技术水平等，制定更加合理的薪资标准，不断激励并倡导所有人员新城必学赶超的良好工作氛围。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3.继续推行“减员增资”的工作方法，科学设置工作岗位的具体工作职责，压缩劳务派遣人员数量，不断提高劳务派遣人员的薪资收入，确保留得住人、干的成事。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4.积极探索向社会购买服务的模式，继续扩大机关后勤服务社会化程度，由服务提供者向监管者转变。</w:t>
      </w:r>
    </w:p>
    <w:p>
      <w:pPr>
        <w:pageBreakBefore w:val="0"/>
        <w:widowControl/>
        <w:shd w:val="clear" w:color="auto" w:fill="FFFFFF"/>
        <w:kinsoku/>
        <w:wordWrap/>
        <w:overflowPunct/>
        <w:autoSpaceDE/>
        <w:autoSpaceDN/>
        <w:bidi w:val="0"/>
        <w:adjustRightInd/>
        <w:snapToGrid/>
        <w:spacing w:line="52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41D6"/>
    <w:rsid w:val="000067C5"/>
    <w:rsid w:val="00016188"/>
    <w:rsid w:val="0003079A"/>
    <w:rsid w:val="00052DD1"/>
    <w:rsid w:val="00064085"/>
    <w:rsid w:val="00065FAB"/>
    <w:rsid w:val="00083C01"/>
    <w:rsid w:val="000A189D"/>
    <w:rsid w:val="000C23F4"/>
    <w:rsid w:val="000D4284"/>
    <w:rsid w:val="000D4C87"/>
    <w:rsid w:val="000E03E5"/>
    <w:rsid w:val="00117A64"/>
    <w:rsid w:val="00120F3E"/>
    <w:rsid w:val="00125208"/>
    <w:rsid w:val="00125431"/>
    <w:rsid w:val="00126F57"/>
    <w:rsid w:val="0013320E"/>
    <w:rsid w:val="00161615"/>
    <w:rsid w:val="00176E0C"/>
    <w:rsid w:val="0017797D"/>
    <w:rsid w:val="001A07AF"/>
    <w:rsid w:val="001B7840"/>
    <w:rsid w:val="001D7066"/>
    <w:rsid w:val="001E05C8"/>
    <w:rsid w:val="001E6CD3"/>
    <w:rsid w:val="0020235D"/>
    <w:rsid w:val="002A7442"/>
    <w:rsid w:val="002F4439"/>
    <w:rsid w:val="003033E8"/>
    <w:rsid w:val="00370834"/>
    <w:rsid w:val="003759C8"/>
    <w:rsid w:val="00382F35"/>
    <w:rsid w:val="003A6B1A"/>
    <w:rsid w:val="003B0658"/>
    <w:rsid w:val="00404B4C"/>
    <w:rsid w:val="004142A1"/>
    <w:rsid w:val="004424D2"/>
    <w:rsid w:val="004641D6"/>
    <w:rsid w:val="0046763C"/>
    <w:rsid w:val="004F1C6A"/>
    <w:rsid w:val="00517F76"/>
    <w:rsid w:val="00540427"/>
    <w:rsid w:val="005457FD"/>
    <w:rsid w:val="00560CAF"/>
    <w:rsid w:val="00566D4A"/>
    <w:rsid w:val="00581C86"/>
    <w:rsid w:val="005A5C58"/>
    <w:rsid w:val="005C46F2"/>
    <w:rsid w:val="00625C2D"/>
    <w:rsid w:val="006272BF"/>
    <w:rsid w:val="00633A67"/>
    <w:rsid w:val="00636E7D"/>
    <w:rsid w:val="006455AF"/>
    <w:rsid w:val="00647808"/>
    <w:rsid w:val="00684C7D"/>
    <w:rsid w:val="006C6157"/>
    <w:rsid w:val="00702B18"/>
    <w:rsid w:val="007151A5"/>
    <w:rsid w:val="00750121"/>
    <w:rsid w:val="0075317D"/>
    <w:rsid w:val="00753A9C"/>
    <w:rsid w:val="00797B22"/>
    <w:rsid w:val="007A2583"/>
    <w:rsid w:val="007A54AC"/>
    <w:rsid w:val="007C61D5"/>
    <w:rsid w:val="007F12BD"/>
    <w:rsid w:val="007F16C0"/>
    <w:rsid w:val="007F2B86"/>
    <w:rsid w:val="007F4380"/>
    <w:rsid w:val="0084602A"/>
    <w:rsid w:val="00862191"/>
    <w:rsid w:val="00874737"/>
    <w:rsid w:val="00887FA5"/>
    <w:rsid w:val="008A1F73"/>
    <w:rsid w:val="008E639C"/>
    <w:rsid w:val="008F235D"/>
    <w:rsid w:val="00912263"/>
    <w:rsid w:val="009647CC"/>
    <w:rsid w:val="009812BC"/>
    <w:rsid w:val="009845E8"/>
    <w:rsid w:val="00A079AD"/>
    <w:rsid w:val="00A169DA"/>
    <w:rsid w:val="00A246C6"/>
    <w:rsid w:val="00A24DB2"/>
    <w:rsid w:val="00A340FE"/>
    <w:rsid w:val="00A53BF3"/>
    <w:rsid w:val="00A55682"/>
    <w:rsid w:val="00A766EB"/>
    <w:rsid w:val="00AA0784"/>
    <w:rsid w:val="00AD3C01"/>
    <w:rsid w:val="00B119F6"/>
    <w:rsid w:val="00B33494"/>
    <w:rsid w:val="00B4249B"/>
    <w:rsid w:val="00B756D2"/>
    <w:rsid w:val="00B90055"/>
    <w:rsid w:val="00BA27BD"/>
    <w:rsid w:val="00BB42A4"/>
    <w:rsid w:val="00BC16C8"/>
    <w:rsid w:val="00BD3A6A"/>
    <w:rsid w:val="00BE5D8B"/>
    <w:rsid w:val="00C331EC"/>
    <w:rsid w:val="00C52C64"/>
    <w:rsid w:val="00C65A21"/>
    <w:rsid w:val="00CA1539"/>
    <w:rsid w:val="00CB39A7"/>
    <w:rsid w:val="00CB5F00"/>
    <w:rsid w:val="00CC3DEA"/>
    <w:rsid w:val="00CD4325"/>
    <w:rsid w:val="00D23DD1"/>
    <w:rsid w:val="00D31FE5"/>
    <w:rsid w:val="00D334D3"/>
    <w:rsid w:val="00D8264F"/>
    <w:rsid w:val="00DB3B05"/>
    <w:rsid w:val="00DC164C"/>
    <w:rsid w:val="00DD1F9F"/>
    <w:rsid w:val="00E131B3"/>
    <w:rsid w:val="00E23CD1"/>
    <w:rsid w:val="00E24D83"/>
    <w:rsid w:val="00E44D2C"/>
    <w:rsid w:val="00E54629"/>
    <w:rsid w:val="00E76CAF"/>
    <w:rsid w:val="00E854E6"/>
    <w:rsid w:val="00E9458B"/>
    <w:rsid w:val="00E94B83"/>
    <w:rsid w:val="00E95403"/>
    <w:rsid w:val="00EB6335"/>
    <w:rsid w:val="00EF2A7D"/>
    <w:rsid w:val="00F03E7E"/>
    <w:rsid w:val="00F15ABA"/>
    <w:rsid w:val="00F46785"/>
    <w:rsid w:val="00F65B66"/>
    <w:rsid w:val="00F722B8"/>
    <w:rsid w:val="00F7705D"/>
    <w:rsid w:val="00FC6E77"/>
    <w:rsid w:val="00FF14B8"/>
    <w:rsid w:val="096D6754"/>
    <w:rsid w:val="0B413899"/>
    <w:rsid w:val="0CA674F8"/>
    <w:rsid w:val="16CB786F"/>
    <w:rsid w:val="19794E06"/>
    <w:rsid w:val="1BA138A1"/>
    <w:rsid w:val="23DA27E5"/>
    <w:rsid w:val="28D769E4"/>
    <w:rsid w:val="2F32595B"/>
    <w:rsid w:val="455F7423"/>
    <w:rsid w:val="47425AAB"/>
    <w:rsid w:val="4DB13B20"/>
    <w:rsid w:val="4E8B41F2"/>
    <w:rsid w:val="5C084248"/>
    <w:rsid w:val="5CF11A4A"/>
    <w:rsid w:val="646B50CB"/>
    <w:rsid w:val="6771763C"/>
    <w:rsid w:val="684A7DA5"/>
    <w:rsid w:val="69506DF8"/>
    <w:rsid w:val="6A0B4480"/>
    <w:rsid w:val="6AE22D92"/>
    <w:rsid w:val="6D23191D"/>
    <w:rsid w:val="6F5D433D"/>
    <w:rsid w:val="6FCE621A"/>
    <w:rsid w:val="712709DE"/>
    <w:rsid w:val="74937186"/>
    <w:rsid w:val="7C4911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直接箭头连接符 5"/>
        <o:r id="V:Rule2" type="connector" idref="#直接箭头连接符 1"/>
        <o:r id="V:Rule3" type="connector" idref="#直接箭头连接符 2"/>
        <o:r id="V:Rule4" type="connector" idref="#直接箭头连接符 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qFormat/>
    <w:uiPriority w:val="9"/>
    <w:pPr>
      <w:widowControl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6"/>
    <w:qFormat/>
    <w:uiPriority w:val="9"/>
    <w:pPr>
      <w:widowControl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8296"/>
      </w:tabs>
      <w:jc w:val="center"/>
    </w:pPr>
    <w:rPr>
      <w:rFonts w:ascii="Times New Roman" w:hAnsi="Times New Roman" w:eastAsia="黑体" w:cs="Times New Roman"/>
      <w:sz w:val="36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4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Char"/>
    <w:basedOn w:val="1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标题 3 Char"/>
    <w:basedOn w:val="10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6D372F-E201-4899-AE2D-FCC9F29CCF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1095</Words>
  <Characters>6248</Characters>
  <Lines>52</Lines>
  <Paragraphs>14</Paragraphs>
  <TotalTime>8</TotalTime>
  <ScaleCrop>false</ScaleCrop>
  <LinksUpToDate>false</LinksUpToDate>
  <CharactersWithSpaces>7329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2019-04-19T05:07:00Z</dcterms:created>
  <dc:creator>蒋仁玲</dc:creator>
  <cp:lastModifiedBy>hp</cp:lastModifiedBy>
  <cp:lastPrinted>2020-05-09T06:39:50Z</cp:lastPrinted>
  <dcterms:modified xsi:type="dcterms:W3CDTF">2020-05-09T06:44:46Z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