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eastAsia="方正小标宋_GBK"/>
          <w:sz w:val="36"/>
          <w:szCs w:val="36"/>
        </w:rPr>
      </w:pPr>
      <w:r>
        <w:rPr>
          <w:rFonts w:hint="eastAsia" w:ascii="方正小标宋_GBK" w:eastAsia="方正小标宋_GBK"/>
          <w:sz w:val="36"/>
          <w:szCs w:val="36"/>
        </w:rPr>
        <w:t>盘龙区</w:t>
      </w:r>
      <w:r>
        <w:rPr>
          <w:rFonts w:hint="eastAsia" w:ascii="方正小标宋_GBK" w:eastAsia="方正小标宋_GBK"/>
          <w:sz w:val="36"/>
          <w:szCs w:val="36"/>
          <w:lang w:eastAsia="zh-CN"/>
        </w:rPr>
        <w:t>住建局</w:t>
      </w:r>
      <w:r>
        <w:rPr>
          <w:rFonts w:hint="eastAsia" w:ascii="方正小标宋_GBK" w:eastAsia="方正小标宋_GBK"/>
          <w:sz w:val="36"/>
          <w:szCs w:val="36"/>
        </w:rPr>
        <w:t>预算部门项目支出绩效自评报告</w:t>
      </w:r>
    </w:p>
    <w:p>
      <w:pPr>
        <w:jc w:val="center"/>
        <w:rPr>
          <w:rFonts w:hint="eastAsia" w:ascii="方正小标宋_GBK" w:eastAsia="方正小标宋_GBK"/>
          <w:sz w:val="36"/>
          <w:szCs w:val="36"/>
        </w:rPr>
      </w:pPr>
    </w:p>
    <w:p>
      <w:pPr>
        <w:jc w:val="center"/>
        <w:rPr>
          <w:rFonts w:hint="eastAsia" w:ascii="方正小标宋_GBK" w:eastAsia="方正小标宋_GBK"/>
          <w:sz w:val="36"/>
          <w:szCs w:val="36"/>
          <w:lang w:eastAsia="zh-CN"/>
        </w:rPr>
      </w:pPr>
      <w:r>
        <w:rPr>
          <w:rFonts w:hint="eastAsia" w:ascii="方正小标宋_GBK" w:eastAsia="方正小标宋_GBK"/>
          <w:sz w:val="36"/>
          <w:szCs w:val="36"/>
          <w:lang w:eastAsia="zh-CN"/>
        </w:rPr>
        <w:t>（</w:t>
      </w:r>
      <w:r>
        <w:rPr>
          <w:rFonts w:hint="eastAsia" w:ascii="方正小标宋_GBK" w:eastAsia="方正小标宋_GBK"/>
          <w:sz w:val="36"/>
          <w:szCs w:val="36"/>
          <w:lang w:val="en-US" w:eastAsia="zh-CN"/>
        </w:rPr>
        <w:t>2019年度</w:t>
      </w:r>
      <w:r>
        <w:rPr>
          <w:rFonts w:hint="eastAsia" w:ascii="方正小标宋_GBK" w:eastAsia="方正小标宋_GBK"/>
          <w:sz w:val="36"/>
          <w:szCs w:val="36"/>
          <w:lang w:eastAsia="zh-CN"/>
        </w:rPr>
        <w:t>）</w:t>
      </w:r>
    </w:p>
    <w:p>
      <w:pPr>
        <w:jc w:val="center"/>
        <w:rPr>
          <w:rFonts w:hint="eastAsia" w:ascii="方正小标宋_GBK" w:eastAsia="方正小标宋_GBK"/>
          <w:sz w:val="36"/>
          <w:szCs w:val="36"/>
        </w:rPr>
      </w:pPr>
    </w:p>
    <w:p>
      <w:pPr>
        <w:jc w:val="center"/>
        <w:rPr>
          <w:rFonts w:hint="eastAsia" w:ascii="方正小标宋_GBK" w:eastAsia="方正小标宋_GBK"/>
          <w:sz w:val="36"/>
          <w:szCs w:val="36"/>
        </w:rPr>
      </w:pPr>
    </w:p>
    <w:p>
      <w:pPr>
        <w:jc w:val="center"/>
        <w:rPr>
          <w:rFonts w:hint="eastAsia" w:ascii="方正小标宋_GBK" w:eastAsia="方正小标宋_GBK"/>
          <w:sz w:val="36"/>
          <w:szCs w:val="36"/>
        </w:rPr>
      </w:pPr>
    </w:p>
    <w:p>
      <w:pPr>
        <w:keepNext w:val="0"/>
        <w:keepLines w:val="0"/>
        <w:pageBreakBefore w:val="0"/>
        <w:kinsoku/>
        <w:overflowPunct/>
        <w:topLinePunct w:val="0"/>
        <w:autoSpaceDE/>
        <w:autoSpaceDN/>
        <w:bidi w:val="0"/>
        <w:adjustRightInd/>
        <w:snapToGrid/>
        <w:spacing w:line="240" w:lineRule="auto"/>
        <w:ind w:right="0" w:rightChars="0"/>
        <w:jc w:val="both"/>
        <w:textAlignment w:val="auto"/>
        <w:outlineLvl w:val="9"/>
        <w:rPr>
          <w:rFonts w:hint="eastAsia" w:ascii="方正小标宋_GBK" w:hAnsi="Times New Roman" w:eastAsia="方正小标宋_GBK" w:cs="方正小标宋简体"/>
          <w:color w:val="auto"/>
          <w:sz w:val="36"/>
          <w:szCs w:val="36"/>
          <w:u w:val="single"/>
        </w:rPr>
      </w:pPr>
      <w:r>
        <w:rPr>
          <w:rFonts w:hint="eastAsia" w:ascii="方正小标宋_GBK" w:hAnsi="Times New Roman" w:eastAsia="方正小标宋_GBK" w:cs="方正小标宋简体"/>
          <w:color w:val="auto"/>
          <w:sz w:val="36"/>
          <w:szCs w:val="36"/>
        </w:rPr>
        <w:t>部门名称（公章）</w:t>
      </w:r>
      <w:r>
        <w:rPr>
          <w:rFonts w:hint="eastAsia" w:ascii="方正小标宋_GBK" w:hAnsi="Times New Roman" w:eastAsia="方正小标宋_GBK" w:cs="方正小标宋简体"/>
          <w:color w:val="auto"/>
          <w:sz w:val="36"/>
          <w:szCs w:val="36"/>
          <w:lang w:eastAsia="zh-CN"/>
        </w:rPr>
        <w:t>：</w:t>
      </w:r>
      <w:r>
        <w:rPr>
          <w:rFonts w:hint="eastAsia" w:ascii="方正小标宋_GBK" w:hAnsi="Times New Roman" w:eastAsia="方正小标宋_GBK" w:cs="方正小标宋简体"/>
          <w:color w:val="auto"/>
          <w:sz w:val="32"/>
          <w:szCs w:val="32"/>
          <w:u w:val="single"/>
          <w:lang w:val="en-US" w:eastAsia="zh-CN"/>
        </w:rPr>
        <w:t>盘</w:t>
      </w:r>
      <w:r>
        <w:rPr>
          <w:rFonts w:hint="eastAsia" w:ascii="方正小标宋_GBK" w:hAnsi="Times New Roman" w:eastAsia="方正小标宋_GBK" w:cs="方正小标宋简体"/>
          <w:color w:val="auto"/>
          <w:sz w:val="32"/>
          <w:szCs w:val="32"/>
          <w:u w:val="single"/>
          <w:lang w:eastAsia="zh-CN"/>
        </w:rPr>
        <w:t>龙区住房和城乡建设局</w:t>
      </w:r>
      <w:r>
        <w:rPr>
          <w:rFonts w:hint="eastAsia" w:ascii="方正小标宋_GBK" w:hAnsi="Times New Roman" w:eastAsia="方正小标宋_GBK" w:cs="方正小标宋简体"/>
          <w:color w:val="auto"/>
          <w:sz w:val="32"/>
          <w:szCs w:val="32"/>
          <w:u w:val="single"/>
        </w:rPr>
        <w:t xml:space="preserve"> </w:t>
      </w:r>
    </w:p>
    <w:p>
      <w:pPr>
        <w:keepNext w:val="0"/>
        <w:keepLines w:val="0"/>
        <w:pageBreakBefore w:val="0"/>
        <w:kinsoku/>
        <w:overflowPunct/>
        <w:topLinePunct w:val="0"/>
        <w:autoSpaceDE/>
        <w:autoSpaceDN/>
        <w:bidi w:val="0"/>
        <w:adjustRightInd/>
        <w:snapToGrid/>
        <w:spacing w:line="240" w:lineRule="auto"/>
        <w:ind w:right="0" w:rightChars="0" w:firstLine="720" w:firstLineChars="200"/>
        <w:jc w:val="both"/>
        <w:textAlignment w:val="auto"/>
        <w:outlineLvl w:val="9"/>
        <w:rPr>
          <w:rFonts w:hint="eastAsia" w:ascii="方正小标宋_GBK" w:hAnsi="Times New Roman" w:eastAsia="方正小标宋_GBK" w:cs="方正小标宋简体"/>
          <w:b w:val="0"/>
          <w:bCs w:val="0"/>
          <w:color w:val="auto"/>
          <w:sz w:val="36"/>
          <w:szCs w:val="36"/>
          <w:u w:val="single"/>
        </w:rPr>
      </w:pPr>
    </w:p>
    <w:p>
      <w:pPr>
        <w:keepNext w:val="0"/>
        <w:keepLines w:val="0"/>
        <w:pageBreakBefore w:val="0"/>
        <w:kinsoku/>
        <w:overflowPunct/>
        <w:topLinePunct w:val="0"/>
        <w:autoSpaceDE/>
        <w:autoSpaceDN/>
        <w:bidi w:val="0"/>
        <w:adjustRightInd/>
        <w:snapToGrid/>
        <w:spacing w:line="240" w:lineRule="auto"/>
        <w:ind w:right="0" w:rightChars="0" w:firstLine="720" w:firstLineChars="200"/>
        <w:jc w:val="both"/>
        <w:textAlignment w:val="auto"/>
        <w:outlineLvl w:val="9"/>
        <w:rPr>
          <w:rFonts w:hint="eastAsia" w:ascii="方正小标宋_GBK" w:hAnsi="Times New Roman" w:eastAsia="方正小标宋_GBK" w:cs="方正小标宋简体"/>
          <w:b w:val="0"/>
          <w:bCs w:val="0"/>
          <w:color w:val="auto"/>
          <w:sz w:val="36"/>
          <w:szCs w:val="36"/>
        </w:rPr>
      </w:pPr>
    </w:p>
    <w:p>
      <w:pPr>
        <w:keepNext w:val="0"/>
        <w:keepLines w:val="0"/>
        <w:pageBreakBefore w:val="0"/>
        <w:kinsoku/>
        <w:overflowPunct/>
        <w:topLinePunct w:val="0"/>
        <w:autoSpaceDE/>
        <w:autoSpaceDN/>
        <w:bidi w:val="0"/>
        <w:adjustRightInd/>
        <w:snapToGrid/>
        <w:spacing w:line="240" w:lineRule="auto"/>
        <w:ind w:right="0" w:rightChars="0"/>
        <w:jc w:val="both"/>
        <w:textAlignment w:val="auto"/>
        <w:outlineLvl w:val="9"/>
        <w:rPr>
          <w:rFonts w:hint="eastAsia" w:ascii="方正小标宋_GBK" w:hAnsi="Times New Roman" w:eastAsia="方正小标宋_GBK" w:cs="方正小标宋简体"/>
          <w:b w:val="0"/>
          <w:bCs w:val="0"/>
          <w:color w:val="auto"/>
          <w:sz w:val="36"/>
          <w:szCs w:val="36"/>
        </w:rPr>
      </w:pPr>
    </w:p>
    <w:p>
      <w:pPr>
        <w:keepNext w:val="0"/>
        <w:keepLines w:val="0"/>
        <w:pageBreakBefore w:val="0"/>
        <w:kinsoku/>
        <w:overflowPunct/>
        <w:topLinePunct w:val="0"/>
        <w:autoSpaceDE/>
        <w:autoSpaceDN/>
        <w:bidi w:val="0"/>
        <w:adjustRightInd/>
        <w:snapToGrid/>
        <w:spacing w:line="240" w:lineRule="auto"/>
        <w:ind w:right="0" w:rightChars="0"/>
        <w:jc w:val="both"/>
        <w:textAlignment w:val="auto"/>
        <w:outlineLvl w:val="9"/>
        <w:rPr>
          <w:rFonts w:hint="eastAsia" w:ascii="方正小标宋_GBK" w:hAnsi="Times New Roman" w:eastAsia="方正小标宋_GBK" w:cs="方正小标宋简体"/>
          <w:color w:val="auto"/>
          <w:sz w:val="36"/>
          <w:szCs w:val="36"/>
        </w:rPr>
      </w:pPr>
      <w:r>
        <w:rPr>
          <w:rFonts w:hint="eastAsia" w:ascii="方正小标宋_GBK" w:hAnsi="Times New Roman" w:eastAsia="方正小标宋_GBK" w:cs="方正小标宋简体"/>
          <w:b w:val="0"/>
          <w:bCs w:val="0"/>
          <w:color w:val="auto"/>
          <w:sz w:val="36"/>
          <w:szCs w:val="36"/>
        </w:rPr>
        <w:t>项目名称</w:t>
      </w:r>
      <w:r>
        <w:rPr>
          <w:rFonts w:hint="eastAsia" w:ascii="方正小标宋_GBK" w:hAnsi="Times New Roman" w:eastAsia="方正小标宋_GBK" w:cs="方正小标宋简体"/>
          <w:b w:val="0"/>
          <w:bCs w:val="0"/>
          <w:color w:val="auto"/>
          <w:sz w:val="36"/>
          <w:szCs w:val="36"/>
          <w:lang w:eastAsia="zh-CN"/>
        </w:rPr>
        <w:t>：</w:t>
      </w:r>
      <w:r>
        <w:rPr>
          <w:rFonts w:hint="eastAsia" w:ascii="方正小标宋_GBK" w:eastAsia="方正小标宋_GBK"/>
          <w:sz w:val="32"/>
          <w:szCs w:val="32"/>
          <w:u w:val="single"/>
        </w:rPr>
        <w:t>北京路北端连接西北绕城高速立交工程支出</w:t>
      </w:r>
      <w:r>
        <w:rPr>
          <w:rFonts w:hint="eastAsia" w:ascii="方正小标宋_GBK" w:hAnsi="Times New Roman" w:eastAsia="方正小标宋_GBK" w:cs="方正小标宋简体"/>
          <w:b w:val="0"/>
          <w:bCs w:val="0"/>
          <w:color w:val="auto"/>
          <w:sz w:val="32"/>
          <w:szCs w:val="32"/>
          <w:u w:val="none"/>
          <w:lang w:val="en-US" w:eastAsia="zh-CN"/>
        </w:rPr>
        <w:t xml:space="preserve"> </w:t>
      </w:r>
      <w:r>
        <w:rPr>
          <w:rFonts w:hint="eastAsia" w:ascii="方正小标宋_GBK" w:hAnsi="Times New Roman" w:eastAsia="方正小标宋_GBK" w:cs="方正小标宋简体"/>
          <w:color w:val="auto"/>
          <w:sz w:val="32"/>
          <w:szCs w:val="32"/>
          <w:u w:val="none"/>
          <w:lang w:val="en-US" w:eastAsia="zh-CN"/>
        </w:rPr>
        <w:t xml:space="preserve">          </w:t>
      </w:r>
      <w:r>
        <w:rPr>
          <w:rFonts w:hint="eastAsia" w:ascii="方正小标宋_GBK" w:hAnsi="Times New Roman" w:eastAsia="方正小标宋_GBK" w:cs="方正小标宋简体"/>
          <w:color w:val="auto"/>
          <w:sz w:val="36"/>
          <w:szCs w:val="36"/>
          <w:u w:val="none"/>
          <w:lang w:val="en-US" w:eastAsia="zh-CN"/>
        </w:rPr>
        <w:t xml:space="preserve">                 </w:t>
      </w:r>
      <w:r>
        <w:rPr>
          <w:rFonts w:hint="eastAsia" w:ascii="方正小标宋_GBK" w:hAnsi="Times New Roman" w:eastAsia="方正小标宋_GBK" w:cs="方正小标宋简体"/>
          <w:color w:val="auto"/>
          <w:sz w:val="36"/>
          <w:szCs w:val="36"/>
          <w:lang w:val="en-US" w:eastAsia="zh-CN"/>
        </w:rPr>
        <w:t xml:space="preserve">    </w:t>
      </w:r>
    </w:p>
    <w:p>
      <w:pPr>
        <w:keepNext w:val="0"/>
        <w:keepLines w:val="0"/>
        <w:pageBreakBefore w:val="0"/>
        <w:kinsoku/>
        <w:overflowPunct/>
        <w:topLinePunct w:val="0"/>
        <w:autoSpaceDE/>
        <w:autoSpaceDN/>
        <w:bidi w:val="0"/>
        <w:adjustRightInd/>
        <w:snapToGrid/>
        <w:spacing w:line="240" w:lineRule="auto"/>
        <w:ind w:right="0" w:rightChars="0" w:firstLine="720" w:firstLineChars="200"/>
        <w:jc w:val="both"/>
        <w:textAlignment w:val="auto"/>
        <w:outlineLvl w:val="9"/>
        <w:rPr>
          <w:rFonts w:hint="eastAsia" w:ascii="方正小标宋_GBK" w:hAnsi="Times New Roman" w:eastAsia="方正小标宋_GBK" w:cs="方正小标宋简体"/>
          <w:color w:val="auto"/>
          <w:sz w:val="36"/>
          <w:szCs w:val="36"/>
        </w:rPr>
      </w:pPr>
    </w:p>
    <w:p>
      <w:pPr>
        <w:keepNext w:val="0"/>
        <w:keepLines w:val="0"/>
        <w:pageBreakBefore w:val="0"/>
        <w:kinsoku/>
        <w:overflowPunct/>
        <w:topLinePunct w:val="0"/>
        <w:autoSpaceDE/>
        <w:autoSpaceDN/>
        <w:bidi w:val="0"/>
        <w:adjustRightInd/>
        <w:snapToGrid/>
        <w:spacing w:line="240" w:lineRule="auto"/>
        <w:ind w:right="0" w:rightChars="0" w:firstLine="720" w:firstLineChars="200"/>
        <w:jc w:val="both"/>
        <w:textAlignment w:val="auto"/>
        <w:outlineLvl w:val="9"/>
        <w:rPr>
          <w:rFonts w:hint="eastAsia" w:ascii="方正小标宋_GBK" w:hAnsi="Times New Roman" w:eastAsia="方正小标宋_GBK" w:cs="方正小标宋简体"/>
          <w:color w:val="auto"/>
          <w:sz w:val="36"/>
          <w:szCs w:val="36"/>
        </w:rPr>
      </w:pPr>
    </w:p>
    <w:p>
      <w:pPr>
        <w:keepNext w:val="0"/>
        <w:keepLines w:val="0"/>
        <w:pageBreakBefore w:val="0"/>
        <w:kinsoku/>
        <w:overflowPunct/>
        <w:topLinePunct w:val="0"/>
        <w:autoSpaceDE/>
        <w:autoSpaceDN/>
        <w:bidi w:val="0"/>
        <w:adjustRightInd/>
        <w:snapToGrid/>
        <w:spacing w:line="240" w:lineRule="auto"/>
        <w:ind w:right="0" w:rightChars="0" w:firstLine="720" w:firstLineChars="200"/>
        <w:jc w:val="both"/>
        <w:textAlignment w:val="auto"/>
        <w:outlineLvl w:val="9"/>
        <w:rPr>
          <w:rFonts w:hint="eastAsia" w:ascii="方正小标宋_GBK" w:hAnsi="Times New Roman" w:eastAsia="方正小标宋_GBK" w:cs="方正小标宋简体"/>
          <w:color w:val="auto"/>
          <w:sz w:val="36"/>
          <w:szCs w:val="36"/>
        </w:rPr>
      </w:pPr>
    </w:p>
    <w:p>
      <w:pPr>
        <w:jc w:val="both"/>
        <w:rPr>
          <w:rFonts w:hint="eastAsia" w:ascii="方正小标宋_GBK" w:eastAsia="方正小标宋_GBK"/>
          <w:sz w:val="36"/>
          <w:szCs w:val="36"/>
          <w:u w:val="none"/>
        </w:rPr>
      </w:pPr>
      <w:r>
        <w:rPr>
          <w:rFonts w:hint="eastAsia" w:ascii="方正小标宋_GBK" w:hAnsi="Times New Roman" w:eastAsia="方正小标宋_GBK" w:cs="方正小标宋简体"/>
          <w:color w:val="auto"/>
          <w:sz w:val="36"/>
          <w:szCs w:val="36"/>
        </w:rPr>
        <w:t>自评日期</w:t>
      </w:r>
      <w:r>
        <w:rPr>
          <w:rFonts w:hint="eastAsia" w:ascii="方正小标宋_GBK" w:hAnsi="Times New Roman" w:eastAsia="方正小标宋_GBK" w:cs="方正小标宋简体"/>
          <w:color w:val="auto"/>
          <w:sz w:val="36"/>
          <w:szCs w:val="36"/>
          <w:lang w:val="en-US" w:eastAsia="zh-CN"/>
        </w:rPr>
        <w:t xml:space="preserve"> ：</w:t>
      </w:r>
      <w:r>
        <w:rPr>
          <w:rFonts w:hint="eastAsia" w:ascii="方正小标宋_GBK" w:hAnsi="Times New Roman" w:eastAsia="方正小标宋_GBK" w:cs="方正小标宋简体"/>
          <w:color w:val="auto"/>
          <w:sz w:val="36"/>
          <w:szCs w:val="36"/>
          <w:u w:val="single"/>
          <w:lang w:val="en-US" w:eastAsia="zh-CN"/>
        </w:rPr>
        <w:t xml:space="preserve">  </w:t>
      </w:r>
      <w:r>
        <w:rPr>
          <w:rFonts w:hint="eastAsia" w:ascii="方正小标宋_GBK" w:eastAsia="方正小标宋_GBK" w:cs="方正小标宋简体"/>
          <w:color w:val="auto"/>
          <w:sz w:val="32"/>
          <w:szCs w:val="32"/>
          <w:u w:val="single"/>
          <w:lang w:val="en-US" w:eastAsia="zh-CN"/>
        </w:rPr>
        <w:t>2020年9月</w:t>
      </w:r>
      <w:r>
        <w:rPr>
          <w:rFonts w:hint="eastAsia" w:ascii="方正小标宋_GBK" w:hAnsi="Times New Roman" w:eastAsia="方正小标宋_GBK" w:cs="方正小标宋简体"/>
          <w:color w:val="auto"/>
          <w:sz w:val="32"/>
          <w:szCs w:val="32"/>
          <w:u w:val="none"/>
          <w:lang w:val="en-US" w:eastAsia="zh-CN"/>
        </w:rPr>
        <w:t xml:space="preserve">    </w:t>
      </w:r>
      <w:r>
        <w:rPr>
          <w:rFonts w:hint="eastAsia" w:ascii="方正小标宋_GBK" w:hAnsi="Times New Roman" w:eastAsia="方正小标宋_GBK" w:cs="方正小标宋简体"/>
          <w:color w:val="auto"/>
          <w:sz w:val="36"/>
          <w:szCs w:val="36"/>
          <w:u w:val="none"/>
          <w:lang w:val="en-US" w:eastAsia="zh-CN"/>
        </w:rPr>
        <w:t xml:space="preserve">                      </w:t>
      </w:r>
    </w:p>
    <w:p>
      <w:pPr>
        <w:jc w:val="center"/>
        <w:rPr>
          <w:rFonts w:hint="eastAsia" w:ascii="方正小标宋_GBK" w:eastAsia="方正小标宋_GBK"/>
          <w:sz w:val="36"/>
          <w:szCs w:val="36"/>
        </w:rPr>
      </w:pPr>
    </w:p>
    <w:p>
      <w:pPr>
        <w:jc w:val="center"/>
        <w:rPr>
          <w:rFonts w:hint="eastAsia" w:ascii="方正小标宋_GBK" w:eastAsia="方正小标宋_GBK"/>
          <w:sz w:val="36"/>
          <w:szCs w:val="36"/>
        </w:rPr>
      </w:pPr>
    </w:p>
    <w:p>
      <w:pPr>
        <w:jc w:val="center"/>
        <w:rPr>
          <w:rFonts w:hint="eastAsia" w:ascii="方正小标宋_GBK" w:eastAsia="方正小标宋_GBK"/>
          <w:sz w:val="36"/>
          <w:szCs w:val="36"/>
        </w:rPr>
      </w:pPr>
    </w:p>
    <w:p>
      <w:pPr>
        <w:jc w:val="center"/>
        <w:rPr>
          <w:rFonts w:hint="eastAsia" w:ascii="方正小标宋_GBK" w:eastAsia="方正小标宋_GBK"/>
          <w:sz w:val="36"/>
          <w:szCs w:val="36"/>
        </w:rPr>
      </w:pPr>
    </w:p>
    <w:p>
      <w:pPr>
        <w:jc w:val="center"/>
        <w:rPr>
          <w:rFonts w:hint="eastAsia" w:ascii="方正小标宋_GBK" w:eastAsia="方正小标宋_GBK"/>
          <w:sz w:val="36"/>
          <w:szCs w:val="36"/>
        </w:rPr>
      </w:pPr>
    </w:p>
    <w:p>
      <w:pPr>
        <w:jc w:val="center"/>
        <w:rPr>
          <w:rFonts w:hint="eastAsia" w:ascii="方正小标宋_GBK" w:eastAsia="方正小标宋_GBK"/>
          <w:sz w:val="36"/>
          <w:szCs w:val="36"/>
        </w:rPr>
      </w:pPr>
    </w:p>
    <w:p>
      <w:pPr>
        <w:topLinePunct/>
        <w:spacing w:line="440" w:lineRule="exact"/>
        <w:rPr>
          <w:rFonts w:hint="eastAsia" w:ascii="宋体" w:hAnsi="宋体" w:eastAsia="宋体" w:cs="宋体"/>
          <w:b/>
          <w:bCs/>
          <w:color w:val="000000" w:themeColor="text1"/>
          <w:kern w:val="2"/>
          <w:sz w:val="28"/>
          <w:szCs w:val="28"/>
          <w:lang w:val="en-US" w:eastAsia="zh-CN" w:bidi="ar-SA"/>
        </w:rPr>
      </w:pPr>
    </w:p>
    <w:p>
      <w:pPr>
        <w:keepNext w:val="0"/>
        <w:keepLines w:val="0"/>
        <w:pageBreakBefore w:val="0"/>
        <w:numPr>
          <w:ilvl w:val="0"/>
          <w:numId w:val="1"/>
        </w:numPr>
        <w:kinsoku/>
        <w:wordWrap/>
        <w:overflowPunct/>
        <w:topLinePunct w:val="0"/>
        <w:autoSpaceDE/>
        <w:autoSpaceDN/>
        <w:bidi w:val="0"/>
        <w:adjustRightInd/>
        <w:snapToGrid/>
        <w:spacing w:line="360" w:lineRule="auto"/>
        <w:ind w:right="0" w:rightChars="0" w:firstLine="560" w:firstLineChars="200"/>
        <w:jc w:val="left"/>
        <w:textAlignment w:val="auto"/>
        <w:outlineLvl w:val="9"/>
        <w:rPr>
          <w:rFonts w:ascii="宋体" w:hAnsi="宋体" w:cs="宋体"/>
          <w:b/>
          <w:bCs/>
          <w:color w:val="000000" w:themeColor="text1"/>
          <w:sz w:val="28"/>
          <w:szCs w:val="28"/>
        </w:rPr>
      </w:pPr>
      <w:r>
        <w:rPr>
          <w:rFonts w:hint="eastAsia" w:ascii="宋体" w:hAnsi="宋体" w:cs="宋体"/>
          <w:b/>
          <w:bCs/>
          <w:color w:val="000000" w:themeColor="text1"/>
          <w:sz w:val="28"/>
          <w:szCs w:val="28"/>
        </w:rPr>
        <w:t>项目基本情况</w:t>
      </w:r>
    </w:p>
    <w:p>
      <w:pPr>
        <w:keepNext w:val="0"/>
        <w:keepLines w:val="0"/>
        <w:pageBreakBefore w:val="0"/>
        <w:kinsoku/>
        <w:wordWrap/>
        <w:overflowPunct/>
        <w:topLinePunct w:val="0"/>
        <w:autoSpaceDE/>
        <w:autoSpaceDN/>
        <w:bidi w:val="0"/>
        <w:adjustRightInd/>
        <w:snapToGrid/>
        <w:spacing w:line="360" w:lineRule="auto"/>
        <w:ind w:right="0" w:rightChars="0" w:firstLine="560" w:firstLineChars="200"/>
        <w:jc w:val="left"/>
        <w:textAlignment w:val="auto"/>
        <w:outlineLvl w:val="9"/>
        <w:rPr>
          <w:rFonts w:ascii="宋体" w:hAnsi="宋体" w:cs="宋体"/>
          <w:color w:val="000000" w:themeColor="text1"/>
          <w:sz w:val="28"/>
          <w:szCs w:val="28"/>
        </w:rPr>
      </w:pPr>
      <w:r>
        <w:rPr>
          <w:rFonts w:hint="eastAsia" w:ascii="宋体" w:hAnsi="宋体" w:cs="宋体"/>
          <w:color w:val="000000" w:themeColor="text1"/>
          <w:sz w:val="28"/>
          <w:szCs w:val="28"/>
        </w:rPr>
        <w:t>北京路北端连接西北绕城高速立交工程项目位于盘龙区龙泉街道辖区内，项目通过对北京路端头向北进行延伸，新建T型交叉口与拟建立交收费主匝道相交，同时新建四条匝道实现北京路与西北绕城高速的完全互通（匝道总长约2968米）；工程设置一处收费站，对过往车辆进行集中收费管理；此外，工程实施还将对东大沟部分河道进行改造。北京路北端连接西北绕城高速立交工程由北京路延长线主线、主线收费匝道和四个转向匝道、东大沟改造等主体工程及附属工程组成，具体包括道路工程、桥涵工程、房建工程、排水工程、综合管线工程、交通工程、绿化工程和照明工程。</w:t>
      </w:r>
    </w:p>
    <w:p>
      <w:pPr>
        <w:keepNext w:val="0"/>
        <w:keepLines w:val="0"/>
        <w:pageBreakBefore w:val="0"/>
        <w:widowControl/>
        <w:numPr>
          <w:ilvl w:val="0"/>
          <w:numId w:val="2"/>
        </w:numPr>
        <w:kinsoku/>
        <w:wordWrap/>
        <w:overflowPunct/>
        <w:topLinePunct w:val="0"/>
        <w:autoSpaceDE/>
        <w:autoSpaceDN/>
        <w:bidi w:val="0"/>
        <w:adjustRightInd/>
        <w:snapToGrid/>
        <w:ind w:right="0" w:rightChars="0" w:firstLine="560" w:firstLineChars="200"/>
        <w:jc w:val="left"/>
        <w:textAlignment w:val="auto"/>
        <w:outlineLvl w:val="9"/>
        <w:rPr>
          <w:rFonts w:ascii="宋体" w:hAnsi="宋体" w:cs="宋体"/>
          <w:b/>
          <w:bCs/>
          <w:color w:val="000000" w:themeColor="text1"/>
          <w:sz w:val="28"/>
          <w:szCs w:val="28"/>
        </w:rPr>
      </w:pPr>
      <w:r>
        <w:rPr>
          <w:rFonts w:hint="eastAsia" w:ascii="宋体" w:hAnsi="宋体" w:cs="宋体"/>
          <w:b/>
          <w:bCs/>
          <w:color w:val="000000" w:themeColor="text1"/>
          <w:sz w:val="28"/>
          <w:szCs w:val="28"/>
          <w:lang w:eastAsia="zh-CN"/>
        </w:rPr>
        <w:t>项目</w:t>
      </w:r>
      <w:r>
        <w:rPr>
          <w:rFonts w:hint="eastAsia" w:ascii="宋体" w:hAnsi="宋体" w:cs="宋体"/>
          <w:b/>
          <w:bCs/>
          <w:color w:val="000000" w:themeColor="text1"/>
          <w:sz w:val="28"/>
          <w:szCs w:val="28"/>
        </w:rPr>
        <w:t>绩效目标</w:t>
      </w:r>
    </w:p>
    <w:p>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560" w:firstLineChars="200"/>
        <w:textAlignment w:val="auto"/>
        <w:outlineLvl w:val="9"/>
        <w:rPr>
          <w:rFonts w:hint="eastAsia" w:ascii="宋体" w:hAnsi="宋体" w:cs="宋体"/>
          <w:color w:val="000000" w:themeColor="text1"/>
          <w:sz w:val="28"/>
          <w:szCs w:val="28"/>
        </w:rPr>
      </w:pPr>
      <w:r>
        <w:rPr>
          <w:rFonts w:hint="eastAsia" w:ascii="宋体" w:hAnsi="宋体" w:cs="宋体"/>
          <w:color w:val="000000" w:themeColor="text1"/>
          <w:sz w:val="28"/>
          <w:szCs w:val="28"/>
        </w:rPr>
        <w:t>绩效目标。北京路北端连接西北绕城高速立交的建设将北京路与西北绕城高速连接起来，将支撑和引导沿线开发。</w:t>
      </w:r>
    </w:p>
    <w:p>
      <w:pPr>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560" w:firstLineChars="200"/>
        <w:textAlignment w:val="auto"/>
        <w:outlineLvl w:val="9"/>
        <w:rPr>
          <w:rFonts w:ascii="宋体" w:hAnsi="宋体" w:cs="宋体"/>
          <w:color w:val="000000" w:themeColor="text1"/>
          <w:sz w:val="28"/>
          <w:szCs w:val="28"/>
        </w:rPr>
      </w:pPr>
      <w:r>
        <w:rPr>
          <w:rFonts w:hint="eastAsia" w:ascii="宋体" w:hAnsi="宋体" w:cs="宋体"/>
          <w:b/>
          <w:bCs/>
          <w:color w:val="000000" w:themeColor="text1"/>
          <w:sz w:val="28"/>
          <w:szCs w:val="28"/>
          <w:lang w:eastAsia="zh-CN"/>
        </w:rPr>
        <w:t>项目绩效工作制定方案</w:t>
      </w:r>
    </w:p>
    <w:p>
      <w:pPr>
        <w:keepNext w:val="0"/>
        <w:keepLines w:val="0"/>
        <w:pageBreakBefore w:val="0"/>
        <w:numPr>
          <w:numId w:val="0"/>
        </w:numPr>
        <w:kinsoku/>
        <w:wordWrap/>
        <w:overflowPunct/>
        <w:topLinePunct w:val="0"/>
        <w:autoSpaceDE/>
        <w:autoSpaceDN/>
        <w:bidi w:val="0"/>
        <w:adjustRightInd/>
        <w:snapToGrid/>
        <w:spacing w:line="360" w:lineRule="auto"/>
        <w:ind w:left="0" w:leftChars="0" w:right="0" w:rightChars="0" w:firstLine="560" w:firstLineChars="200"/>
        <w:textAlignment w:val="auto"/>
        <w:outlineLvl w:val="9"/>
        <w:rPr>
          <w:rFonts w:ascii="宋体" w:hAnsi="宋体" w:cs="宋体"/>
          <w:color w:val="000000" w:themeColor="text1"/>
          <w:sz w:val="28"/>
          <w:szCs w:val="28"/>
        </w:rPr>
      </w:pPr>
      <w:r>
        <w:rPr>
          <w:rFonts w:hint="eastAsia" w:ascii="宋体" w:hAnsi="宋体" w:cs="宋体"/>
          <w:b w:val="0"/>
          <w:bCs w:val="0"/>
          <w:color w:val="000000" w:themeColor="text1"/>
          <w:sz w:val="28"/>
          <w:szCs w:val="28"/>
          <w:lang w:val="en-US" w:eastAsia="zh-CN"/>
        </w:rPr>
        <w:t>（一）前期调研。</w:t>
      </w:r>
      <w:r>
        <w:rPr>
          <w:rFonts w:hint="eastAsia" w:ascii="宋体" w:hAnsi="宋体" w:cs="宋体"/>
          <w:color w:val="000000" w:themeColor="text1"/>
          <w:sz w:val="28"/>
          <w:szCs w:val="28"/>
        </w:rPr>
        <w:t>按照国家基本建设程序和国家发布的PPP系列指导文件的相关规定，确保北京路北端连接西北绕城高速立交工程PPP项目的顺利实施。进一步完善片区交通,形成快速-主-次-支体化的现代化交通网络,为今后片区的进一步发展提前奠定良好的交通支撑</w:t>
      </w:r>
      <w:r>
        <w:rPr>
          <w:rFonts w:hint="eastAsia" w:ascii="宋体" w:hAnsi="宋体" w:cs="宋体"/>
          <w:color w:val="000000" w:themeColor="text1"/>
          <w:sz w:val="28"/>
          <w:szCs w:val="28"/>
          <w:lang w:eastAsia="zh-CN"/>
        </w:rPr>
        <w:t>，</w:t>
      </w:r>
      <w:r>
        <w:rPr>
          <w:rFonts w:hint="eastAsia" w:ascii="宋体" w:hAnsi="宋体" w:cs="宋体"/>
          <w:color w:val="000000" w:themeColor="text1"/>
          <w:sz w:val="28"/>
          <w:szCs w:val="28"/>
        </w:rPr>
        <w:t>由盘龙区住房和城乡建设局负责项目的具体实施工作。</w:t>
      </w:r>
    </w:p>
    <w:p>
      <w:pPr>
        <w:keepNext w:val="0"/>
        <w:keepLines w:val="0"/>
        <w:pageBreakBefore w:val="0"/>
        <w:widowControl/>
        <w:numPr>
          <w:ilvl w:val="0"/>
          <w:numId w:val="0"/>
        </w:numPr>
        <w:kinsoku/>
        <w:wordWrap/>
        <w:overflowPunct/>
        <w:topLinePunct w:val="0"/>
        <w:autoSpaceDE/>
        <w:autoSpaceDN/>
        <w:bidi w:val="0"/>
        <w:adjustRightInd/>
        <w:snapToGrid/>
        <w:ind w:left="0" w:leftChars="0" w:right="0" w:rightChars="0" w:firstLine="560" w:firstLineChars="200"/>
        <w:jc w:val="left"/>
        <w:textAlignment w:val="auto"/>
        <w:rPr>
          <w:rFonts w:ascii="宋体" w:hAnsi="宋体" w:cs="宋体"/>
          <w:color w:val="000000" w:themeColor="text1"/>
          <w:sz w:val="28"/>
          <w:szCs w:val="28"/>
        </w:rPr>
      </w:pPr>
      <w:r>
        <w:rPr>
          <w:rFonts w:hint="eastAsia" w:ascii="宋体" w:hAnsi="宋体" w:cs="宋体"/>
          <w:color w:val="000000" w:themeColor="text1"/>
          <w:sz w:val="28"/>
          <w:szCs w:val="28"/>
          <w:lang w:eastAsia="zh-CN"/>
        </w:rPr>
        <w:t>（二）</w:t>
      </w:r>
      <w:r>
        <w:rPr>
          <w:rFonts w:hint="eastAsia" w:ascii="宋体" w:hAnsi="宋体" w:cs="宋体"/>
          <w:color w:val="000000" w:themeColor="text1"/>
          <w:sz w:val="28"/>
          <w:szCs w:val="28"/>
        </w:rPr>
        <w:t>依据的法律条文</w:t>
      </w:r>
      <w:r>
        <w:rPr>
          <w:rFonts w:hint="eastAsia" w:ascii="宋体" w:hAnsi="宋体" w:cs="宋体"/>
          <w:color w:val="000000" w:themeColor="text1"/>
          <w:sz w:val="28"/>
          <w:szCs w:val="28"/>
          <w:lang w:eastAsia="zh-CN"/>
        </w:rPr>
        <w:t>。</w:t>
      </w:r>
      <w:r>
        <w:rPr>
          <w:rFonts w:hint="eastAsia" w:ascii="宋体" w:hAnsi="宋体" w:cs="宋体"/>
          <w:color w:val="000000" w:themeColor="text1"/>
          <w:sz w:val="28"/>
          <w:szCs w:val="28"/>
        </w:rPr>
        <w:t>按照市级下达的《二〇一二年昆明中心城区道路建设白皮书》、昆明市盘龙区发展和改革局《关于对北京路北端连接西北绕城高速立交工程可行性研究报告的批复》（盘发改[2016]55号）、《北京路北端连接西北绕城高速立交工程采用PPP模式实施方案》、《北京路北端连接西北绕城高速立交工程PPP项目物有所值评价报告》、《北京路北端连接西北绕城高速立交工程PPP项目财政可承受能力论证报告》、《关于对&lt;北京路北端连接西北绕城高速立交工程的方案予以审批的请示&gt;的批复》（盘政办复[2016]41号）进行申报。</w:t>
      </w:r>
    </w:p>
    <w:p>
      <w:pPr>
        <w:keepNext w:val="0"/>
        <w:keepLines w:val="0"/>
        <w:pageBreakBefore w:val="0"/>
        <w:widowControl w:val="0"/>
        <w:kinsoku/>
        <w:wordWrap/>
        <w:overflowPunct/>
        <w:topLinePunct/>
        <w:autoSpaceDE/>
        <w:autoSpaceDN/>
        <w:bidi w:val="0"/>
        <w:adjustRightInd/>
        <w:snapToGrid/>
        <w:spacing w:line="440" w:lineRule="exact"/>
        <w:ind w:left="0" w:leftChars="0" w:right="0" w:rightChars="0" w:firstLine="560" w:firstLineChars="200"/>
        <w:jc w:val="both"/>
        <w:textAlignment w:val="auto"/>
        <w:outlineLvl w:val="9"/>
        <w:rPr>
          <w:rFonts w:ascii="宋体" w:hAnsi="宋体" w:cs="宋体"/>
          <w:b/>
          <w:bCs/>
          <w:color w:val="000000" w:themeColor="text1"/>
          <w:sz w:val="28"/>
          <w:szCs w:val="28"/>
        </w:rPr>
      </w:pPr>
      <w:r>
        <w:rPr>
          <w:rFonts w:hint="eastAsia" w:ascii="宋体" w:hAnsi="宋体" w:cs="宋体"/>
          <w:b/>
          <w:bCs/>
          <w:color w:val="000000" w:themeColor="text1"/>
          <w:sz w:val="28"/>
          <w:szCs w:val="28"/>
          <w:lang w:eastAsia="zh-CN"/>
        </w:rPr>
        <w:t>四、</w:t>
      </w:r>
      <w:r>
        <w:rPr>
          <w:rFonts w:hint="eastAsia" w:ascii="宋体" w:hAnsi="宋体" w:cs="宋体"/>
          <w:b/>
          <w:bCs/>
          <w:color w:val="000000" w:themeColor="text1"/>
          <w:sz w:val="28"/>
          <w:szCs w:val="28"/>
        </w:rPr>
        <w:t>项目资金使用情况</w:t>
      </w:r>
    </w:p>
    <w:p>
      <w:pPr>
        <w:numPr>
          <w:ilvl w:val="0"/>
          <w:numId w:val="3"/>
        </w:numPr>
        <w:rPr>
          <w:rFonts w:ascii="宋体" w:hAnsi="宋体" w:cs="宋体"/>
          <w:color w:val="000000" w:themeColor="text1"/>
          <w:sz w:val="28"/>
          <w:szCs w:val="28"/>
        </w:rPr>
      </w:pPr>
      <w:r>
        <w:rPr>
          <w:rFonts w:hint="eastAsia" w:ascii="宋体" w:hAnsi="宋体" w:cs="宋体"/>
          <w:color w:val="000000" w:themeColor="text1"/>
          <w:sz w:val="28"/>
          <w:szCs w:val="28"/>
        </w:rPr>
        <w:t>资金管理办法。严格按照专项资金的管理制度执行，层层审核、专款专用，无挪用、截留、虚列项目支出等违规情况，支出手续健全，审批严谨，严格执行专项资金管理办法。</w:t>
      </w:r>
    </w:p>
    <w:p>
      <w:pPr>
        <w:numPr>
          <w:ilvl w:val="0"/>
          <w:numId w:val="3"/>
        </w:numPr>
        <w:rPr>
          <w:rFonts w:ascii="宋体" w:hAnsi="宋体" w:cs="宋体"/>
          <w:color w:val="000000" w:themeColor="text1"/>
          <w:sz w:val="28"/>
          <w:szCs w:val="28"/>
        </w:rPr>
      </w:pPr>
      <w:r>
        <w:rPr>
          <w:rFonts w:hint="eastAsia" w:ascii="宋体" w:hAnsi="宋体" w:cs="宋体"/>
          <w:color w:val="000000" w:themeColor="text1"/>
          <w:sz w:val="28"/>
          <w:szCs w:val="28"/>
        </w:rPr>
        <w:t>资金执行情况。北京路北端连接西北绕城高速立交工程预算收入为5795.67万元；实际支出为255.13万元；结余为 5540.54  万元。</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right="0" w:rightChars="0" w:firstLine="560" w:firstLineChars="200"/>
        <w:jc w:val="left"/>
        <w:textAlignment w:val="auto"/>
        <w:outlineLvl w:val="9"/>
        <w:rPr>
          <w:rFonts w:ascii="宋体" w:hAnsi="宋体" w:cs="宋体"/>
          <w:color w:val="000000" w:themeColor="text1"/>
          <w:sz w:val="28"/>
          <w:szCs w:val="28"/>
        </w:rPr>
      </w:pPr>
      <w:r>
        <w:rPr>
          <w:rFonts w:hint="eastAsia" w:ascii="宋体" w:hAnsi="宋体" w:cs="宋体"/>
          <w:b/>
          <w:bCs/>
          <w:color w:val="000000" w:themeColor="text1"/>
          <w:sz w:val="28"/>
          <w:szCs w:val="28"/>
          <w:lang w:eastAsia="zh-CN"/>
        </w:rPr>
        <w:t>五、项目绩效开展流程</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560" w:firstLineChars="200"/>
        <w:jc w:val="left"/>
        <w:textAlignment w:val="auto"/>
        <w:outlineLvl w:val="9"/>
        <w:rPr>
          <w:rFonts w:ascii="宋体" w:hAnsi="宋体" w:cs="宋体"/>
          <w:color w:val="000000" w:themeColor="text1"/>
          <w:sz w:val="28"/>
          <w:szCs w:val="28"/>
        </w:rPr>
      </w:pPr>
      <w:r>
        <w:rPr>
          <w:rFonts w:hint="eastAsia" w:ascii="宋体" w:hAnsi="宋体" w:cs="宋体"/>
          <w:color w:val="000000" w:themeColor="text1"/>
          <w:sz w:val="28"/>
          <w:szCs w:val="28"/>
        </w:rPr>
        <w:t>（</w:t>
      </w:r>
      <w:r>
        <w:rPr>
          <w:rFonts w:hint="eastAsia" w:ascii="宋体" w:hAnsi="宋体" w:cs="宋体"/>
          <w:color w:val="000000" w:themeColor="text1"/>
          <w:sz w:val="28"/>
          <w:szCs w:val="28"/>
          <w:lang w:eastAsia="zh-CN"/>
        </w:rPr>
        <w:t>一</w:t>
      </w:r>
      <w:r>
        <w:rPr>
          <w:rFonts w:hint="eastAsia" w:ascii="宋体" w:hAnsi="宋体" w:cs="宋体"/>
          <w:color w:val="000000" w:themeColor="text1"/>
          <w:sz w:val="28"/>
          <w:szCs w:val="28"/>
        </w:rPr>
        <w:t>）协调发改、规划、土地、建设等有关部门，促使各相关前期手续顺利办理；组织初步设计评审工作，协调做好施工图设计及图纸审查工作；协调各管线设计；参与工程现场设计协调；办理规划许可、施工许可等行政审批手续。</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560" w:firstLineChars="200"/>
        <w:jc w:val="left"/>
        <w:textAlignment w:val="auto"/>
        <w:outlineLvl w:val="9"/>
        <w:rPr>
          <w:rFonts w:ascii="宋体" w:hAnsi="宋体" w:cs="宋体"/>
          <w:color w:val="000000" w:themeColor="text1"/>
          <w:sz w:val="28"/>
          <w:szCs w:val="28"/>
        </w:rPr>
      </w:pPr>
      <w:r>
        <w:rPr>
          <w:rFonts w:hint="eastAsia" w:ascii="宋体" w:hAnsi="宋体" w:cs="宋体"/>
          <w:color w:val="000000" w:themeColor="text1"/>
          <w:sz w:val="28"/>
          <w:szCs w:val="28"/>
        </w:rPr>
        <w:t>（</w:t>
      </w:r>
      <w:r>
        <w:rPr>
          <w:rFonts w:hint="eastAsia" w:ascii="宋体" w:hAnsi="宋体" w:cs="宋体"/>
          <w:color w:val="000000" w:themeColor="text1"/>
          <w:sz w:val="28"/>
          <w:szCs w:val="28"/>
          <w:lang w:eastAsia="zh-CN"/>
        </w:rPr>
        <w:t>二</w:t>
      </w:r>
      <w:r>
        <w:rPr>
          <w:rFonts w:hint="eastAsia" w:ascii="宋体" w:hAnsi="宋体" w:cs="宋体"/>
          <w:color w:val="000000" w:themeColor="text1"/>
          <w:sz w:val="28"/>
          <w:szCs w:val="28"/>
        </w:rPr>
        <w:t>）负责编制项目年度用款和工程进度计划；按时编报工程报表；组织开展项目初步设计概算编制，修改工作；组织开展工程施工、监理、设备采购等招投标工作；办理有关工程合同、协议报审及管理；核拨工程预付款、进度款及决算款；组织编制工程结算、竣工决算；配合并参与决算审计工作。</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560" w:firstLineChars="200"/>
        <w:jc w:val="left"/>
        <w:textAlignment w:val="auto"/>
        <w:outlineLvl w:val="9"/>
        <w:rPr>
          <w:rFonts w:ascii="宋体" w:hAnsi="宋体" w:cs="宋体"/>
          <w:color w:val="000000" w:themeColor="text1"/>
          <w:sz w:val="28"/>
          <w:szCs w:val="28"/>
        </w:rPr>
      </w:pPr>
      <w:r>
        <w:rPr>
          <w:rFonts w:hint="eastAsia" w:ascii="宋体" w:hAnsi="宋体" w:cs="宋体"/>
          <w:color w:val="000000" w:themeColor="text1"/>
          <w:sz w:val="28"/>
          <w:szCs w:val="28"/>
        </w:rPr>
        <w:t>（</w:t>
      </w:r>
      <w:r>
        <w:rPr>
          <w:rFonts w:hint="eastAsia" w:ascii="宋体" w:hAnsi="宋体" w:cs="宋体"/>
          <w:color w:val="000000" w:themeColor="text1"/>
          <w:sz w:val="28"/>
          <w:szCs w:val="28"/>
          <w:lang w:eastAsia="zh-CN"/>
        </w:rPr>
        <w:t>三</w:t>
      </w:r>
      <w:r>
        <w:rPr>
          <w:rFonts w:hint="eastAsia" w:ascii="宋体" w:hAnsi="宋体" w:cs="宋体"/>
          <w:color w:val="000000" w:themeColor="text1"/>
          <w:sz w:val="28"/>
          <w:szCs w:val="28"/>
        </w:rPr>
        <w:t>）负责设计、施工、监理单位的协调管理工作；协调处理项目建设过程中出现的各种问题；负责工程质量、安全、工程量核定、组织竣工验收工作。</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560" w:firstLineChars="200"/>
        <w:jc w:val="left"/>
        <w:textAlignment w:val="auto"/>
        <w:outlineLvl w:val="9"/>
        <w:rPr>
          <w:rFonts w:ascii="宋体" w:hAnsi="宋体" w:cs="宋体"/>
          <w:color w:val="000000" w:themeColor="text1"/>
          <w:sz w:val="28"/>
          <w:szCs w:val="28"/>
        </w:rPr>
      </w:pPr>
      <w:r>
        <w:rPr>
          <w:rFonts w:hint="eastAsia" w:ascii="宋体" w:hAnsi="宋体" w:cs="宋体"/>
          <w:color w:val="000000" w:themeColor="text1"/>
          <w:sz w:val="28"/>
          <w:szCs w:val="28"/>
        </w:rPr>
        <w:t>（</w:t>
      </w:r>
      <w:r>
        <w:rPr>
          <w:rFonts w:hint="eastAsia" w:ascii="宋体" w:hAnsi="宋体" w:cs="宋体"/>
          <w:color w:val="000000" w:themeColor="text1"/>
          <w:sz w:val="28"/>
          <w:szCs w:val="28"/>
          <w:lang w:eastAsia="zh-CN"/>
        </w:rPr>
        <w:t>四</w:t>
      </w:r>
      <w:r>
        <w:rPr>
          <w:rFonts w:hint="eastAsia" w:ascii="宋体" w:hAnsi="宋体" w:cs="宋体"/>
          <w:color w:val="000000" w:themeColor="text1"/>
          <w:sz w:val="28"/>
          <w:szCs w:val="28"/>
        </w:rPr>
        <w:t>）建立工程台账，向需查询工程资料的指挥部工作人员及相关部门人员提供台账资料；负责对工程资料进行收集、整理和归档，在工程竣工验收完毕时将工程资料移交档案馆。</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560" w:firstLineChars="200"/>
        <w:jc w:val="left"/>
        <w:textAlignment w:val="auto"/>
        <w:outlineLvl w:val="9"/>
        <w:rPr>
          <w:rFonts w:ascii="宋体" w:hAnsi="宋体" w:cs="宋体"/>
          <w:color w:val="000000" w:themeColor="text1"/>
          <w:sz w:val="28"/>
          <w:szCs w:val="28"/>
        </w:rPr>
      </w:pPr>
      <w:r>
        <w:rPr>
          <w:rFonts w:hint="eastAsia" w:ascii="宋体" w:hAnsi="宋体" w:cs="宋体"/>
          <w:color w:val="000000" w:themeColor="text1"/>
          <w:sz w:val="28"/>
          <w:szCs w:val="28"/>
        </w:rPr>
        <w:t>（</w:t>
      </w:r>
      <w:r>
        <w:rPr>
          <w:rFonts w:hint="eastAsia" w:ascii="宋体" w:hAnsi="宋体" w:cs="宋体"/>
          <w:color w:val="000000" w:themeColor="text1"/>
          <w:sz w:val="28"/>
          <w:szCs w:val="28"/>
          <w:lang w:eastAsia="zh-CN"/>
        </w:rPr>
        <w:t>五</w:t>
      </w:r>
      <w:r>
        <w:rPr>
          <w:rFonts w:hint="eastAsia" w:ascii="宋体" w:hAnsi="宋体" w:cs="宋体"/>
          <w:color w:val="000000" w:themeColor="text1"/>
          <w:sz w:val="28"/>
          <w:szCs w:val="28"/>
        </w:rPr>
        <w:t>）负责施工过程中管线单位的协调工作，召开管线单位协调会，及时解决管线单位提出的问题。对接管线单位的图纸设计、规划审批及工程施工。</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560" w:firstLineChars="200"/>
        <w:jc w:val="left"/>
        <w:textAlignment w:val="auto"/>
        <w:outlineLvl w:val="9"/>
        <w:rPr>
          <w:rFonts w:ascii="宋体" w:hAnsi="宋体" w:cs="宋体"/>
          <w:color w:val="000000" w:themeColor="text1"/>
          <w:sz w:val="28"/>
          <w:szCs w:val="28"/>
        </w:rPr>
      </w:pPr>
      <w:r>
        <w:rPr>
          <w:rFonts w:hint="eastAsia" w:ascii="宋体" w:hAnsi="宋体" w:cs="宋体"/>
          <w:color w:val="000000" w:themeColor="text1"/>
          <w:sz w:val="28"/>
          <w:szCs w:val="28"/>
        </w:rPr>
        <w:t>（</w:t>
      </w:r>
      <w:r>
        <w:rPr>
          <w:rFonts w:hint="eastAsia" w:ascii="宋体" w:hAnsi="宋体" w:cs="宋体"/>
          <w:color w:val="000000" w:themeColor="text1"/>
          <w:sz w:val="28"/>
          <w:szCs w:val="28"/>
          <w:lang w:eastAsia="zh-CN"/>
        </w:rPr>
        <w:t>六</w:t>
      </w:r>
      <w:r>
        <w:rPr>
          <w:rFonts w:hint="eastAsia" w:ascii="宋体" w:hAnsi="宋体" w:cs="宋体"/>
          <w:color w:val="000000" w:themeColor="text1"/>
          <w:sz w:val="28"/>
          <w:szCs w:val="28"/>
        </w:rPr>
        <w:t>）负责协调交警部门在施工期间做好道路周边机动车和非机动车的疏导工作，根据需要，负责办理交通管制手续，保障工程顺利进行。</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right="0" w:rightChars="0" w:firstLine="560" w:firstLineChars="200"/>
        <w:jc w:val="left"/>
        <w:textAlignment w:val="auto"/>
        <w:outlineLvl w:val="9"/>
        <w:rPr>
          <w:rFonts w:ascii="宋体" w:hAnsi="宋体" w:cs="宋体"/>
          <w:b/>
          <w:bCs/>
          <w:color w:val="000000" w:themeColor="text1"/>
          <w:sz w:val="28"/>
          <w:szCs w:val="28"/>
        </w:rPr>
      </w:pPr>
      <w:r>
        <w:rPr>
          <w:rFonts w:hint="eastAsia" w:ascii="宋体" w:hAnsi="宋体" w:cs="宋体"/>
          <w:b/>
          <w:bCs/>
          <w:color w:val="000000" w:themeColor="text1"/>
          <w:sz w:val="28"/>
          <w:szCs w:val="28"/>
          <w:lang w:eastAsia="zh-CN"/>
        </w:rPr>
        <w:t>六、项目绩效指标完成分析</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right="0" w:rightChars="0" w:firstLine="560" w:firstLineChars="200"/>
        <w:jc w:val="left"/>
        <w:textAlignment w:val="auto"/>
        <w:outlineLvl w:val="9"/>
        <w:rPr>
          <w:rFonts w:ascii="宋体" w:hAnsi="宋体" w:cs="宋体"/>
          <w:color w:val="000000" w:themeColor="text1"/>
          <w:sz w:val="28"/>
          <w:szCs w:val="28"/>
        </w:rPr>
      </w:pPr>
      <w:r>
        <w:rPr>
          <w:rFonts w:hint="eastAsia" w:ascii="宋体" w:hAnsi="宋体" w:cs="宋体"/>
          <w:color w:val="000000" w:themeColor="text1"/>
          <w:sz w:val="28"/>
          <w:szCs w:val="28"/>
        </w:rPr>
        <w:t>项目于2017年3月开工建设，现项目已完工，已完成工程进度100%。计划2020年投入使用，开通运营。现项目已完成工程进度100%，确保工程质量，符合国家标准和技术规范，严格按合同约定拨付资金，严格控制项目投资，对于道路周边市民反映问题积极处理，按照预期目标实施，未出现偏离的情况。</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right="0" w:rightChars="0" w:firstLine="560" w:firstLineChars="200"/>
        <w:jc w:val="left"/>
        <w:textAlignment w:val="auto"/>
        <w:outlineLvl w:val="9"/>
        <w:rPr>
          <w:rFonts w:hint="eastAsia" w:ascii="宋体" w:hAnsi="宋体" w:cs="宋体"/>
          <w:b/>
          <w:bCs/>
          <w:color w:val="000000" w:themeColor="text1"/>
          <w:sz w:val="28"/>
          <w:szCs w:val="28"/>
          <w:lang w:val="en-US" w:eastAsia="zh-CN"/>
        </w:rPr>
      </w:pPr>
      <w:r>
        <w:rPr>
          <w:rFonts w:hint="eastAsia" w:ascii="宋体" w:hAnsi="宋体" w:cs="宋体"/>
          <w:b/>
          <w:bCs/>
          <w:color w:val="000000" w:themeColor="text1"/>
          <w:sz w:val="28"/>
          <w:szCs w:val="28"/>
          <w:lang w:eastAsia="zh-CN"/>
        </w:rPr>
        <w:t>七、项目绩效目标社会效益</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outlineLvl w:val="9"/>
        <w:rPr>
          <w:rFonts w:ascii="宋体" w:hAnsi="宋体" w:cs="宋体"/>
          <w:color w:val="000000" w:themeColor="text1"/>
          <w:sz w:val="28"/>
          <w:szCs w:val="28"/>
        </w:rPr>
      </w:pPr>
      <w:r>
        <w:rPr>
          <w:rFonts w:hint="eastAsia" w:ascii="宋体" w:hAnsi="宋体" w:cs="宋体"/>
          <w:color w:val="000000" w:themeColor="text1"/>
          <w:sz w:val="28"/>
          <w:szCs w:val="28"/>
          <w:lang w:val="en-US" w:eastAsia="zh-CN"/>
        </w:rPr>
        <w:t>(一)</w:t>
      </w:r>
      <w:r>
        <w:rPr>
          <w:rFonts w:hint="eastAsia" w:ascii="宋体" w:hAnsi="宋体" w:cs="宋体"/>
          <w:color w:val="000000" w:themeColor="text1"/>
          <w:sz w:val="28"/>
          <w:szCs w:val="28"/>
        </w:rPr>
        <w:t>数量、时效指标：北京路北端连接西北绕城高速立交工程项目计划于2020年内完成项目收尾工作，开通运营。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outlineLvl w:val="9"/>
        <w:rPr>
          <w:rFonts w:ascii="宋体" w:hAnsi="宋体" w:cs="宋体"/>
          <w:color w:val="000000" w:themeColor="text1"/>
          <w:sz w:val="28"/>
          <w:szCs w:val="28"/>
        </w:rPr>
      </w:pPr>
      <w:r>
        <w:rPr>
          <w:rFonts w:hint="eastAsia" w:ascii="宋体" w:hAnsi="宋体" w:cs="宋体"/>
          <w:color w:val="000000" w:themeColor="text1"/>
          <w:sz w:val="28"/>
          <w:szCs w:val="28"/>
          <w:lang w:eastAsia="zh-CN"/>
        </w:rPr>
        <w:t>（二）</w:t>
      </w:r>
      <w:r>
        <w:rPr>
          <w:rFonts w:hint="eastAsia" w:ascii="宋体" w:hAnsi="宋体" w:cs="宋体"/>
          <w:color w:val="000000" w:themeColor="text1"/>
          <w:sz w:val="28"/>
          <w:szCs w:val="28"/>
        </w:rPr>
        <w:t>质量指标：符合国家标准和技术规范，按照《北京路北端连接西北绕城高速立交工程PPP实施方案》明确的技术标准进行建设，按照明确的技术标准建设并验收合格。</w:t>
      </w:r>
    </w:p>
    <w:p>
      <w:pPr>
        <w:widowControl/>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lang w:eastAsia="zh-CN"/>
        </w:rPr>
        <w:t>（三）</w:t>
      </w:r>
      <w:r>
        <w:rPr>
          <w:rFonts w:hint="eastAsia" w:ascii="宋体" w:hAnsi="宋体" w:cs="宋体"/>
          <w:color w:val="000000" w:themeColor="text1"/>
          <w:sz w:val="28"/>
          <w:szCs w:val="28"/>
        </w:rPr>
        <w:t>效益指标：方便昆明与西北方向交通出行，为片区及昆明经济快速发展提供便利</w:t>
      </w:r>
      <w:r>
        <w:rPr>
          <w:rFonts w:hint="eastAsia" w:ascii="宋体" w:hAnsi="宋体" w:cs="宋体"/>
          <w:color w:val="000000" w:themeColor="text1"/>
          <w:sz w:val="28"/>
          <w:szCs w:val="28"/>
          <w:lang w:eastAsia="zh-CN"/>
        </w:rPr>
        <w:t>；</w:t>
      </w:r>
      <w:r>
        <w:rPr>
          <w:rFonts w:hint="eastAsia" w:ascii="宋体" w:hAnsi="宋体" w:cs="宋体"/>
          <w:color w:val="000000" w:themeColor="text1"/>
          <w:sz w:val="28"/>
          <w:szCs w:val="28"/>
        </w:rPr>
        <w:t>北京路北端连接西北绕城高速立交工程项目是盘龙区重要的市政道路。采用 PPP 模式是我区对政府和社会资本的合作方式重要探索，对于促进我区转变政府职能、促进投资体制改革、加快基础设施建设影响深远。采用PPP模式也提高整体社会效益和经济效益，促成公共利益最大化。</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outlineLvl w:val="9"/>
        <w:rPr>
          <w:rFonts w:hint="eastAsia" w:ascii="宋体" w:hAnsi="宋体" w:cs="宋体"/>
          <w:b/>
          <w:bCs/>
          <w:color w:val="000000" w:themeColor="text1"/>
          <w:sz w:val="28"/>
          <w:szCs w:val="28"/>
          <w:lang w:eastAsia="zh-CN"/>
        </w:rPr>
      </w:pPr>
      <w:r>
        <w:rPr>
          <w:rFonts w:hint="eastAsia" w:ascii="宋体" w:hAnsi="宋体" w:cs="宋体"/>
          <w:color w:val="000000" w:themeColor="text1"/>
          <w:sz w:val="28"/>
          <w:szCs w:val="28"/>
          <w:lang w:eastAsia="zh-CN"/>
        </w:rPr>
        <w:t>（四）</w:t>
      </w:r>
      <w:r>
        <w:rPr>
          <w:rFonts w:hint="eastAsia" w:ascii="宋体" w:hAnsi="宋体" w:cs="宋体"/>
          <w:color w:val="000000" w:themeColor="text1"/>
          <w:sz w:val="28"/>
          <w:szCs w:val="28"/>
        </w:rPr>
        <w:t>满意度指标：周边市民满意度达80%以上。</w:t>
      </w:r>
    </w:p>
    <w:p>
      <w:pPr>
        <w:widowControl/>
        <w:ind w:firstLine="560" w:firstLineChars="200"/>
        <w:jc w:val="left"/>
        <w:rPr>
          <w:rFonts w:ascii="宋体" w:hAnsi="宋体" w:cs="宋体"/>
          <w:color w:val="000000" w:themeColor="text1"/>
          <w:sz w:val="28"/>
          <w:szCs w:val="28"/>
        </w:rPr>
      </w:pPr>
    </w:p>
    <w:p>
      <w:pPr>
        <w:widowControl/>
        <w:ind w:firstLine="560" w:firstLineChars="200"/>
        <w:jc w:val="left"/>
        <w:rPr>
          <w:rFonts w:ascii="宋体" w:hAnsi="宋体" w:cs="宋体"/>
          <w:color w:val="000000" w:themeColor="text1"/>
          <w:sz w:val="28"/>
          <w:szCs w:val="28"/>
        </w:rPr>
      </w:pPr>
    </w:p>
    <w:p>
      <w:pPr>
        <w:rPr>
          <w:color w:val="000000" w:themeColor="text1"/>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方正仿宋_GBK">
    <w:altName w:val="宋体"/>
    <w:panose1 w:val="00000000000000000000"/>
    <w:charset w:val="86"/>
    <w:family w:val="roman"/>
    <w:pitch w:val="default"/>
    <w:sig w:usb0="00000000" w:usb1="00000000" w:usb2="00000010" w:usb3="00000000" w:csb0="00040000" w:csb1="00000000"/>
  </w:font>
  <w:font w:name="方正小标宋简体">
    <w:altName w:val="微软雅黑"/>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微软雅黑"/>
    <w:panose1 w:val="00000000000000000000"/>
    <w:charset w:val="00"/>
    <w:family w:val="auto"/>
    <w:pitch w:val="default"/>
    <w:sig w:usb0="00000000" w:usb1="00000000" w:usb2="00000000" w:usb3="00000000" w:csb0="00000000" w:csb1="00000000"/>
  </w:font>
  <w:font w:name="华文仿宋">
    <w:altName w:val="仿宋"/>
    <w:panose1 w:val="02010600040101010101"/>
    <w:charset w:val="86"/>
    <w:family w:val="auto"/>
    <w:pitch w:val="default"/>
    <w:sig w:usb0="00000000" w:usb1="00000000" w:usb2="00000010" w:usb3="00000000" w:csb0="0004009F" w:csb1="00000000"/>
  </w:font>
  <w:font w:name="Arial">
    <w:panose1 w:val="020B0604020202020204"/>
    <w:charset w:val="00"/>
    <w:family w:val="swiss"/>
    <w:pitch w:val="default"/>
    <w:sig w:usb0="E0002AFF" w:usb1="C0007843" w:usb2="00000009" w:usb3="00000000" w:csb0="400001FF" w:csb1="FFFF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7" o:spid="_x0000_s4097" o:spt="202" type="#_x0000_t202" style="position:absolute;left:0pt;margin-top:0pt;height:144pt;width:144pt;mso-position-horizontal:right;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lvl w:ilvl="0" w:tentative="0">
      <w:start w:val="2"/>
      <w:numFmt w:val="chineseCounting"/>
      <w:suff w:val="nothing"/>
      <w:lvlText w:val="%1、"/>
      <w:lvlJc w:val="left"/>
    </w:lvl>
  </w:abstractNum>
  <w:abstractNum w:abstractNumId="1">
    <w:nsid w:val="5EB618D8"/>
    <w:multiLevelType w:val="singleLevel"/>
    <w:tmpl w:val="5EB618D8"/>
    <w:lvl w:ilvl="0" w:tentative="0">
      <w:start w:val="1"/>
      <w:numFmt w:val="chineseCounting"/>
      <w:suff w:val="nothing"/>
      <w:lvlText w:val="%1、"/>
      <w:lvlJc w:val="left"/>
    </w:lvl>
  </w:abstractNum>
  <w:abstractNum w:abstractNumId="2">
    <w:nsid w:val="5EB62524"/>
    <w:multiLevelType w:val="singleLevel"/>
    <w:tmpl w:val="5EB62524"/>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5D0108DD"/>
    <w:rsid w:val="002B4BA3"/>
    <w:rsid w:val="003D4A3A"/>
    <w:rsid w:val="003F6113"/>
    <w:rsid w:val="004F45F7"/>
    <w:rsid w:val="005E2AC3"/>
    <w:rsid w:val="00A10C11"/>
    <w:rsid w:val="00A2602A"/>
    <w:rsid w:val="00CC6F10"/>
    <w:rsid w:val="00E55013"/>
    <w:rsid w:val="00FE58A4"/>
    <w:rsid w:val="07264075"/>
    <w:rsid w:val="12C618BF"/>
    <w:rsid w:val="160C39A1"/>
    <w:rsid w:val="16F823E7"/>
    <w:rsid w:val="22946839"/>
    <w:rsid w:val="22F959D5"/>
    <w:rsid w:val="257B1F4B"/>
    <w:rsid w:val="2B7A3745"/>
    <w:rsid w:val="34624D09"/>
    <w:rsid w:val="37B709DC"/>
    <w:rsid w:val="46BC0440"/>
    <w:rsid w:val="54653BC9"/>
    <w:rsid w:val="55B353E9"/>
    <w:rsid w:val="5D0108DD"/>
    <w:rsid w:val="63750A48"/>
    <w:rsid w:val="652F01B0"/>
    <w:rsid w:val="695462B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0"/>
    </w:rPr>
  </w:style>
  <w:style w:type="paragraph" w:customStyle="1" w:styleId="7">
    <w:name w:val="列出段落1"/>
    <w:basedOn w:val="1"/>
    <w:qFormat/>
    <w:uiPriority w:val="0"/>
    <w:pPr>
      <w:ind w:firstLine="420" w:firstLineChars="200"/>
    </w:pPr>
  </w:style>
  <w:style w:type="character" w:customStyle="1" w:styleId="8">
    <w:name w:val="页眉 Char"/>
    <w:basedOn w:val="5"/>
    <w:link w:val="3"/>
    <w:qFormat/>
    <w:uiPriority w:val="0"/>
    <w:rPr>
      <w:rFonts w:ascii="Calibri" w:hAnsi="Calibri" w:eastAsia="宋体" w:cs="黑体"/>
      <w:kern w:val="2"/>
      <w:sz w:val="18"/>
      <w:szCs w:val="18"/>
    </w:rPr>
  </w:style>
  <w:style w:type="character" w:customStyle="1" w:styleId="9">
    <w:name w:val="页脚 Char"/>
    <w:basedOn w:val="5"/>
    <w:link w:val="2"/>
    <w:qFormat/>
    <w:uiPriority w:val="0"/>
    <w:rPr>
      <w:rFonts w:ascii="Calibri" w:hAnsi="Calibri" w:eastAsia="宋体" w:cs="黑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317</Words>
  <Characters>1809</Characters>
  <Lines>15</Lines>
  <Paragraphs>4</Paragraphs>
  <ScaleCrop>false</ScaleCrop>
  <LinksUpToDate>false</LinksUpToDate>
  <CharactersWithSpaces>2122</CharactersWithSpaces>
  <Application>WPS Office_10.1.0.6489_F1E327BC-269C-435d-A152-05C5408002CA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2020-05-08T06:16:00Z</dcterms:created>
  <dc:creator>user</dc:creator>
  <cp:lastModifiedBy>user</cp:lastModifiedBy>
  <dcterms:modified xsi:type="dcterms:W3CDTF">2020-09-23T01:15:48Z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2052-10.1.0.6489</vt:lpwstr>
  </property>
</Properties>
</file>