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ind w:firstLine="320" w:firstLineChars="100"/>
        <w:rPr>
          <w:rFonts w:ascii="方正小标宋_GBK" w:eastAsia="方正小标宋_GBK" w:cs="Times New Roman"/>
          <w:sz w:val="32"/>
          <w:szCs w:val="32"/>
        </w:rPr>
      </w:pPr>
      <w:bookmarkStart w:id="0" w:name="_GoBack"/>
      <w:bookmarkEnd w:id="0"/>
      <w:r>
        <w:rPr>
          <w:rFonts w:hint="eastAsia" w:ascii="方正小标宋_GBK" w:eastAsia="方正小标宋_GBK" w:cs="方正小标宋_GBK"/>
          <w:sz w:val="32"/>
          <w:szCs w:val="32"/>
        </w:rPr>
        <w:t>附件</w:t>
      </w:r>
      <w:r>
        <w:rPr>
          <w:rFonts w:ascii="方正小标宋_GBK" w:eastAsia="方正小标宋_GBK" w:cs="方正小标宋_GBK"/>
          <w:sz w:val="32"/>
          <w:szCs w:val="32"/>
        </w:rPr>
        <w:t>1</w:t>
      </w:r>
      <w:r>
        <w:rPr>
          <w:rFonts w:hint="eastAsia" w:ascii="方正小标宋_GBK" w:eastAsia="方正小标宋_GBK" w:cs="方正小标宋_GBK"/>
          <w:sz w:val="32"/>
          <w:szCs w:val="32"/>
        </w:rPr>
        <w:t>：</w:t>
      </w:r>
      <w:r>
        <w:rPr>
          <w:rFonts w:ascii="方正小标宋_GBK" w:eastAsia="方正小标宋_GBK" w:cs="方正小标宋_GBK"/>
          <w:sz w:val="32"/>
          <w:szCs w:val="32"/>
        </w:rPr>
        <w:t xml:space="preserve"> </w:t>
      </w:r>
      <w:r>
        <w:rPr>
          <w:rFonts w:ascii="方正小标宋_GBK" w:cs="方正小标宋_GBK"/>
          <w:b/>
          <w:bCs/>
          <w:sz w:val="32"/>
          <w:szCs w:val="32"/>
          <w:lang w:val="en-US"/>
        </w:rPr>
        <w:t>共</w:t>
      </w:r>
      <w:r>
        <w:rPr>
          <w:rFonts w:hint="eastAsia" w:ascii="方正小标宋简体" w:eastAsia="方正小标宋简体" w:cs="方正小标宋简体"/>
          <w:sz w:val="32"/>
          <w:szCs w:val="32"/>
          <w:lang w:val="en-US"/>
        </w:rPr>
        <w:t>青团盘龙区委</w:t>
      </w:r>
      <w:r>
        <w:rPr>
          <w:rFonts w:hint="eastAsia" w:ascii="方正小标宋简体" w:eastAsia="方正小标宋简体" w:cs="方正小标宋简体"/>
          <w:sz w:val="32"/>
          <w:szCs w:val="32"/>
        </w:rPr>
        <w:t>整体支出绩效评价共性指标体系</w:t>
      </w:r>
    </w:p>
    <w:tbl>
      <w:tblPr>
        <w:tblStyle w:val="5"/>
        <w:tblW w:w="10065" w:type="dxa"/>
        <w:tblInd w:w="-983" w:type="dxa"/>
        <w:tblLayout w:type="fixed"/>
        <w:tblCellMar>
          <w:top w:w="0" w:type="dxa"/>
          <w:left w:w="108" w:type="dxa"/>
          <w:bottom w:w="0" w:type="dxa"/>
          <w:right w:w="108" w:type="dxa"/>
        </w:tblCellMar>
      </w:tblPr>
      <w:tblGrid>
        <w:gridCol w:w="579"/>
        <w:gridCol w:w="981"/>
        <w:gridCol w:w="1559"/>
        <w:gridCol w:w="689"/>
        <w:gridCol w:w="2050"/>
        <w:gridCol w:w="2846"/>
        <w:gridCol w:w="1361"/>
      </w:tblGrid>
      <w:tr>
        <w:tblPrEx>
          <w:tblCellMar>
            <w:top w:w="0" w:type="dxa"/>
            <w:left w:w="108" w:type="dxa"/>
            <w:bottom w:w="0" w:type="dxa"/>
            <w:right w:w="108" w:type="dxa"/>
          </w:tblCellMar>
        </w:tblPrEx>
        <w:trPr>
          <w:trHeight w:val="270" w:hRule="atLeast"/>
        </w:trPr>
        <w:tc>
          <w:tcPr>
            <w:tcW w:w="579"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Times New Roman"/>
                <w:b/>
                <w:bCs/>
                <w:color w:val="000000"/>
                <w:kern w:val="0"/>
                <w:sz w:val="18"/>
                <w:szCs w:val="18"/>
              </w:rPr>
            </w:pPr>
            <w:r>
              <w:rPr>
                <w:rFonts w:hint="eastAsia" w:ascii="宋体" w:hAnsi="宋体" w:cs="宋体"/>
                <w:b/>
                <w:bCs/>
                <w:color w:val="000000"/>
                <w:kern w:val="0"/>
                <w:sz w:val="18"/>
                <w:szCs w:val="18"/>
              </w:rPr>
              <w:t>一级指标</w:t>
            </w:r>
          </w:p>
        </w:tc>
        <w:tc>
          <w:tcPr>
            <w:tcW w:w="981" w:type="dxa"/>
            <w:tcBorders>
              <w:top w:val="single" w:color="auto" w:sz="4" w:space="0"/>
              <w:left w:val="nil"/>
              <w:bottom w:val="single" w:color="auto" w:sz="4" w:space="0"/>
              <w:right w:val="single" w:color="auto" w:sz="4" w:space="0"/>
            </w:tcBorders>
            <w:vAlign w:val="center"/>
          </w:tcPr>
          <w:p>
            <w:pPr>
              <w:widowControl/>
              <w:jc w:val="center"/>
              <w:rPr>
                <w:rFonts w:ascii="宋体" w:cs="Times New Roman"/>
                <w:b/>
                <w:bCs/>
                <w:color w:val="000000"/>
                <w:kern w:val="0"/>
                <w:sz w:val="18"/>
                <w:szCs w:val="18"/>
              </w:rPr>
            </w:pPr>
            <w:r>
              <w:rPr>
                <w:rFonts w:hint="eastAsia" w:ascii="宋体" w:hAnsi="宋体" w:cs="宋体"/>
                <w:b/>
                <w:bCs/>
                <w:color w:val="000000"/>
                <w:kern w:val="0"/>
                <w:sz w:val="18"/>
                <w:szCs w:val="18"/>
              </w:rPr>
              <w:t>二级</w:t>
            </w:r>
          </w:p>
          <w:p>
            <w:pPr>
              <w:widowControl/>
              <w:jc w:val="center"/>
              <w:rPr>
                <w:rFonts w:ascii="宋体" w:cs="Times New Roman"/>
                <w:b/>
                <w:bCs/>
                <w:color w:val="000000"/>
                <w:kern w:val="0"/>
                <w:sz w:val="18"/>
                <w:szCs w:val="18"/>
              </w:rPr>
            </w:pPr>
            <w:r>
              <w:rPr>
                <w:rFonts w:hint="eastAsia" w:ascii="宋体" w:hAnsi="宋体" w:cs="宋体"/>
                <w:b/>
                <w:bCs/>
                <w:color w:val="000000"/>
                <w:kern w:val="0"/>
                <w:sz w:val="18"/>
                <w:szCs w:val="18"/>
              </w:rPr>
              <w:t>指标</w:t>
            </w:r>
          </w:p>
        </w:tc>
        <w:tc>
          <w:tcPr>
            <w:tcW w:w="1559" w:type="dxa"/>
            <w:tcBorders>
              <w:top w:val="single" w:color="auto" w:sz="4" w:space="0"/>
              <w:left w:val="nil"/>
              <w:bottom w:val="single" w:color="auto" w:sz="4" w:space="0"/>
              <w:right w:val="single" w:color="auto" w:sz="4" w:space="0"/>
            </w:tcBorders>
            <w:vAlign w:val="center"/>
          </w:tcPr>
          <w:p>
            <w:pPr>
              <w:widowControl/>
              <w:jc w:val="center"/>
              <w:rPr>
                <w:rFonts w:ascii="宋体" w:cs="Times New Roman"/>
                <w:b/>
                <w:bCs/>
                <w:color w:val="000000"/>
                <w:kern w:val="0"/>
                <w:sz w:val="18"/>
                <w:szCs w:val="18"/>
              </w:rPr>
            </w:pPr>
            <w:r>
              <w:rPr>
                <w:rFonts w:hint="eastAsia" w:ascii="宋体" w:hAnsi="宋体" w:cs="宋体"/>
                <w:b/>
                <w:bCs/>
                <w:color w:val="000000"/>
                <w:kern w:val="0"/>
                <w:sz w:val="18"/>
                <w:szCs w:val="18"/>
              </w:rPr>
              <w:t>三级指标</w:t>
            </w:r>
          </w:p>
        </w:tc>
        <w:tc>
          <w:tcPr>
            <w:tcW w:w="689" w:type="dxa"/>
            <w:tcBorders>
              <w:top w:val="single" w:color="auto" w:sz="4" w:space="0"/>
              <w:left w:val="nil"/>
              <w:bottom w:val="single" w:color="auto" w:sz="4" w:space="0"/>
              <w:right w:val="single" w:color="auto" w:sz="4" w:space="0"/>
            </w:tcBorders>
            <w:vAlign w:val="center"/>
          </w:tcPr>
          <w:p>
            <w:pPr>
              <w:widowControl/>
              <w:jc w:val="center"/>
              <w:rPr>
                <w:rFonts w:ascii="宋体" w:cs="Times New Roman"/>
                <w:b/>
                <w:bCs/>
                <w:color w:val="000000"/>
                <w:kern w:val="0"/>
                <w:sz w:val="18"/>
                <w:szCs w:val="18"/>
              </w:rPr>
            </w:pPr>
            <w:r>
              <w:rPr>
                <w:rFonts w:hint="eastAsia" w:ascii="宋体" w:hAnsi="宋体" w:cs="宋体"/>
                <w:b/>
                <w:bCs/>
                <w:color w:val="000000"/>
                <w:kern w:val="0"/>
                <w:sz w:val="18"/>
                <w:szCs w:val="18"/>
              </w:rPr>
              <w:t>得分</w:t>
            </w:r>
          </w:p>
        </w:tc>
        <w:tc>
          <w:tcPr>
            <w:tcW w:w="2050" w:type="dxa"/>
            <w:tcBorders>
              <w:top w:val="single" w:color="auto" w:sz="4" w:space="0"/>
              <w:left w:val="nil"/>
              <w:bottom w:val="single" w:color="auto" w:sz="4" w:space="0"/>
              <w:right w:val="single" w:color="auto" w:sz="4" w:space="0"/>
            </w:tcBorders>
            <w:vAlign w:val="center"/>
          </w:tcPr>
          <w:p>
            <w:pPr>
              <w:widowControl/>
              <w:jc w:val="center"/>
              <w:rPr>
                <w:rFonts w:ascii="宋体" w:cs="Times New Roman"/>
                <w:b/>
                <w:bCs/>
                <w:color w:val="000000"/>
                <w:kern w:val="0"/>
                <w:sz w:val="18"/>
                <w:szCs w:val="18"/>
              </w:rPr>
            </w:pPr>
            <w:r>
              <w:rPr>
                <w:rFonts w:hint="eastAsia" w:ascii="宋体" w:hAnsi="宋体" w:cs="宋体"/>
                <w:b/>
                <w:bCs/>
                <w:color w:val="000000"/>
                <w:kern w:val="0"/>
                <w:sz w:val="18"/>
                <w:szCs w:val="18"/>
              </w:rPr>
              <w:t>指标解释</w:t>
            </w:r>
          </w:p>
        </w:tc>
        <w:tc>
          <w:tcPr>
            <w:tcW w:w="2846" w:type="dxa"/>
            <w:tcBorders>
              <w:top w:val="single" w:color="auto" w:sz="4" w:space="0"/>
              <w:left w:val="nil"/>
              <w:bottom w:val="single" w:color="auto" w:sz="4" w:space="0"/>
              <w:right w:val="single" w:color="auto" w:sz="4" w:space="0"/>
            </w:tcBorders>
            <w:vAlign w:val="center"/>
          </w:tcPr>
          <w:p>
            <w:pPr>
              <w:widowControl/>
              <w:jc w:val="center"/>
              <w:rPr>
                <w:rFonts w:ascii="宋体" w:cs="Times New Roman"/>
                <w:b/>
                <w:bCs/>
                <w:color w:val="000000"/>
                <w:kern w:val="0"/>
                <w:sz w:val="18"/>
                <w:szCs w:val="18"/>
              </w:rPr>
            </w:pPr>
            <w:r>
              <w:rPr>
                <w:rFonts w:hint="eastAsia" w:ascii="宋体" w:hAnsi="宋体" w:cs="宋体"/>
                <w:b/>
                <w:bCs/>
                <w:color w:val="000000"/>
                <w:kern w:val="0"/>
                <w:sz w:val="18"/>
                <w:szCs w:val="18"/>
              </w:rPr>
              <w:t>指标评分细则</w:t>
            </w:r>
          </w:p>
        </w:tc>
        <w:tc>
          <w:tcPr>
            <w:tcW w:w="1361" w:type="dxa"/>
            <w:tcBorders>
              <w:top w:val="single" w:color="auto" w:sz="4" w:space="0"/>
              <w:left w:val="nil"/>
              <w:bottom w:val="single" w:color="auto" w:sz="4" w:space="0"/>
              <w:right w:val="single" w:color="auto" w:sz="4" w:space="0"/>
            </w:tcBorders>
            <w:vAlign w:val="center"/>
          </w:tcPr>
          <w:p>
            <w:pPr>
              <w:widowControl/>
              <w:jc w:val="center"/>
              <w:rPr>
                <w:rFonts w:ascii="宋体" w:cs="Times New Roman"/>
                <w:b/>
                <w:bCs/>
                <w:color w:val="000000"/>
                <w:kern w:val="0"/>
                <w:sz w:val="18"/>
                <w:szCs w:val="18"/>
              </w:rPr>
            </w:pPr>
            <w:r>
              <w:rPr>
                <w:rFonts w:hint="eastAsia" w:ascii="宋体" w:hAnsi="宋体" w:cs="宋体"/>
                <w:b/>
                <w:bCs/>
                <w:color w:val="000000"/>
                <w:kern w:val="0"/>
                <w:sz w:val="18"/>
                <w:szCs w:val="18"/>
              </w:rPr>
              <w:t>数据来源</w:t>
            </w:r>
          </w:p>
        </w:tc>
      </w:tr>
      <w:tr>
        <w:tblPrEx>
          <w:tblCellMar>
            <w:top w:w="0" w:type="dxa"/>
            <w:left w:w="108" w:type="dxa"/>
            <w:bottom w:w="0" w:type="dxa"/>
            <w:right w:w="108" w:type="dxa"/>
          </w:tblCellMar>
        </w:tblPrEx>
        <w:trPr>
          <w:trHeight w:val="1575" w:hRule="atLeast"/>
        </w:trPr>
        <w:tc>
          <w:tcPr>
            <w:tcW w:w="579" w:type="dxa"/>
            <w:vMerge w:val="restart"/>
            <w:tcBorders>
              <w:top w:val="nil"/>
              <w:left w:val="single" w:color="auto" w:sz="4" w:space="0"/>
              <w:bottom w:val="single" w:color="auto" w:sz="4" w:space="0"/>
              <w:right w:val="single" w:color="auto" w:sz="4" w:space="0"/>
            </w:tcBorders>
          </w:tcPr>
          <w:p>
            <w:pPr>
              <w:widowControl/>
              <w:rPr>
                <w:rFonts w:ascii="宋体" w:cs="Times New Roman"/>
                <w:b/>
                <w:bCs/>
                <w:color w:val="000000"/>
                <w:kern w:val="0"/>
                <w:sz w:val="18"/>
                <w:szCs w:val="18"/>
              </w:rPr>
            </w:pPr>
            <w:r>
              <w:rPr>
                <w:rFonts w:ascii="宋体" w:hAnsi="宋体" w:cs="宋体"/>
                <w:b/>
                <w:bCs/>
                <w:color w:val="000000"/>
                <w:kern w:val="0"/>
                <w:sz w:val="18"/>
                <w:szCs w:val="18"/>
              </w:rPr>
              <w:t>A</w:t>
            </w:r>
            <w:r>
              <w:rPr>
                <w:rFonts w:hint="eastAsia" w:ascii="宋体" w:hAnsi="宋体" w:cs="宋体"/>
                <w:b/>
                <w:bCs/>
                <w:color w:val="000000"/>
                <w:kern w:val="0"/>
                <w:sz w:val="18"/>
                <w:szCs w:val="18"/>
              </w:rPr>
              <w:t>部门决策（</w:t>
            </w:r>
            <w:r>
              <w:rPr>
                <w:rFonts w:ascii="宋体" w:hAnsi="宋体" w:cs="宋体"/>
                <w:b/>
                <w:bCs/>
                <w:color w:val="000000"/>
                <w:kern w:val="0"/>
                <w:sz w:val="18"/>
                <w:szCs w:val="18"/>
              </w:rPr>
              <w:t>35</w:t>
            </w:r>
            <w:r>
              <w:rPr>
                <w:rFonts w:hint="eastAsia" w:ascii="宋体" w:hAnsi="宋体" w:cs="宋体"/>
                <w:b/>
                <w:bCs/>
                <w:color w:val="000000"/>
                <w:kern w:val="0"/>
                <w:sz w:val="18"/>
                <w:szCs w:val="18"/>
              </w:rPr>
              <w:t>分）</w:t>
            </w:r>
          </w:p>
        </w:tc>
        <w:tc>
          <w:tcPr>
            <w:tcW w:w="981" w:type="dxa"/>
            <w:vMerge w:val="restart"/>
            <w:tcBorders>
              <w:top w:val="nil"/>
              <w:left w:val="single" w:color="auto" w:sz="4" w:space="0"/>
              <w:bottom w:val="single" w:color="000000" w:sz="4" w:space="0"/>
              <w:right w:val="single" w:color="auto" w:sz="4" w:space="0"/>
            </w:tcBorders>
          </w:tcPr>
          <w:p>
            <w:pPr>
              <w:widowControl/>
              <w:jc w:val="center"/>
              <w:rPr>
                <w:rFonts w:ascii="宋体" w:cs="Times New Roman"/>
                <w:color w:val="000000"/>
                <w:kern w:val="0"/>
                <w:sz w:val="18"/>
                <w:szCs w:val="18"/>
              </w:rPr>
            </w:pPr>
            <w:r>
              <w:rPr>
                <w:rFonts w:ascii="宋体" w:hAnsi="宋体" w:cs="宋体"/>
                <w:color w:val="000000"/>
                <w:kern w:val="0"/>
                <w:sz w:val="18"/>
                <w:szCs w:val="18"/>
              </w:rPr>
              <w:t>A1</w:t>
            </w:r>
            <w:r>
              <w:rPr>
                <w:rFonts w:hint="eastAsia" w:ascii="宋体" w:hAnsi="宋体" w:cs="宋体"/>
                <w:color w:val="000000"/>
                <w:kern w:val="0"/>
                <w:sz w:val="18"/>
                <w:szCs w:val="18"/>
              </w:rPr>
              <w:t>部门目标（</w:t>
            </w:r>
            <w:r>
              <w:rPr>
                <w:rFonts w:ascii="宋体" w:hAnsi="宋体" w:cs="宋体"/>
                <w:color w:val="000000"/>
                <w:kern w:val="0"/>
                <w:sz w:val="18"/>
                <w:szCs w:val="18"/>
              </w:rPr>
              <w:t>12</w:t>
            </w:r>
            <w:r>
              <w:rPr>
                <w:rFonts w:hint="eastAsia" w:ascii="宋体" w:hAnsi="宋体" w:cs="宋体"/>
                <w:color w:val="000000"/>
                <w:kern w:val="0"/>
                <w:sz w:val="18"/>
                <w:szCs w:val="18"/>
              </w:rPr>
              <w:t>分）</w:t>
            </w: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A11</w:t>
            </w:r>
            <w:r>
              <w:rPr>
                <w:rFonts w:hint="eastAsia" w:ascii="宋体" w:hAnsi="宋体" w:cs="宋体"/>
                <w:color w:val="000000"/>
                <w:kern w:val="0"/>
                <w:sz w:val="18"/>
                <w:szCs w:val="18"/>
              </w:rPr>
              <w:t>部门中长期规划目标的明确性与合理性（</w:t>
            </w:r>
            <w:r>
              <w:rPr>
                <w:rFonts w:ascii="宋体" w:hAnsi="宋体" w:cs="宋体"/>
                <w:color w:val="000000"/>
                <w:kern w:val="0"/>
                <w:sz w:val="18"/>
                <w:szCs w:val="18"/>
              </w:rPr>
              <w:t>2</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2</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部门中长期规划目标的设定情况；中长期规划目标应设定明确，应与政府中长期规划目标相适应，且应与单位职能相适应。</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①设定了单位中长期规划目标，得</w:t>
            </w:r>
            <w:r>
              <w:rPr>
                <w:rFonts w:ascii="宋体" w:hAnsi="宋体" w:cs="宋体"/>
                <w:color w:val="000000"/>
                <w:kern w:val="0"/>
                <w:sz w:val="18"/>
                <w:szCs w:val="18"/>
              </w:rPr>
              <w:t>0.5</w:t>
            </w:r>
            <w:r>
              <w:rPr>
                <w:rFonts w:hint="eastAsia" w:ascii="宋体" w:hAnsi="宋体" w:cs="宋体"/>
                <w:color w:val="000000"/>
                <w:kern w:val="0"/>
                <w:sz w:val="18"/>
                <w:szCs w:val="18"/>
              </w:rPr>
              <w:t>分；②设定的单位中长期规划目标明确，得</w:t>
            </w:r>
            <w:r>
              <w:rPr>
                <w:rFonts w:ascii="宋体" w:hAnsi="宋体" w:cs="宋体"/>
                <w:color w:val="000000"/>
                <w:kern w:val="0"/>
                <w:sz w:val="18"/>
                <w:szCs w:val="18"/>
              </w:rPr>
              <w:t>0.5</w:t>
            </w:r>
            <w:r>
              <w:rPr>
                <w:rFonts w:hint="eastAsia" w:ascii="宋体" w:hAnsi="宋体" w:cs="宋体"/>
                <w:color w:val="000000"/>
                <w:kern w:val="0"/>
                <w:sz w:val="18"/>
                <w:szCs w:val="18"/>
              </w:rPr>
              <w:t>分；③</w:t>
            </w:r>
            <w:r>
              <w:rPr>
                <w:rFonts w:hint="eastAsia" w:ascii="宋体" w:hAnsi="宋体" w:cs="宋体"/>
                <w:color w:val="000000"/>
                <w:kern w:val="0"/>
                <w:sz w:val="18"/>
                <w:szCs w:val="18"/>
                <w:highlight w:val="none"/>
              </w:rPr>
              <w:t>能够适应《</w:t>
            </w:r>
            <w:r>
              <w:rPr>
                <w:rFonts w:hint="eastAsia" w:ascii="宋体" w:hAnsi="宋体" w:cs="宋体"/>
                <w:color w:val="000000"/>
                <w:kern w:val="0"/>
                <w:sz w:val="18"/>
                <w:szCs w:val="18"/>
                <w:highlight w:val="none"/>
                <w:lang w:val="en-US" w:eastAsia="zh-CN"/>
              </w:rPr>
              <w:t>共青团改革实施方案</w:t>
            </w:r>
            <w:r>
              <w:rPr>
                <w:rFonts w:hint="eastAsia" w:ascii="宋体" w:hAnsi="宋体" w:cs="宋体"/>
                <w:color w:val="000000"/>
                <w:kern w:val="0"/>
                <w:sz w:val="18"/>
                <w:szCs w:val="18"/>
                <w:highlight w:val="none"/>
              </w:rPr>
              <w:t>》</w:t>
            </w:r>
            <w:r>
              <w:rPr>
                <w:rFonts w:hint="eastAsia" w:ascii="宋体" w:hAnsi="宋体" w:cs="宋体"/>
                <w:color w:val="000000"/>
                <w:kern w:val="0"/>
                <w:sz w:val="18"/>
                <w:szCs w:val="18"/>
              </w:rPr>
              <w:t>，得</w:t>
            </w:r>
            <w:r>
              <w:rPr>
                <w:rFonts w:ascii="宋体" w:hAnsi="宋体" w:cs="宋体"/>
                <w:color w:val="000000"/>
                <w:kern w:val="0"/>
                <w:sz w:val="18"/>
                <w:szCs w:val="18"/>
              </w:rPr>
              <w:t>0.5</w:t>
            </w:r>
            <w:r>
              <w:rPr>
                <w:rFonts w:hint="eastAsia" w:ascii="宋体" w:hAnsi="宋体" w:cs="宋体"/>
                <w:color w:val="000000"/>
                <w:kern w:val="0"/>
                <w:sz w:val="18"/>
                <w:szCs w:val="18"/>
              </w:rPr>
              <w:t>分；④能够与单位职能相适应，得</w:t>
            </w:r>
            <w:r>
              <w:rPr>
                <w:rFonts w:ascii="宋体" w:hAnsi="宋体" w:cs="宋体"/>
                <w:color w:val="000000"/>
                <w:kern w:val="0"/>
                <w:sz w:val="18"/>
                <w:szCs w:val="18"/>
              </w:rPr>
              <w:t>0.5</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单位中长期规划目标、区政府相关规划、单位“三定”方案、单位职能文件。</w:t>
            </w:r>
          </w:p>
        </w:tc>
      </w:tr>
      <w:tr>
        <w:tblPrEx>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A12</w:t>
            </w:r>
            <w:r>
              <w:rPr>
                <w:rFonts w:hint="eastAsia" w:ascii="宋体" w:hAnsi="宋体" w:cs="宋体"/>
                <w:color w:val="000000"/>
                <w:kern w:val="0"/>
                <w:sz w:val="18"/>
                <w:szCs w:val="18"/>
              </w:rPr>
              <w:t>年度工作目标的明确性与合理性（</w:t>
            </w:r>
            <w:r>
              <w:rPr>
                <w:rFonts w:ascii="宋体" w:hAnsi="宋体" w:cs="宋体"/>
                <w:color w:val="000000"/>
                <w:kern w:val="0"/>
                <w:sz w:val="18"/>
                <w:szCs w:val="18"/>
              </w:rPr>
              <w:t>2</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2</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部门年度工作目标的设定是否明确合理</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①部门年度工作目标明确设定，得</w:t>
            </w:r>
            <w:r>
              <w:rPr>
                <w:rFonts w:ascii="宋体" w:hAnsi="宋体" w:cs="宋体"/>
                <w:color w:val="000000"/>
                <w:kern w:val="0"/>
                <w:sz w:val="18"/>
                <w:szCs w:val="18"/>
              </w:rPr>
              <w:t>1</w:t>
            </w:r>
            <w:r>
              <w:rPr>
                <w:rFonts w:hint="eastAsia" w:ascii="宋体" w:hAnsi="宋体" w:cs="宋体"/>
                <w:color w:val="000000"/>
                <w:kern w:val="0"/>
                <w:sz w:val="18"/>
                <w:szCs w:val="18"/>
              </w:rPr>
              <w:t>分；②年度工作目标与单位中长期规划目标一致，得</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年度工作目标与单位中长期规划文件</w:t>
            </w:r>
          </w:p>
        </w:tc>
      </w:tr>
      <w:tr>
        <w:tblPrEx>
          <w:tblCellMar>
            <w:top w:w="0" w:type="dxa"/>
            <w:left w:w="108" w:type="dxa"/>
            <w:bottom w:w="0" w:type="dxa"/>
            <w:right w:w="108" w:type="dxa"/>
          </w:tblCellMar>
        </w:tblPrEx>
        <w:trPr>
          <w:trHeight w:val="123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A13</w:t>
            </w:r>
            <w:r>
              <w:rPr>
                <w:rFonts w:hint="eastAsia" w:ascii="宋体" w:hAnsi="宋体" w:cs="宋体"/>
                <w:color w:val="000000"/>
                <w:kern w:val="0"/>
                <w:sz w:val="18"/>
                <w:szCs w:val="18"/>
              </w:rPr>
              <w:t>年度工作计划与年度工作目标的一致性（</w:t>
            </w:r>
            <w:r>
              <w:rPr>
                <w:rFonts w:ascii="宋体" w:hAnsi="宋体" w:cs="宋体"/>
                <w:color w:val="000000"/>
                <w:kern w:val="0"/>
                <w:sz w:val="18"/>
                <w:szCs w:val="18"/>
              </w:rPr>
              <w:t>2</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2</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部门年度工作计划是否与单位年度工作目标相一致。</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将部门详细工作计划与年度工作目标对应匹配，视匹配情况酌情得</w:t>
            </w:r>
            <w:r>
              <w:rPr>
                <w:rFonts w:ascii="宋体" w:hAnsi="宋体" w:cs="宋体"/>
                <w:color w:val="000000"/>
                <w:kern w:val="0"/>
                <w:sz w:val="18"/>
                <w:szCs w:val="18"/>
              </w:rPr>
              <w:t>0-2</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年度工作计划与年度工作目标文件</w:t>
            </w:r>
          </w:p>
        </w:tc>
      </w:tr>
      <w:tr>
        <w:tblPrEx>
          <w:tblCellMar>
            <w:top w:w="0" w:type="dxa"/>
            <w:left w:w="108" w:type="dxa"/>
            <w:bottom w:w="0" w:type="dxa"/>
            <w:right w:w="108" w:type="dxa"/>
          </w:tblCellMar>
        </w:tblPrEx>
        <w:trPr>
          <w:trHeight w:val="14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A14</w:t>
            </w:r>
            <w:r>
              <w:rPr>
                <w:rFonts w:hint="eastAsia" w:ascii="宋体" w:hAnsi="宋体" w:cs="宋体"/>
                <w:color w:val="000000"/>
                <w:kern w:val="0"/>
                <w:sz w:val="18"/>
                <w:szCs w:val="18"/>
              </w:rPr>
              <w:t>绩效目标合理性（</w:t>
            </w:r>
            <w:r>
              <w:rPr>
                <w:rFonts w:ascii="宋体" w:hAnsi="宋体" w:cs="宋体"/>
                <w:color w:val="000000"/>
                <w:kern w:val="0"/>
                <w:sz w:val="18"/>
                <w:szCs w:val="18"/>
              </w:rPr>
              <w:t>3</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3</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用以反映和考核单位整体绩效目标与单位职能、年度工作目标的一致性。</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①符合部门制定的中长期实施规划计</w:t>
            </w:r>
            <w:r>
              <w:rPr>
                <w:rFonts w:ascii="宋体" w:hAnsi="宋体" w:cs="宋体"/>
                <w:color w:val="000000"/>
                <w:kern w:val="0"/>
                <w:sz w:val="18"/>
                <w:szCs w:val="18"/>
              </w:rPr>
              <w:t>1</w:t>
            </w:r>
            <w:r>
              <w:rPr>
                <w:rFonts w:hint="eastAsia" w:ascii="宋体" w:hAnsi="宋体" w:cs="宋体"/>
                <w:color w:val="000000"/>
                <w:kern w:val="0"/>
                <w:sz w:val="18"/>
                <w:szCs w:val="18"/>
              </w:rPr>
              <w:t>分；②符合单位“三定”方案确定的职责计</w:t>
            </w:r>
            <w:r>
              <w:rPr>
                <w:rFonts w:ascii="宋体" w:hAnsi="宋体" w:cs="宋体"/>
                <w:color w:val="000000"/>
                <w:kern w:val="0"/>
                <w:sz w:val="18"/>
                <w:szCs w:val="18"/>
              </w:rPr>
              <w:t>1</w:t>
            </w:r>
            <w:r>
              <w:rPr>
                <w:rFonts w:hint="eastAsia" w:ascii="宋体" w:hAnsi="宋体" w:cs="宋体"/>
                <w:color w:val="000000"/>
                <w:kern w:val="0"/>
                <w:sz w:val="18"/>
                <w:szCs w:val="18"/>
              </w:rPr>
              <w:t>分；③与单位年度工作目标、任务相一致计</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部门中长期规划、单位“三定”方案、年度重点工作任务与工作计划</w:t>
            </w:r>
          </w:p>
        </w:tc>
      </w:tr>
      <w:tr>
        <w:tblPrEx>
          <w:tblCellMar>
            <w:top w:w="0" w:type="dxa"/>
            <w:left w:w="108" w:type="dxa"/>
            <w:bottom w:w="0" w:type="dxa"/>
            <w:right w:w="108" w:type="dxa"/>
          </w:tblCellMar>
        </w:tblPrEx>
        <w:trPr>
          <w:trHeight w:val="14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A15</w:t>
            </w:r>
            <w:r>
              <w:rPr>
                <w:rFonts w:hint="eastAsia" w:ascii="宋体" w:hAnsi="宋体" w:cs="宋体"/>
                <w:color w:val="000000"/>
                <w:kern w:val="0"/>
                <w:sz w:val="18"/>
                <w:szCs w:val="18"/>
              </w:rPr>
              <w:t>绩效指标明确性（</w:t>
            </w:r>
            <w:r>
              <w:rPr>
                <w:rFonts w:ascii="宋体" w:hAnsi="宋体" w:cs="宋体"/>
                <w:color w:val="000000"/>
                <w:kern w:val="0"/>
                <w:sz w:val="18"/>
                <w:szCs w:val="18"/>
              </w:rPr>
              <w:t>3</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3</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整体绩效目标所设定的绩效指标是否依据单位工作目标和工作任务进行细化、量化，绩效指标是否可衡量。</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①将部门整体的绩效目标细化分解为具体的工作任务计</w:t>
            </w:r>
            <w:r>
              <w:rPr>
                <w:rFonts w:ascii="宋体" w:hAnsi="宋体" w:cs="宋体"/>
                <w:color w:val="000000"/>
                <w:kern w:val="0"/>
                <w:sz w:val="18"/>
                <w:szCs w:val="18"/>
              </w:rPr>
              <w:t>1</w:t>
            </w:r>
            <w:r>
              <w:rPr>
                <w:rFonts w:hint="eastAsia" w:ascii="宋体" w:hAnsi="宋体" w:cs="宋体"/>
                <w:color w:val="000000"/>
                <w:kern w:val="0"/>
                <w:sz w:val="18"/>
                <w:szCs w:val="18"/>
              </w:rPr>
              <w:t>分；②通过清晰、可衡量的指标值予以体现计</w:t>
            </w:r>
            <w:r>
              <w:rPr>
                <w:rFonts w:ascii="宋体" w:hAnsi="宋体" w:cs="宋体"/>
                <w:color w:val="000000"/>
                <w:kern w:val="0"/>
                <w:sz w:val="18"/>
                <w:szCs w:val="18"/>
              </w:rPr>
              <w:t>0.5</w:t>
            </w:r>
            <w:r>
              <w:rPr>
                <w:rFonts w:hint="eastAsia" w:ascii="宋体" w:hAnsi="宋体" w:cs="宋体"/>
                <w:color w:val="000000"/>
                <w:kern w:val="0"/>
                <w:sz w:val="18"/>
                <w:szCs w:val="18"/>
              </w:rPr>
              <w:t>分。③与单位年度的任务数或计划数相对应计</w:t>
            </w:r>
            <w:r>
              <w:rPr>
                <w:rFonts w:ascii="宋体" w:hAnsi="宋体" w:cs="宋体"/>
                <w:color w:val="000000"/>
                <w:kern w:val="0"/>
                <w:sz w:val="18"/>
                <w:szCs w:val="18"/>
              </w:rPr>
              <w:t>0.5</w:t>
            </w:r>
            <w:r>
              <w:rPr>
                <w:rFonts w:hint="eastAsia" w:ascii="宋体" w:hAnsi="宋体" w:cs="宋体"/>
                <w:color w:val="000000"/>
                <w:kern w:val="0"/>
                <w:sz w:val="18"/>
                <w:szCs w:val="18"/>
              </w:rPr>
              <w:t>分；④与本年度单位预算资金相匹配计</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部门年度重点工作任务与工作计划。</w:t>
            </w:r>
          </w:p>
        </w:tc>
      </w:tr>
      <w:tr>
        <w:tblPrEx>
          <w:tblCellMar>
            <w:top w:w="0" w:type="dxa"/>
            <w:left w:w="108" w:type="dxa"/>
            <w:bottom w:w="0" w:type="dxa"/>
            <w:right w:w="108" w:type="dxa"/>
          </w:tblCellMar>
        </w:tblPrEx>
        <w:trPr>
          <w:trHeight w:val="108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A2</w:t>
            </w:r>
            <w:r>
              <w:rPr>
                <w:rFonts w:hint="eastAsia" w:ascii="宋体" w:hAnsi="宋体" w:cs="宋体"/>
                <w:color w:val="000000"/>
                <w:kern w:val="0"/>
                <w:sz w:val="18"/>
                <w:szCs w:val="18"/>
              </w:rPr>
              <w:t>单位职能（</w:t>
            </w:r>
            <w:r>
              <w:rPr>
                <w:rFonts w:ascii="宋体" w:hAnsi="宋体" w:cs="宋体"/>
                <w:color w:val="000000"/>
                <w:kern w:val="0"/>
                <w:sz w:val="18"/>
                <w:szCs w:val="18"/>
              </w:rPr>
              <w:t>10</w:t>
            </w:r>
            <w:r>
              <w:rPr>
                <w:rFonts w:hint="eastAsia" w:ascii="宋体" w:hAnsi="宋体" w:cs="宋体"/>
                <w:color w:val="000000"/>
                <w:kern w:val="0"/>
                <w:sz w:val="18"/>
                <w:szCs w:val="18"/>
              </w:rPr>
              <w:t>分）</w:t>
            </w: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A21</w:t>
            </w:r>
            <w:r>
              <w:rPr>
                <w:rFonts w:hint="eastAsia" w:ascii="宋体" w:hAnsi="宋体" w:cs="宋体"/>
                <w:color w:val="000000"/>
                <w:kern w:val="0"/>
                <w:sz w:val="18"/>
                <w:szCs w:val="18"/>
              </w:rPr>
              <w:t>部门职能的明确性与科学性（</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1</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考察部门职能界定是否明确科学，是否有相关文件。</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①职能明确、设定依据充分，得</w:t>
            </w:r>
            <w:r>
              <w:rPr>
                <w:rFonts w:ascii="宋体" w:hAnsi="宋体" w:cs="宋体"/>
                <w:color w:val="000000"/>
                <w:kern w:val="0"/>
                <w:sz w:val="18"/>
                <w:szCs w:val="18"/>
              </w:rPr>
              <w:t>1</w:t>
            </w:r>
            <w:r>
              <w:rPr>
                <w:rFonts w:hint="eastAsia" w:ascii="宋体" w:hAnsi="宋体" w:cs="宋体"/>
                <w:color w:val="000000"/>
                <w:kern w:val="0"/>
                <w:sz w:val="18"/>
                <w:szCs w:val="18"/>
              </w:rPr>
              <w:t>分；②有“三定”文件，但职能描述不明确，得</w:t>
            </w:r>
            <w:r>
              <w:rPr>
                <w:rFonts w:ascii="宋体" w:hAnsi="宋体" w:cs="宋体"/>
                <w:color w:val="000000"/>
                <w:kern w:val="0"/>
                <w:sz w:val="18"/>
                <w:szCs w:val="18"/>
              </w:rPr>
              <w:t>0.5</w:t>
            </w:r>
            <w:r>
              <w:rPr>
                <w:rFonts w:hint="eastAsia" w:ascii="宋体" w:hAnsi="宋体" w:cs="宋体"/>
                <w:color w:val="000000"/>
                <w:kern w:val="0"/>
                <w:sz w:val="18"/>
                <w:szCs w:val="18"/>
              </w:rPr>
              <w:t>分</w:t>
            </w:r>
            <w:r>
              <w:rPr>
                <w:rFonts w:ascii="宋体" w:hAnsi="宋体" w:cs="宋体"/>
                <w:color w:val="000000"/>
                <w:kern w:val="0"/>
                <w:sz w:val="18"/>
                <w:szCs w:val="18"/>
              </w:rPr>
              <w:t>;</w:t>
            </w:r>
            <w:r>
              <w:rPr>
                <w:rFonts w:hint="eastAsia" w:ascii="宋体" w:hAnsi="宋体" w:cs="宋体"/>
                <w:color w:val="000000"/>
                <w:kern w:val="0"/>
                <w:sz w:val="18"/>
                <w:szCs w:val="18"/>
              </w:rPr>
              <w:t>③没有职能设定的文件依据且职能不清，得</w:t>
            </w:r>
            <w:r>
              <w:rPr>
                <w:rFonts w:ascii="宋体" w:cs="宋体"/>
                <w:color w:val="000000"/>
                <w:kern w:val="0"/>
                <w:sz w:val="18"/>
                <w:szCs w:val="18"/>
              </w:rPr>
              <w:t>0</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部门职能描述、“三定”文件</w:t>
            </w:r>
          </w:p>
        </w:tc>
      </w:tr>
      <w:tr>
        <w:tblPrEx>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A22</w:t>
            </w:r>
            <w:r>
              <w:rPr>
                <w:rFonts w:hint="eastAsia" w:ascii="宋体" w:hAnsi="宋体" w:cs="宋体"/>
                <w:color w:val="000000"/>
                <w:kern w:val="0"/>
                <w:sz w:val="18"/>
                <w:szCs w:val="18"/>
              </w:rPr>
              <w:t>年度工作目标与部门职能的适应性（</w:t>
            </w:r>
            <w:r>
              <w:rPr>
                <w:rFonts w:ascii="宋体" w:hAnsi="宋体" w:cs="宋体"/>
                <w:color w:val="000000"/>
                <w:kern w:val="0"/>
                <w:sz w:val="18"/>
                <w:szCs w:val="18"/>
              </w:rPr>
              <w:t>4</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4</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部门所设定的具体目标是否与单位职能相适应。</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将部门详细工作目标与部门职能对应匹配，视匹配情况酌情得</w:t>
            </w:r>
            <w:r>
              <w:rPr>
                <w:rFonts w:ascii="宋体" w:hAnsi="宋体" w:cs="宋体"/>
                <w:color w:val="000000"/>
                <w:kern w:val="0"/>
                <w:sz w:val="18"/>
                <w:szCs w:val="18"/>
              </w:rPr>
              <w:t>0-4</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部门年度工作目标、单位职能</w:t>
            </w:r>
          </w:p>
        </w:tc>
      </w:tr>
      <w:tr>
        <w:tblPrEx>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A23</w:t>
            </w:r>
            <w:r>
              <w:rPr>
                <w:rFonts w:hint="eastAsia" w:ascii="宋体" w:hAnsi="宋体" w:cs="宋体"/>
                <w:color w:val="000000"/>
                <w:kern w:val="0"/>
                <w:sz w:val="18"/>
                <w:szCs w:val="18"/>
              </w:rPr>
              <w:t>年度具体工作与部门职能的匹配性（</w:t>
            </w:r>
            <w:r>
              <w:rPr>
                <w:rFonts w:ascii="宋体" w:hAnsi="宋体" w:cs="宋体"/>
                <w:color w:val="000000"/>
                <w:kern w:val="0"/>
                <w:sz w:val="18"/>
                <w:szCs w:val="18"/>
              </w:rPr>
              <w:t>4</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4</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部门年度各类具体工作是否与单位职能相匹配。</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将部门年度具体工作与部门职能对应匹配，视匹配情况酌情得</w:t>
            </w:r>
            <w:r>
              <w:rPr>
                <w:rFonts w:ascii="宋体" w:hAnsi="宋体" w:cs="宋体"/>
                <w:color w:val="000000"/>
                <w:kern w:val="0"/>
                <w:sz w:val="18"/>
                <w:szCs w:val="18"/>
              </w:rPr>
              <w:t>0-4</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部门年度各项具体工作，单位职能</w:t>
            </w:r>
          </w:p>
        </w:tc>
      </w:tr>
      <w:tr>
        <w:tblPrEx>
          <w:tblCellMar>
            <w:top w:w="0" w:type="dxa"/>
            <w:left w:w="108" w:type="dxa"/>
            <w:bottom w:w="0" w:type="dxa"/>
            <w:right w:w="108" w:type="dxa"/>
          </w:tblCellMar>
        </w:tblPrEx>
        <w:trPr>
          <w:trHeight w:val="11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single" w:color="auto" w:sz="4" w:space="0"/>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A24</w:t>
            </w:r>
            <w:r>
              <w:rPr>
                <w:rFonts w:hint="eastAsia" w:ascii="宋体" w:hAnsi="宋体" w:cs="宋体"/>
                <w:color w:val="000000"/>
                <w:kern w:val="0"/>
                <w:sz w:val="18"/>
                <w:szCs w:val="18"/>
              </w:rPr>
              <w:t>部门内设科室及下属单位职责的明确性（</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689" w:type="dxa"/>
            <w:tcBorders>
              <w:top w:val="single" w:color="auto" w:sz="4" w:space="0"/>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1</w:t>
            </w:r>
          </w:p>
        </w:tc>
        <w:tc>
          <w:tcPr>
            <w:tcW w:w="2050" w:type="dxa"/>
            <w:tcBorders>
              <w:top w:val="single" w:color="auto" w:sz="4" w:space="0"/>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部门内设科室及下属单位具体职责是否明确</w:t>
            </w:r>
          </w:p>
        </w:tc>
        <w:tc>
          <w:tcPr>
            <w:tcW w:w="2846" w:type="dxa"/>
            <w:tcBorders>
              <w:top w:val="single" w:color="auto" w:sz="4" w:space="0"/>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①有职责文件制度规定部门各科室及下属单位具体职责，得</w:t>
            </w:r>
            <w:r>
              <w:rPr>
                <w:rFonts w:ascii="宋体" w:hAnsi="宋体" w:cs="宋体"/>
                <w:color w:val="000000"/>
                <w:kern w:val="0"/>
                <w:sz w:val="18"/>
                <w:szCs w:val="18"/>
              </w:rPr>
              <w:t>0.5</w:t>
            </w:r>
            <w:r>
              <w:rPr>
                <w:rFonts w:hint="eastAsia" w:ascii="宋体" w:hAnsi="宋体" w:cs="宋体"/>
                <w:color w:val="000000"/>
                <w:kern w:val="0"/>
                <w:sz w:val="18"/>
                <w:szCs w:val="18"/>
              </w:rPr>
              <w:t>分；②具体职责明确，得</w:t>
            </w:r>
            <w:r>
              <w:rPr>
                <w:rFonts w:ascii="宋体" w:hAnsi="宋体" w:cs="宋体"/>
                <w:color w:val="000000"/>
                <w:kern w:val="0"/>
                <w:sz w:val="18"/>
                <w:szCs w:val="18"/>
              </w:rPr>
              <w:t>0.5</w:t>
            </w:r>
            <w:r>
              <w:rPr>
                <w:rFonts w:hint="eastAsia" w:ascii="宋体" w:hAnsi="宋体" w:cs="宋体"/>
                <w:color w:val="000000"/>
                <w:kern w:val="0"/>
                <w:sz w:val="18"/>
                <w:szCs w:val="18"/>
              </w:rPr>
              <w:t>分。</w:t>
            </w:r>
          </w:p>
        </w:tc>
        <w:tc>
          <w:tcPr>
            <w:tcW w:w="1361" w:type="dxa"/>
            <w:tcBorders>
              <w:top w:val="single" w:color="auto" w:sz="4" w:space="0"/>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内设科室及下属单位职责文件</w:t>
            </w:r>
          </w:p>
        </w:tc>
      </w:tr>
      <w:tr>
        <w:tblPrEx>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A3</w:t>
            </w:r>
            <w:r>
              <w:rPr>
                <w:rFonts w:hint="eastAsia" w:ascii="宋体" w:hAnsi="宋体" w:cs="宋体"/>
                <w:color w:val="000000"/>
                <w:kern w:val="0"/>
                <w:sz w:val="18"/>
                <w:szCs w:val="18"/>
              </w:rPr>
              <w:t>资源配置（</w:t>
            </w:r>
            <w:r>
              <w:rPr>
                <w:rFonts w:ascii="宋体" w:hAnsi="宋体" w:cs="宋体"/>
                <w:color w:val="000000"/>
                <w:kern w:val="0"/>
                <w:sz w:val="18"/>
                <w:szCs w:val="18"/>
              </w:rPr>
              <w:t>13</w:t>
            </w:r>
            <w:r>
              <w:rPr>
                <w:rFonts w:hint="eastAsia" w:ascii="宋体" w:hAnsi="宋体" w:cs="宋体"/>
                <w:color w:val="000000"/>
                <w:kern w:val="0"/>
                <w:sz w:val="18"/>
                <w:szCs w:val="18"/>
              </w:rPr>
              <w:t>分）</w:t>
            </w: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A31</w:t>
            </w:r>
            <w:r>
              <w:rPr>
                <w:rFonts w:hint="eastAsia" w:ascii="宋体" w:hAnsi="宋体" w:cs="宋体"/>
                <w:color w:val="000000"/>
                <w:kern w:val="0"/>
                <w:sz w:val="18"/>
                <w:szCs w:val="18"/>
              </w:rPr>
              <w:t>基本支出预算合理性（</w:t>
            </w:r>
            <w:r>
              <w:rPr>
                <w:rFonts w:ascii="宋体" w:hAnsi="宋体" w:cs="宋体"/>
                <w:color w:val="000000"/>
                <w:kern w:val="0"/>
                <w:sz w:val="18"/>
                <w:szCs w:val="18"/>
              </w:rPr>
              <w:t>2</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2</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用以反映部门年度基本支出预算是否根据人员经费、公用经费标准进行合理编制。</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①如实核定人员基数，得</w:t>
            </w:r>
            <w:r>
              <w:rPr>
                <w:rFonts w:ascii="宋体" w:hAnsi="宋体" w:cs="宋体"/>
                <w:color w:val="000000"/>
                <w:kern w:val="0"/>
                <w:sz w:val="18"/>
                <w:szCs w:val="18"/>
              </w:rPr>
              <w:t>1</w:t>
            </w:r>
            <w:r>
              <w:rPr>
                <w:rFonts w:hint="eastAsia" w:ascii="宋体" w:hAnsi="宋体" w:cs="宋体"/>
                <w:color w:val="000000"/>
                <w:kern w:val="0"/>
                <w:sz w:val="18"/>
                <w:szCs w:val="18"/>
              </w:rPr>
              <w:t>分；②根据基本预算标准进行编制，得</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部门基本支出预算标准、基本支出预算</w:t>
            </w:r>
          </w:p>
        </w:tc>
      </w:tr>
      <w:tr>
        <w:tblPrEx>
          <w:tblCellMar>
            <w:top w:w="0" w:type="dxa"/>
            <w:left w:w="108" w:type="dxa"/>
            <w:bottom w:w="0" w:type="dxa"/>
            <w:right w:w="108" w:type="dxa"/>
          </w:tblCellMar>
        </w:tblPrEx>
        <w:trPr>
          <w:trHeight w:val="135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A32</w:t>
            </w:r>
            <w:r>
              <w:rPr>
                <w:rFonts w:hint="eastAsia" w:ascii="宋体" w:hAnsi="宋体" w:cs="宋体"/>
                <w:color w:val="000000"/>
                <w:kern w:val="0"/>
                <w:sz w:val="18"/>
                <w:szCs w:val="18"/>
              </w:rPr>
              <w:t>项目支出预算合理性（</w:t>
            </w:r>
            <w:r>
              <w:rPr>
                <w:rFonts w:ascii="宋体" w:hAnsi="宋体" w:cs="宋体"/>
                <w:color w:val="000000"/>
                <w:kern w:val="0"/>
                <w:sz w:val="18"/>
                <w:szCs w:val="18"/>
              </w:rPr>
              <w:t>4</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4</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用以反映部门年度项目支出预算程序、预算依据、适用范围的合理性。</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①预算程序合理，得</w:t>
            </w:r>
            <w:r>
              <w:rPr>
                <w:rFonts w:ascii="宋体" w:hAnsi="宋体" w:cs="宋体"/>
                <w:color w:val="000000"/>
                <w:kern w:val="0"/>
                <w:sz w:val="18"/>
                <w:szCs w:val="18"/>
              </w:rPr>
              <w:t>1</w:t>
            </w:r>
            <w:r>
              <w:rPr>
                <w:rFonts w:hint="eastAsia" w:ascii="宋体" w:hAnsi="宋体" w:cs="宋体"/>
                <w:color w:val="000000"/>
                <w:kern w:val="0"/>
                <w:sz w:val="18"/>
                <w:szCs w:val="18"/>
              </w:rPr>
              <w:t>分；②预算依据充分，得</w:t>
            </w:r>
            <w:r>
              <w:rPr>
                <w:rFonts w:ascii="宋体" w:hAnsi="宋体" w:cs="宋体"/>
                <w:color w:val="000000"/>
                <w:kern w:val="0"/>
                <w:sz w:val="18"/>
                <w:szCs w:val="18"/>
              </w:rPr>
              <w:t>2</w:t>
            </w:r>
            <w:r>
              <w:rPr>
                <w:rFonts w:hint="eastAsia" w:ascii="宋体" w:hAnsi="宋体" w:cs="宋体"/>
                <w:color w:val="000000"/>
                <w:kern w:val="0"/>
                <w:sz w:val="18"/>
                <w:szCs w:val="18"/>
              </w:rPr>
              <w:t>分；③符合资金使用范围，得</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部门项目支出预算编制详细资料，访谈、文件梳理等、其他资料</w:t>
            </w:r>
          </w:p>
        </w:tc>
      </w:tr>
      <w:tr>
        <w:tblPrEx>
          <w:tblCellMar>
            <w:top w:w="0" w:type="dxa"/>
            <w:left w:w="108" w:type="dxa"/>
            <w:bottom w:w="0" w:type="dxa"/>
            <w:right w:w="108" w:type="dxa"/>
          </w:tblCellMar>
        </w:tblPrEx>
        <w:trPr>
          <w:trHeight w:val="67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A33</w:t>
            </w:r>
            <w:r>
              <w:rPr>
                <w:rFonts w:hint="eastAsia" w:ascii="宋体" w:hAnsi="宋体" w:cs="宋体"/>
                <w:color w:val="000000"/>
                <w:kern w:val="0"/>
                <w:sz w:val="18"/>
                <w:szCs w:val="18"/>
              </w:rPr>
              <w:t>人力资源投入合理性（</w:t>
            </w:r>
            <w:r>
              <w:rPr>
                <w:rFonts w:ascii="宋体" w:hAnsi="宋体" w:cs="宋体"/>
                <w:color w:val="000000"/>
                <w:kern w:val="0"/>
                <w:sz w:val="18"/>
                <w:szCs w:val="18"/>
              </w:rPr>
              <w:t>2</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2</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用以反映部门核定人员的编制与单位工作内容的合理性</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通过问卷及访谈调研</w:t>
            </w:r>
            <w:r>
              <w:rPr>
                <w:rFonts w:ascii="宋体" w:cs="宋体"/>
                <w:color w:val="000000"/>
                <w:kern w:val="0"/>
                <w:sz w:val="18"/>
                <w:szCs w:val="18"/>
              </w:rPr>
              <w:t>,</w:t>
            </w:r>
            <w:r>
              <w:rPr>
                <w:rFonts w:hint="eastAsia" w:ascii="宋体" w:hAnsi="宋体" w:cs="宋体"/>
                <w:color w:val="000000"/>
                <w:kern w:val="0"/>
                <w:sz w:val="18"/>
                <w:szCs w:val="18"/>
              </w:rPr>
              <w:t>分析人员的工作量和工作时长，视匹配情况得</w:t>
            </w:r>
            <w:r>
              <w:rPr>
                <w:rFonts w:ascii="宋体" w:hAnsi="宋体" w:cs="宋体"/>
                <w:color w:val="000000"/>
                <w:kern w:val="0"/>
                <w:sz w:val="18"/>
                <w:szCs w:val="18"/>
              </w:rPr>
              <w:t>0-2</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人员编制文件、调研</w:t>
            </w:r>
          </w:p>
        </w:tc>
      </w:tr>
      <w:tr>
        <w:tblPrEx>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A34</w:t>
            </w:r>
            <w:r>
              <w:rPr>
                <w:rFonts w:hint="eastAsia" w:ascii="宋体" w:hAnsi="宋体" w:cs="宋体"/>
                <w:color w:val="000000"/>
                <w:kern w:val="0"/>
                <w:sz w:val="18"/>
                <w:szCs w:val="18"/>
              </w:rPr>
              <w:t>办公资源投入合理性（</w:t>
            </w:r>
            <w:r>
              <w:rPr>
                <w:rFonts w:ascii="宋体" w:hAnsi="宋体" w:cs="宋体"/>
                <w:color w:val="000000"/>
                <w:kern w:val="0"/>
                <w:sz w:val="18"/>
                <w:szCs w:val="18"/>
              </w:rPr>
              <w:t>2</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2</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用以反映部门现有办公资源能否满足单位日常工作需求。</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①办公资源经费保障充足，得</w:t>
            </w:r>
            <w:r>
              <w:rPr>
                <w:rFonts w:ascii="宋体" w:hAnsi="宋体" w:cs="宋体"/>
                <w:color w:val="000000"/>
                <w:kern w:val="0"/>
                <w:sz w:val="18"/>
                <w:szCs w:val="18"/>
              </w:rPr>
              <w:t>1</w:t>
            </w:r>
            <w:r>
              <w:rPr>
                <w:rFonts w:hint="eastAsia" w:ascii="宋体" w:hAnsi="宋体" w:cs="宋体"/>
                <w:color w:val="000000"/>
                <w:kern w:val="0"/>
                <w:sz w:val="18"/>
                <w:szCs w:val="18"/>
              </w:rPr>
              <w:t>分；②办公资源配置合理，得</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部门办公资源配置情况、调研等资料</w:t>
            </w:r>
          </w:p>
        </w:tc>
      </w:tr>
      <w:tr>
        <w:tblPrEx>
          <w:tblCellMar>
            <w:top w:w="0" w:type="dxa"/>
            <w:left w:w="108" w:type="dxa"/>
            <w:bottom w:w="0" w:type="dxa"/>
            <w:right w:w="108" w:type="dxa"/>
          </w:tblCellMar>
        </w:tblPrEx>
        <w:trPr>
          <w:trHeight w:val="168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A35</w:t>
            </w:r>
            <w:r>
              <w:rPr>
                <w:rFonts w:hint="eastAsia" w:ascii="宋体" w:hAnsi="宋体" w:cs="宋体"/>
                <w:color w:val="000000"/>
                <w:kern w:val="0"/>
                <w:sz w:val="18"/>
                <w:szCs w:val="18"/>
              </w:rPr>
              <w:t>重点项目资源分配合理性（</w:t>
            </w:r>
            <w:r>
              <w:rPr>
                <w:rFonts w:ascii="宋体" w:hAnsi="宋体" w:cs="宋体"/>
                <w:color w:val="000000"/>
                <w:kern w:val="0"/>
                <w:sz w:val="18"/>
                <w:szCs w:val="18"/>
              </w:rPr>
              <w:t>3</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3</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部门本年度预算安排的重点项目支出与单位项目总支出的比率，用以反映和考核单位对履行主要职责或完成重点任务的保障程度。</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根据重点项目资源分配，对重点项目完成实施的保障程度进行评分。能够保障重点项目顺利实施、全面完成当年工作目标任务的得满分，每有一项重点项目因资金不足无法完成，按权重（</w:t>
            </w:r>
            <w:r>
              <w:rPr>
                <w:rFonts w:ascii="宋体" w:hAnsi="宋体" w:cs="宋体"/>
                <w:color w:val="000000"/>
                <w:kern w:val="0"/>
                <w:sz w:val="18"/>
                <w:szCs w:val="18"/>
              </w:rPr>
              <w:t>3</w:t>
            </w:r>
            <w:r>
              <w:rPr>
                <w:rFonts w:hint="eastAsia" w:ascii="宋体" w:hAnsi="宋体" w:cs="宋体"/>
                <w:color w:val="000000"/>
                <w:kern w:val="0"/>
                <w:sz w:val="18"/>
                <w:szCs w:val="18"/>
              </w:rPr>
              <w:t>分）的</w:t>
            </w:r>
            <w:r>
              <w:rPr>
                <w:rFonts w:ascii="宋体" w:hAnsi="宋体" w:cs="宋体"/>
                <w:color w:val="000000"/>
                <w:kern w:val="0"/>
                <w:sz w:val="18"/>
                <w:szCs w:val="18"/>
              </w:rPr>
              <w:t>1/3</w:t>
            </w:r>
            <w:r>
              <w:rPr>
                <w:rFonts w:hint="eastAsia" w:ascii="宋体" w:hAnsi="宋体" w:cs="宋体"/>
                <w:color w:val="000000"/>
                <w:kern w:val="0"/>
                <w:sz w:val="18"/>
                <w:szCs w:val="18"/>
              </w:rPr>
              <w:t>扣分，扣完为止。</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重点项目相关资料</w:t>
            </w:r>
          </w:p>
        </w:tc>
      </w:tr>
      <w:tr>
        <w:tblPrEx>
          <w:tblCellMar>
            <w:top w:w="0" w:type="dxa"/>
            <w:left w:w="108" w:type="dxa"/>
            <w:bottom w:w="0" w:type="dxa"/>
            <w:right w:w="108" w:type="dxa"/>
          </w:tblCellMar>
        </w:tblPrEx>
        <w:trPr>
          <w:trHeight w:val="1635" w:hRule="atLeast"/>
        </w:trPr>
        <w:tc>
          <w:tcPr>
            <w:tcW w:w="579" w:type="dxa"/>
            <w:vMerge w:val="restart"/>
            <w:tcBorders>
              <w:top w:val="nil"/>
              <w:left w:val="single" w:color="auto" w:sz="4" w:space="0"/>
              <w:bottom w:val="single" w:color="auto" w:sz="4" w:space="0"/>
              <w:right w:val="single" w:color="auto" w:sz="4" w:space="0"/>
            </w:tcBorders>
          </w:tcPr>
          <w:p>
            <w:pPr>
              <w:widowControl/>
              <w:rPr>
                <w:rFonts w:ascii="宋体" w:cs="Times New Roman"/>
                <w:b/>
                <w:bCs/>
                <w:color w:val="000000"/>
                <w:kern w:val="0"/>
                <w:sz w:val="18"/>
                <w:szCs w:val="18"/>
              </w:rPr>
            </w:pPr>
            <w:r>
              <w:rPr>
                <w:rFonts w:ascii="宋体" w:hAnsi="宋体" w:cs="宋体"/>
                <w:b/>
                <w:bCs/>
                <w:color w:val="000000"/>
                <w:kern w:val="0"/>
                <w:sz w:val="18"/>
                <w:szCs w:val="18"/>
              </w:rPr>
              <w:t>B</w:t>
            </w:r>
            <w:r>
              <w:rPr>
                <w:rFonts w:hint="eastAsia" w:ascii="宋体" w:hAnsi="宋体" w:cs="宋体"/>
                <w:color w:val="000000"/>
                <w:kern w:val="0"/>
                <w:sz w:val="18"/>
                <w:szCs w:val="18"/>
              </w:rPr>
              <w:t>部门</w:t>
            </w:r>
            <w:r>
              <w:rPr>
                <w:rFonts w:hint="eastAsia" w:ascii="宋体" w:hAnsi="宋体" w:cs="宋体"/>
                <w:b/>
                <w:bCs/>
                <w:color w:val="000000"/>
                <w:kern w:val="0"/>
                <w:sz w:val="18"/>
                <w:szCs w:val="18"/>
              </w:rPr>
              <w:t>管理（</w:t>
            </w:r>
            <w:r>
              <w:rPr>
                <w:rFonts w:ascii="宋体" w:hAnsi="宋体" w:cs="宋体"/>
                <w:b/>
                <w:bCs/>
                <w:color w:val="000000"/>
                <w:kern w:val="0"/>
                <w:sz w:val="18"/>
                <w:szCs w:val="18"/>
              </w:rPr>
              <w:t>20</w:t>
            </w:r>
            <w:r>
              <w:rPr>
                <w:rFonts w:hint="eastAsia" w:ascii="宋体" w:hAnsi="宋体" w:cs="宋体"/>
                <w:b/>
                <w:bCs/>
                <w:color w:val="000000"/>
                <w:kern w:val="0"/>
                <w:sz w:val="18"/>
                <w:szCs w:val="18"/>
              </w:rPr>
              <w:t>分）</w:t>
            </w:r>
          </w:p>
        </w:tc>
        <w:tc>
          <w:tcPr>
            <w:tcW w:w="981" w:type="dxa"/>
            <w:vMerge w:val="restart"/>
            <w:tcBorders>
              <w:top w:val="nil"/>
              <w:left w:val="single" w:color="auto" w:sz="4" w:space="0"/>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B1</w:t>
            </w:r>
            <w:r>
              <w:rPr>
                <w:rFonts w:hint="eastAsia" w:ascii="宋体" w:hAnsi="宋体" w:cs="宋体"/>
                <w:color w:val="000000"/>
                <w:kern w:val="0"/>
                <w:sz w:val="18"/>
                <w:szCs w:val="18"/>
              </w:rPr>
              <w:t>预算管理（</w:t>
            </w:r>
            <w:r>
              <w:rPr>
                <w:rFonts w:ascii="宋体" w:hAnsi="宋体" w:cs="宋体"/>
                <w:color w:val="000000"/>
                <w:kern w:val="0"/>
                <w:sz w:val="18"/>
                <w:szCs w:val="18"/>
              </w:rPr>
              <w:t>7</w:t>
            </w:r>
            <w:r>
              <w:rPr>
                <w:rFonts w:hint="eastAsia" w:ascii="宋体" w:hAnsi="宋体" w:cs="宋体"/>
                <w:color w:val="000000"/>
                <w:kern w:val="0"/>
                <w:sz w:val="18"/>
                <w:szCs w:val="18"/>
              </w:rPr>
              <w:t>分）</w:t>
            </w: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B11</w:t>
            </w:r>
            <w:r>
              <w:rPr>
                <w:rFonts w:hint="eastAsia" w:ascii="宋体" w:hAnsi="宋体" w:cs="宋体"/>
                <w:color w:val="000000"/>
                <w:kern w:val="0"/>
                <w:sz w:val="18"/>
                <w:szCs w:val="18"/>
              </w:rPr>
              <w:t>基本支出预算执行率（</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1</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部门基本支出本年度决算数与预算数的比率，用以反映和考核单位（单位）基本支出预算执行程度。</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预算执行率</w:t>
            </w:r>
            <w:r>
              <w:rPr>
                <w:rFonts w:ascii="宋体" w:hAnsi="宋体" w:cs="宋体"/>
                <w:color w:val="000000"/>
                <w:kern w:val="0"/>
                <w:sz w:val="18"/>
                <w:szCs w:val="18"/>
              </w:rPr>
              <w:t>=</w:t>
            </w:r>
            <w:r>
              <w:rPr>
                <w:rFonts w:hint="eastAsia" w:ascii="宋体" w:hAnsi="宋体" w:cs="宋体"/>
                <w:color w:val="000000"/>
                <w:kern w:val="0"/>
                <w:sz w:val="18"/>
                <w:szCs w:val="18"/>
              </w:rPr>
              <w:t>单位基本支出决算</w:t>
            </w:r>
            <w:r>
              <w:rPr>
                <w:rFonts w:ascii="宋体" w:hAnsi="宋体" w:cs="宋体"/>
                <w:color w:val="000000"/>
                <w:kern w:val="0"/>
                <w:sz w:val="18"/>
                <w:szCs w:val="18"/>
              </w:rPr>
              <w:t>/</w:t>
            </w:r>
            <w:r>
              <w:rPr>
                <w:rFonts w:hint="eastAsia" w:ascii="宋体" w:hAnsi="宋体" w:cs="宋体"/>
                <w:color w:val="000000"/>
                <w:kern w:val="0"/>
                <w:sz w:val="18"/>
                <w:szCs w:val="18"/>
              </w:rPr>
              <w:t>单位基本支出预算×</w:t>
            </w:r>
            <w:r>
              <w:rPr>
                <w:rFonts w:ascii="宋体" w:hAnsi="宋体" w:cs="宋体"/>
                <w:color w:val="000000"/>
                <w:kern w:val="0"/>
                <w:sz w:val="18"/>
                <w:szCs w:val="18"/>
              </w:rPr>
              <w:t>100%</w:t>
            </w:r>
            <w:r>
              <w:rPr>
                <w:rFonts w:hint="eastAsia" w:ascii="宋体" w:hAnsi="宋体" w:cs="宋体"/>
                <w:color w:val="000000"/>
                <w:kern w:val="0"/>
                <w:sz w:val="18"/>
                <w:szCs w:val="18"/>
              </w:rPr>
              <w:t>。决算数：部门单位本年度基本支出实际支出资金数。预算数：财政单位批复的本年度单位基本支出预算数以及当年批复的调整数。预算完成率≥</w:t>
            </w:r>
            <w:r>
              <w:rPr>
                <w:rFonts w:ascii="宋体" w:hAnsi="宋体" w:cs="宋体"/>
                <w:color w:val="000000"/>
                <w:kern w:val="0"/>
                <w:sz w:val="18"/>
                <w:szCs w:val="18"/>
              </w:rPr>
              <w:t>95%</w:t>
            </w:r>
            <w:r>
              <w:rPr>
                <w:rFonts w:hint="eastAsia" w:ascii="宋体" w:hAnsi="宋体" w:cs="宋体"/>
                <w:color w:val="000000"/>
                <w:kern w:val="0"/>
                <w:sz w:val="18"/>
                <w:szCs w:val="18"/>
              </w:rPr>
              <w:t>得满分，未达到的每低于</w:t>
            </w:r>
            <w:r>
              <w:rPr>
                <w:rFonts w:ascii="宋体" w:hAnsi="宋体" w:cs="宋体"/>
                <w:color w:val="000000"/>
                <w:kern w:val="0"/>
                <w:sz w:val="18"/>
                <w:szCs w:val="18"/>
              </w:rPr>
              <w:t>1%</w:t>
            </w:r>
            <w:r>
              <w:rPr>
                <w:rFonts w:hint="eastAsia" w:ascii="宋体" w:hAnsi="宋体" w:cs="宋体"/>
                <w:color w:val="000000"/>
                <w:kern w:val="0"/>
                <w:sz w:val="18"/>
                <w:szCs w:val="18"/>
              </w:rPr>
              <w:t>扣</w:t>
            </w:r>
            <w:r>
              <w:rPr>
                <w:rFonts w:ascii="宋体" w:hAnsi="宋体" w:cs="宋体"/>
                <w:color w:val="000000"/>
                <w:kern w:val="0"/>
                <w:sz w:val="18"/>
                <w:szCs w:val="18"/>
              </w:rPr>
              <w:t>0.1</w:t>
            </w:r>
            <w:r>
              <w:rPr>
                <w:rFonts w:hint="eastAsia" w:ascii="宋体" w:hAnsi="宋体" w:cs="宋体"/>
                <w:color w:val="000000"/>
                <w:kern w:val="0"/>
                <w:sz w:val="18"/>
                <w:szCs w:val="18"/>
              </w:rPr>
              <w:t>分，扣完为止。</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基本支出预算批复，预算调整批复、预算编制等其他资料</w:t>
            </w:r>
          </w:p>
        </w:tc>
      </w:tr>
      <w:tr>
        <w:tblPrEx>
          <w:tblCellMar>
            <w:top w:w="0" w:type="dxa"/>
            <w:left w:w="108" w:type="dxa"/>
            <w:bottom w:w="0" w:type="dxa"/>
            <w:right w:w="108" w:type="dxa"/>
          </w:tblCellMar>
        </w:tblPrEx>
        <w:trPr>
          <w:trHeight w:val="18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B12</w:t>
            </w:r>
            <w:r>
              <w:rPr>
                <w:rFonts w:hint="eastAsia" w:ascii="宋体" w:hAnsi="宋体" w:cs="宋体"/>
                <w:color w:val="000000"/>
                <w:kern w:val="0"/>
                <w:sz w:val="18"/>
                <w:szCs w:val="18"/>
              </w:rPr>
              <w:t>项目支出预算执行率（</w:t>
            </w:r>
            <w:r>
              <w:rPr>
                <w:rFonts w:ascii="宋体" w:hAnsi="宋体" w:cs="宋体"/>
                <w:color w:val="000000"/>
                <w:kern w:val="0"/>
                <w:sz w:val="18"/>
                <w:szCs w:val="18"/>
              </w:rPr>
              <w:t>4</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4</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部门项目支出本年度决算数与预算数的比率，用以反映和考核单位项目支出预算执行程度。</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预算执行率</w:t>
            </w:r>
            <w:r>
              <w:rPr>
                <w:rFonts w:ascii="宋体" w:hAnsi="宋体" w:cs="宋体"/>
                <w:color w:val="000000"/>
                <w:kern w:val="0"/>
                <w:sz w:val="18"/>
                <w:szCs w:val="18"/>
              </w:rPr>
              <w:t>=</w:t>
            </w:r>
            <w:r>
              <w:rPr>
                <w:rFonts w:hint="eastAsia" w:ascii="宋体" w:hAnsi="宋体" w:cs="宋体"/>
                <w:color w:val="000000"/>
                <w:kern w:val="0"/>
                <w:sz w:val="18"/>
                <w:szCs w:val="18"/>
              </w:rPr>
              <w:t>单位项目支出决算</w:t>
            </w:r>
            <w:r>
              <w:rPr>
                <w:rFonts w:ascii="宋体" w:hAnsi="宋体" w:cs="宋体"/>
                <w:color w:val="000000"/>
                <w:kern w:val="0"/>
                <w:sz w:val="18"/>
                <w:szCs w:val="18"/>
              </w:rPr>
              <w:t>/</w:t>
            </w:r>
            <w:r>
              <w:rPr>
                <w:rFonts w:hint="eastAsia" w:ascii="宋体" w:hAnsi="宋体" w:cs="宋体"/>
                <w:color w:val="000000"/>
                <w:kern w:val="0"/>
                <w:sz w:val="18"/>
                <w:szCs w:val="18"/>
              </w:rPr>
              <w:t>单位项目支出预算×</w:t>
            </w:r>
            <w:r>
              <w:rPr>
                <w:rFonts w:ascii="宋体" w:hAnsi="宋体" w:cs="宋体"/>
                <w:color w:val="000000"/>
                <w:kern w:val="0"/>
                <w:sz w:val="18"/>
                <w:szCs w:val="18"/>
              </w:rPr>
              <w:t>100%</w:t>
            </w:r>
            <w:r>
              <w:rPr>
                <w:rFonts w:hint="eastAsia" w:ascii="宋体" w:hAnsi="宋体" w:cs="宋体"/>
                <w:color w:val="000000"/>
                <w:kern w:val="0"/>
                <w:sz w:val="18"/>
                <w:szCs w:val="18"/>
              </w:rPr>
              <w:t>。决算数：单位（单位）本年度项目支出实际支出资金数。预算数：财政单位批复的本年度单位（单位）项目支出预算数以及当年批复的调整数。预算完成率≥</w:t>
            </w:r>
            <w:r>
              <w:rPr>
                <w:rFonts w:ascii="宋体" w:hAnsi="宋体" w:cs="宋体"/>
                <w:color w:val="000000"/>
                <w:kern w:val="0"/>
                <w:sz w:val="18"/>
                <w:szCs w:val="18"/>
              </w:rPr>
              <w:t>95%</w:t>
            </w:r>
            <w:r>
              <w:rPr>
                <w:rFonts w:hint="eastAsia" w:ascii="宋体" w:hAnsi="宋体" w:cs="宋体"/>
                <w:color w:val="000000"/>
                <w:kern w:val="0"/>
                <w:sz w:val="18"/>
                <w:szCs w:val="18"/>
              </w:rPr>
              <w:t>得满分，每低于</w:t>
            </w:r>
            <w:r>
              <w:rPr>
                <w:rFonts w:ascii="宋体" w:hAnsi="宋体" w:cs="宋体"/>
                <w:color w:val="000000"/>
                <w:kern w:val="0"/>
                <w:sz w:val="18"/>
                <w:szCs w:val="18"/>
              </w:rPr>
              <w:t>1%</w:t>
            </w:r>
            <w:r>
              <w:rPr>
                <w:rFonts w:hint="eastAsia" w:ascii="宋体" w:hAnsi="宋体" w:cs="宋体"/>
                <w:color w:val="000000"/>
                <w:kern w:val="0"/>
                <w:sz w:val="18"/>
                <w:szCs w:val="18"/>
              </w:rPr>
              <w:t>扣</w:t>
            </w:r>
            <w:r>
              <w:rPr>
                <w:rFonts w:ascii="宋体" w:hAnsi="宋体" w:cs="宋体"/>
                <w:color w:val="000000"/>
                <w:kern w:val="0"/>
                <w:sz w:val="18"/>
                <w:szCs w:val="18"/>
              </w:rPr>
              <w:t>0.2</w:t>
            </w:r>
            <w:r>
              <w:rPr>
                <w:rFonts w:hint="eastAsia" w:ascii="宋体" w:hAnsi="宋体" w:cs="宋体"/>
                <w:color w:val="000000"/>
                <w:kern w:val="0"/>
                <w:sz w:val="18"/>
                <w:szCs w:val="18"/>
              </w:rPr>
              <w:t>分，扣完为止。</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项目支出预算批复，预算调整批复、预算编制等其他资料</w:t>
            </w:r>
          </w:p>
        </w:tc>
      </w:tr>
      <w:tr>
        <w:tblPrEx>
          <w:tblCellMar>
            <w:top w:w="0" w:type="dxa"/>
            <w:left w:w="108" w:type="dxa"/>
            <w:bottom w:w="0" w:type="dxa"/>
            <w:right w:w="108" w:type="dxa"/>
          </w:tblCellMar>
        </w:tblPrEx>
        <w:trPr>
          <w:trHeight w:val="18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B13</w:t>
            </w:r>
            <w:r>
              <w:rPr>
                <w:rFonts w:hint="eastAsia" w:ascii="宋体" w:hAnsi="宋体" w:cs="宋体"/>
                <w:color w:val="000000"/>
                <w:kern w:val="0"/>
                <w:sz w:val="18"/>
                <w:szCs w:val="18"/>
              </w:rPr>
              <w:t>“三公经费”控制率（</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1</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单位本年度“三公”经费预算数与上年度“三公”经费预算数的变动比率，用以反映和考核单位（单位）对控制行政成本的努力程度。</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“三公”经费控制率</w:t>
            </w:r>
            <w:r>
              <w:rPr>
                <w:rFonts w:ascii="宋体" w:hAnsi="宋体" w:cs="宋体"/>
                <w:color w:val="000000"/>
                <w:kern w:val="0"/>
                <w:sz w:val="18"/>
                <w:szCs w:val="18"/>
              </w:rPr>
              <w:t>=</w:t>
            </w:r>
            <w:r>
              <w:rPr>
                <w:rFonts w:hint="eastAsia" w:ascii="宋体" w:hAnsi="宋体" w:cs="宋体"/>
                <w:color w:val="000000"/>
                <w:kern w:val="0"/>
                <w:sz w:val="18"/>
                <w:szCs w:val="18"/>
              </w:rPr>
              <w:t>（本年度“三公”经费总额</w:t>
            </w:r>
            <w:r>
              <w:rPr>
                <w:rFonts w:ascii="宋体" w:hAnsi="宋体" w:cs="宋体"/>
                <w:color w:val="000000"/>
                <w:kern w:val="0"/>
                <w:sz w:val="18"/>
                <w:szCs w:val="18"/>
              </w:rPr>
              <w:t>/</w:t>
            </w:r>
            <w:r>
              <w:rPr>
                <w:rFonts w:hint="eastAsia" w:ascii="宋体" w:hAnsi="宋体" w:cs="宋体"/>
                <w:color w:val="000000"/>
                <w:kern w:val="0"/>
                <w:sz w:val="18"/>
                <w:szCs w:val="18"/>
              </w:rPr>
              <w:t>上年度“三公”经费总额）×</w:t>
            </w:r>
            <w:r>
              <w:rPr>
                <w:rFonts w:ascii="宋体" w:hAnsi="宋体" w:cs="宋体"/>
                <w:color w:val="000000"/>
                <w:kern w:val="0"/>
                <w:sz w:val="18"/>
                <w:szCs w:val="18"/>
              </w:rPr>
              <w:t>100%</w:t>
            </w:r>
            <w:r>
              <w:rPr>
                <w:rFonts w:hint="eastAsia" w:ascii="宋体" w:hAnsi="宋体" w:cs="宋体"/>
                <w:color w:val="000000"/>
                <w:kern w:val="0"/>
                <w:sz w:val="18"/>
                <w:szCs w:val="18"/>
              </w:rPr>
              <w:t>。“三公”经费：年度预算安排的因公出国（境）费、公务用车购置及运行费和公务接待费。三公经费控制率≤</w:t>
            </w:r>
            <w:r>
              <w:rPr>
                <w:rFonts w:ascii="宋体" w:hAnsi="宋体" w:cs="宋体"/>
                <w:color w:val="000000"/>
                <w:kern w:val="0"/>
                <w:sz w:val="18"/>
                <w:szCs w:val="18"/>
              </w:rPr>
              <w:t>100%</w:t>
            </w:r>
            <w:r>
              <w:rPr>
                <w:rFonts w:hint="eastAsia" w:ascii="宋体" w:hAnsi="宋体" w:cs="宋体"/>
                <w:color w:val="000000"/>
                <w:kern w:val="0"/>
                <w:sz w:val="18"/>
                <w:szCs w:val="18"/>
              </w:rPr>
              <w:t>得满分，≥</w:t>
            </w:r>
            <w:r>
              <w:rPr>
                <w:rFonts w:ascii="宋体" w:hAnsi="宋体" w:cs="宋体"/>
                <w:color w:val="000000"/>
                <w:kern w:val="0"/>
                <w:sz w:val="18"/>
                <w:szCs w:val="18"/>
              </w:rPr>
              <w:t>120%</w:t>
            </w:r>
            <w:r>
              <w:rPr>
                <w:rFonts w:hint="eastAsia" w:ascii="宋体" w:hAnsi="宋体" w:cs="宋体"/>
                <w:color w:val="000000"/>
                <w:kern w:val="0"/>
                <w:sz w:val="18"/>
                <w:szCs w:val="18"/>
              </w:rPr>
              <w:t>得</w:t>
            </w:r>
            <w:r>
              <w:rPr>
                <w:rFonts w:ascii="宋体" w:cs="宋体"/>
                <w:color w:val="000000"/>
                <w:kern w:val="0"/>
                <w:sz w:val="18"/>
                <w:szCs w:val="18"/>
              </w:rPr>
              <w:t>0</w:t>
            </w:r>
            <w:r>
              <w:rPr>
                <w:rFonts w:hint="eastAsia" w:ascii="宋体" w:hAnsi="宋体" w:cs="宋体"/>
                <w:color w:val="000000"/>
                <w:kern w:val="0"/>
                <w:sz w:val="18"/>
                <w:szCs w:val="18"/>
              </w:rPr>
              <w:t>分，区间内按权重进行扣分。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三公经费使用情况</w:t>
            </w:r>
          </w:p>
        </w:tc>
      </w:tr>
      <w:tr>
        <w:tblPrEx>
          <w:tblCellMar>
            <w:top w:w="0" w:type="dxa"/>
            <w:left w:w="108" w:type="dxa"/>
            <w:bottom w:w="0" w:type="dxa"/>
            <w:right w:w="108" w:type="dxa"/>
          </w:tblCellMar>
        </w:tblPrEx>
        <w:trPr>
          <w:trHeight w:val="85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B14</w:t>
            </w:r>
            <w:r>
              <w:rPr>
                <w:rFonts w:hint="eastAsia" w:ascii="宋体" w:hAnsi="宋体" w:cs="宋体"/>
                <w:color w:val="000000"/>
                <w:kern w:val="0"/>
                <w:sz w:val="18"/>
                <w:szCs w:val="18"/>
              </w:rPr>
              <w:t>预算调整情况（</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1</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用以反映预算单位是否根据年中预算实际执行情况及时合规进行预算调整。</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①根据年中预算执行情况及时申请预算调整，得</w:t>
            </w:r>
            <w:r>
              <w:rPr>
                <w:rFonts w:ascii="宋体" w:hAnsi="宋体" w:cs="宋体"/>
                <w:color w:val="000000"/>
                <w:kern w:val="0"/>
                <w:sz w:val="18"/>
                <w:szCs w:val="18"/>
              </w:rPr>
              <w:t>0.5</w:t>
            </w:r>
            <w:r>
              <w:rPr>
                <w:rFonts w:hint="eastAsia" w:ascii="宋体" w:hAnsi="宋体" w:cs="宋体"/>
                <w:color w:val="000000"/>
                <w:kern w:val="0"/>
                <w:sz w:val="18"/>
                <w:szCs w:val="18"/>
              </w:rPr>
              <w:t>分；②按规定程序进行预算调整，得</w:t>
            </w:r>
            <w:r>
              <w:rPr>
                <w:rFonts w:ascii="宋体" w:hAnsi="宋体" w:cs="宋体"/>
                <w:color w:val="000000"/>
                <w:kern w:val="0"/>
                <w:sz w:val="18"/>
                <w:szCs w:val="18"/>
              </w:rPr>
              <w:t>0.5</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预算调整相关资料</w:t>
            </w:r>
          </w:p>
        </w:tc>
      </w:tr>
      <w:tr>
        <w:tblPrEx>
          <w:tblCellMar>
            <w:top w:w="0" w:type="dxa"/>
            <w:left w:w="108" w:type="dxa"/>
            <w:bottom w:w="0" w:type="dxa"/>
            <w:right w:w="108" w:type="dxa"/>
          </w:tblCellMar>
        </w:tblPrEx>
        <w:trPr>
          <w:trHeight w:val="168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B2</w:t>
            </w:r>
            <w:r>
              <w:rPr>
                <w:rFonts w:hint="eastAsia" w:ascii="宋体" w:hAnsi="宋体" w:cs="宋体"/>
                <w:color w:val="000000"/>
                <w:kern w:val="0"/>
                <w:sz w:val="18"/>
                <w:szCs w:val="18"/>
              </w:rPr>
              <w:t>财务管理（</w:t>
            </w:r>
            <w:r>
              <w:rPr>
                <w:rFonts w:ascii="宋体" w:hAnsi="宋体" w:cs="宋体"/>
                <w:color w:val="000000"/>
                <w:kern w:val="0"/>
                <w:sz w:val="18"/>
                <w:szCs w:val="18"/>
              </w:rPr>
              <w:t>6</w:t>
            </w:r>
            <w:r>
              <w:rPr>
                <w:rFonts w:hint="eastAsia" w:ascii="宋体" w:hAnsi="宋体" w:cs="宋体"/>
                <w:color w:val="000000"/>
                <w:kern w:val="0"/>
                <w:sz w:val="18"/>
                <w:szCs w:val="18"/>
              </w:rPr>
              <w:t>分）</w:t>
            </w: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B21</w:t>
            </w:r>
            <w:r>
              <w:rPr>
                <w:rFonts w:hint="eastAsia" w:ascii="宋体" w:hAnsi="宋体" w:cs="宋体"/>
                <w:color w:val="000000"/>
                <w:kern w:val="0"/>
                <w:sz w:val="18"/>
                <w:szCs w:val="18"/>
              </w:rPr>
              <w:t>财务管理制度健全性及执行情况（</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1</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部门为加强预算管理、规范财务行为而制定的财务管理制度是否健全完整。用以反映和考核单位预算管理制度对完成主要职责或促进事业发展的保障情况。</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①是否已制定预算资金管理办法、内部财务管理制度、会计核算制度等管理制度，</w:t>
            </w:r>
            <w:r>
              <w:rPr>
                <w:rFonts w:ascii="宋体" w:hAnsi="宋体" w:cs="宋体"/>
                <w:color w:val="000000"/>
                <w:kern w:val="0"/>
                <w:sz w:val="18"/>
                <w:szCs w:val="18"/>
              </w:rPr>
              <w:t>0.25</w:t>
            </w:r>
            <w:r>
              <w:rPr>
                <w:rFonts w:hint="eastAsia" w:ascii="宋体" w:hAnsi="宋体" w:cs="宋体"/>
                <w:color w:val="000000"/>
                <w:kern w:val="0"/>
                <w:sz w:val="18"/>
                <w:szCs w:val="18"/>
              </w:rPr>
              <w:t>分；②相关管理制度是否合法、合规、完整，</w:t>
            </w:r>
            <w:r>
              <w:rPr>
                <w:rFonts w:ascii="宋体" w:hAnsi="宋体" w:cs="宋体"/>
                <w:color w:val="000000"/>
                <w:kern w:val="0"/>
                <w:sz w:val="18"/>
                <w:szCs w:val="18"/>
              </w:rPr>
              <w:t>0.25</w:t>
            </w:r>
            <w:r>
              <w:rPr>
                <w:rFonts w:hint="eastAsia" w:ascii="宋体" w:hAnsi="宋体" w:cs="宋体"/>
                <w:color w:val="000000"/>
                <w:kern w:val="0"/>
                <w:sz w:val="18"/>
                <w:szCs w:val="18"/>
              </w:rPr>
              <w:t>分；③相关管理制度是否得到有效执行，</w:t>
            </w:r>
            <w:r>
              <w:rPr>
                <w:rFonts w:ascii="宋体" w:hAnsi="宋体" w:cs="宋体"/>
                <w:color w:val="000000"/>
                <w:kern w:val="0"/>
                <w:sz w:val="18"/>
                <w:szCs w:val="18"/>
              </w:rPr>
              <w:t>0.5</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财务管理相关制度及执行情况调研</w:t>
            </w:r>
          </w:p>
        </w:tc>
      </w:tr>
      <w:tr>
        <w:tblPrEx>
          <w:tblCellMar>
            <w:top w:w="0" w:type="dxa"/>
            <w:left w:w="108" w:type="dxa"/>
            <w:bottom w:w="0" w:type="dxa"/>
            <w:right w:w="108" w:type="dxa"/>
          </w:tblCellMar>
        </w:tblPrEx>
        <w:trPr>
          <w:trHeight w:val="220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B22</w:t>
            </w:r>
            <w:r>
              <w:rPr>
                <w:rFonts w:hint="eastAsia" w:ascii="宋体" w:hAnsi="宋体" w:cs="宋体"/>
                <w:color w:val="000000"/>
                <w:kern w:val="0"/>
                <w:sz w:val="18"/>
                <w:szCs w:val="18"/>
              </w:rPr>
              <w:t>资金使用合规性（</w:t>
            </w:r>
            <w:r>
              <w:rPr>
                <w:rFonts w:ascii="宋体" w:hAnsi="宋体" w:cs="宋体"/>
                <w:color w:val="000000"/>
                <w:kern w:val="0"/>
                <w:sz w:val="18"/>
                <w:szCs w:val="18"/>
              </w:rPr>
              <w:t>4</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4</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部门使用预算资金是否符合相关财务管理制度的规定，用以反映和考核单位预算资金的规范运行情况。</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①符合国家财经法规和财务管理制度规定以及有关专项资金管理办法的规定</w:t>
            </w:r>
            <w:r>
              <w:rPr>
                <w:rFonts w:ascii="宋体" w:hAnsi="宋体" w:cs="宋体"/>
                <w:color w:val="000000"/>
                <w:kern w:val="0"/>
                <w:sz w:val="18"/>
                <w:szCs w:val="18"/>
              </w:rPr>
              <w:t>,1</w:t>
            </w:r>
            <w:r>
              <w:rPr>
                <w:rFonts w:hint="eastAsia" w:ascii="宋体" w:hAnsi="宋体" w:cs="宋体"/>
                <w:color w:val="000000"/>
                <w:kern w:val="0"/>
                <w:sz w:val="18"/>
                <w:szCs w:val="18"/>
              </w:rPr>
              <w:t>分；②资金的拨付有完整的审批程序和手续，</w:t>
            </w:r>
            <w:r>
              <w:rPr>
                <w:rFonts w:ascii="宋体" w:hAnsi="宋体" w:cs="宋体"/>
                <w:color w:val="000000"/>
                <w:kern w:val="0"/>
                <w:sz w:val="18"/>
                <w:szCs w:val="18"/>
              </w:rPr>
              <w:t>1</w:t>
            </w:r>
            <w:r>
              <w:rPr>
                <w:rFonts w:hint="eastAsia" w:ascii="宋体" w:hAnsi="宋体" w:cs="宋体"/>
                <w:color w:val="000000"/>
                <w:kern w:val="0"/>
                <w:sz w:val="18"/>
                <w:szCs w:val="18"/>
              </w:rPr>
              <w:t>分；③项目的重大开支经过专题论证，</w:t>
            </w:r>
            <w:r>
              <w:rPr>
                <w:rFonts w:ascii="宋体" w:hAnsi="宋体" w:cs="宋体"/>
                <w:color w:val="000000"/>
                <w:kern w:val="0"/>
                <w:sz w:val="18"/>
                <w:szCs w:val="18"/>
              </w:rPr>
              <w:t>1</w:t>
            </w:r>
            <w:r>
              <w:rPr>
                <w:rFonts w:hint="eastAsia" w:ascii="宋体" w:hAnsi="宋体" w:cs="宋体"/>
                <w:color w:val="000000"/>
                <w:kern w:val="0"/>
                <w:sz w:val="18"/>
                <w:szCs w:val="18"/>
              </w:rPr>
              <w:t>分；④符合单位预算批复的用途，</w:t>
            </w:r>
            <w:r>
              <w:rPr>
                <w:rFonts w:ascii="宋体" w:hAnsi="宋体" w:cs="宋体"/>
                <w:color w:val="000000"/>
                <w:kern w:val="0"/>
                <w:sz w:val="18"/>
                <w:szCs w:val="18"/>
              </w:rPr>
              <w:t>1</w:t>
            </w:r>
            <w:r>
              <w:rPr>
                <w:rFonts w:hint="eastAsia" w:ascii="宋体" w:hAnsi="宋体" w:cs="宋体"/>
                <w:color w:val="000000"/>
                <w:kern w:val="0"/>
                <w:sz w:val="18"/>
                <w:szCs w:val="18"/>
              </w:rPr>
              <w:t>分；⑤是否存在截留、挤占、挪用、虚列支出等情况，一旦存在该指标不得分。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资金支出相关凭证、流程梳理等</w:t>
            </w:r>
          </w:p>
        </w:tc>
      </w:tr>
      <w:tr>
        <w:tblPrEx>
          <w:tblCellMar>
            <w:top w:w="0" w:type="dxa"/>
            <w:left w:w="108" w:type="dxa"/>
            <w:bottom w:w="0" w:type="dxa"/>
            <w:right w:w="108" w:type="dxa"/>
          </w:tblCellMar>
        </w:tblPrEx>
        <w:trPr>
          <w:trHeight w:val="11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B23</w:t>
            </w:r>
            <w:r>
              <w:rPr>
                <w:rFonts w:hint="eastAsia" w:ascii="宋体" w:hAnsi="宋体" w:cs="宋体"/>
                <w:color w:val="000000"/>
                <w:kern w:val="0"/>
                <w:sz w:val="18"/>
                <w:szCs w:val="18"/>
              </w:rPr>
              <w:t>财务监控的有效性（</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1</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用以反映部门财务监控监督工作的有效性，包括监控、监督措施的制定及执行等方面。</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①制定明确的财务监控监督措施，得</w:t>
            </w:r>
            <w:r>
              <w:rPr>
                <w:rFonts w:ascii="宋体" w:hAnsi="宋体" w:cs="宋体"/>
                <w:color w:val="000000"/>
                <w:kern w:val="0"/>
                <w:sz w:val="18"/>
                <w:szCs w:val="18"/>
              </w:rPr>
              <w:t>0.5</w:t>
            </w:r>
            <w:r>
              <w:rPr>
                <w:rFonts w:hint="eastAsia" w:ascii="宋体" w:hAnsi="宋体" w:cs="宋体"/>
                <w:color w:val="000000"/>
                <w:kern w:val="0"/>
                <w:sz w:val="18"/>
                <w:szCs w:val="18"/>
              </w:rPr>
              <w:t>分；②监控、监督措施执行有效，得</w:t>
            </w:r>
            <w:r>
              <w:rPr>
                <w:rFonts w:ascii="宋体" w:hAnsi="宋体" w:cs="宋体"/>
                <w:color w:val="000000"/>
                <w:kern w:val="0"/>
                <w:sz w:val="18"/>
                <w:szCs w:val="18"/>
              </w:rPr>
              <w:t>0.5</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财务监控监督相关办法及条款，实际执行情况资料</w:t>
            </w:r>
          </w:p>
        </w:tc>
      </w:tr>
      <w:tr>
        <w:tblPrEx>
          <w:tblCellMar>
            <w:top w:w="0" w:type="dxa"/>
            <w:left w:w="108" w:type="dxa"/>
            <w:bottom w:w="0" w:type="dxa"/>
            <w:right w:w="108" w:type="dxa"/>
          </w:tblCellMar>
        </w:tblPrEx>
        <w:trPr>
          <w:trHeight w:val="157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B3</w:t>
            </w:r>
            <w:r>
              <w:rPr>
                <w:rFonts w:hint="eastAsia" w:ascii="宋体" w:hAnsi="宋体" w:cs="宋体"/>
                <w:color w:val="000000"/>
                <w:kern w:val="0"/>
                <w:sz w:val="18"/>
                <w:szCs w:val="18"/>
              </w:rPr>
              <w:t>人力资源管理（</w:t>
            </w:r>
            <w:r>
              <w:rPr>
                <w:rFonts w:ascii="宋体" w:hAnsi="宋体" w:cs="宋体"/>
                <w:color w:val="000000"/>
                <w:kern w:val="0"/>
                <w:sz w:val="18"/>
                <w:szCs w:val="18"/>
              </w:rPr>
              <w:t>2</w:t>
            </w:r>
            <w:r>
              <w:rPr>
                <w:rFonts w:hint="eastAsia" w:ascii="宋体" w:hAnsi="宋体" w:cs="宋体"/>
                <w:color w:val="000000"/>
                <w:kern w:val="0"/>
                <w:sz w:val="18"/>
                <w:szCs w:val="18"/>
              </w:rPr>
              <w:t>分）</w:t>
            </w: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B31</w:t>
            </w:r>
            <w:r>
              <w:rPr>
                <w:rFonts w:hint="eastAsia" w:ascii="宋体" w:hAnsi="宋体" w:cs="宋体"/>
                <w:color w:val="000000"/>
                <w:kern w:val="0"/>
                <w:sz w:val="18"/>
                <w:szCs w:val="18"/>
              </w:rPr>
              <w:t>在职人员控制率（</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1</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部门本年度实际在职人员数与编制数的比率，用以反映和考核单位对人员成本的控制程度。</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在职人员控制率</w:t>
            </w:r>
            <w:r>
              <w:rPr>
                <w:rFonts w:ascii="宋体" w:hAnsi="宋体" w:cs="宋体"/>
                <w:color w:val="000000"/>
                <w:kern w:val="0"/>
                <w:sz w:val="18"/>
                <w:szCs w:val="18"/>
              </w:rPr>
              <w:t>=</w:t>
            </w:r>
            <w:r>
              <w:rPr>
                <w:rFonts w:hint="eastAsia" w:ascii="宋体" w:hAnsi="宋体" w:cs="宋体"/>
                <w:color w:val="000000"/>
                <w:kern w:val="0"/>
                <w:sz w:val="18"/>
                <w:szCs w:val="18"/>
              </w:rPr>
              <w:t>（在职人员数</w:t>
            </w:r>
            <w:r>
              <w:rPr>
                <w:rFonts w:ascii="宋体" w:hAnsi="宋体" w:cs="宋体"/>
                <w:color w:val="000000"/>
                <w:kern w:val="0"/>
                <w:sz w:val="18"/>
                <w:szCs w:val="18"/>
              </w:rPr>
              <w:t>/</w:t>
            </w:r>
            <w:r>
              <w:rPr>
                <w:rFonts w:hint="eastAsia" w:ascii="宋体" w:hAnsi="宋体" w:cs="宋体"/>
                <w:color w:val="000000"/>
                <w:kern w:val="0"/>
                <w:sz w:val="18"/>
                <w:szCs w:val="18"/>
              </w:rPr>
              <w:t>编制数）×</w:t>
            </w:r>
            <w:r>
              <w:rPr>
                <w:rFonts w:ascii="宋体" w:hAnsi="宋体" w:cs="宋体"/>
                <w:color w:val="000000"/>
                <w:kern w:val="0"/>
                <w:sz w:val="18"/>
                <w:szCs w:val="18"/>
              </w:rPr>
              <w:t>100%</w:t>
            </w:r>
            <w:r>
              <w:rPr>
                <w:rFonts w:hint="eastAsia" w:ascii="宋体" w:hAnsi="宋体" w:cs="宋体"/>
                <w:color w:val="000000"/>
                <w:kern w:val="0"/>
                <w:sz w:val="18"/>
                <w:szCs w:val="18"/>
              </w:rPr>
              <w:t>。在职人员数：单位（单位）实际在职人数，以财政单位确定的单位决算编制口径为准。编制数：机构编制单位核定批复的单位人员编制数。在职人员控制率≤</w:t>
            </w:r>
            <w:r>
              <w:rPr>
                <w:rFonts w:ascii="宋体" w:hAnsi="宋体" w:cs="宋体"/>
                <w:color w:val="000000"/>
                <w:kern w:val="0"/>
                <w:sz w:val="18"/>
                <w:szCs w:val="18"/>
              </w:rPr>
              <w:t>100%</w:t>
            </w:r>
            <w:r>
              <w:rPr>
                <w:rFonts w:hint="eastAsia" w:ascii="宋体" w:hAnsi="宋体" w:cs="宋体"/>
                <w:color w:val="000000"/>
                <w:kern w:val="0"/>
                <w:sz w:val="18"/>
                <w:szCs w:val="18"/>
              </w:rPr>
              <w:t>得满分，有超出不得分。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部门编制数、在职人数、年内变化情况</w:t>
            </w:r>
          </w:p>
        </w:tc>
      </w:tr>
      <w:tr>
        <w:tblPrEx>
          <w:tblCellMar>
            <w:top w:w="0" w:type="dxa"/>
            <w:left w:w="108" w:type="dxa"/>
            <w:bottom w:w="0" w:type="dxa"/>
            <w:right w:w="108" w:type="dxa"/>
          </w:tblCellMar>
        </w:tblPrEx>
        <w:trPr>
          <w:trHeight w:val="124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B32</w:t>
            </w:r>
            <w:r>
              <w:rPr>
                <w:rFonts w:hint="eastAsia" w:ascii="宋体" w:hAnsi="宋体" w:cs="宋体"/>
                <w:color w:val="000000"/>
                <w:kern w:val="0"/>
                <w:sz w:val="18"/>
                <w:szCs w:val="18"/>
              </w:rPr>
              <w:t>人力资源管理执行情况（</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1</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考察部门人力资源管理的健全性及执行规范性，包括在编、派遣、临时员工的管理，包括招聘、培训、工资发放及考核等。</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①有具体的人力资源管理制度文件或参照文件，得</w:t>
            </w:r>
            <w:r>
              <w:rPr>
                <w:rFonts w:ascii="宋体" w:hAnsi="宋体" w:cs="宋体"/>
                <w:color w:val="000000"/>
                <w:kern w:val="0"/>
                <w:sz w:val="18"/>
                <w:szCs w:val="18"/>
              </w:rPr>
              <w:t>0.5</w:t>
            </w:r>
            <w:r>
              <w:rPr>
                <w:rFonts w:hint="eastAsia" w:ascii="宋体" w:hAnsi="宋体" w:cs="宋体"/>
                <w:color w:val="000000"/>
                <w:kern w:val="0"/>
                <w:sz w:val="18"/>
                <w:szCs w:val="18"/>
              </w:rPr>
              <w:t>分；②严格按照相关文件对各类型人员进行管理和考核，得</w:t>
            </w:r>
            <w:r>
              <w:rPr>
                <w:rFonts w:ascii="宋体" w:hAnsi="宋体" w:cs="宋体"/>
                <w:color w:val="000000"/>
                <w:kern w:val="0"/>
                <w:sz w:val="18"/>
                <w:szCs w:val="18"/>
              </w:rPr>
              <w:t>0.5</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人力资源管理相关文件及实施情况</w:t>
            </w:r>
          </w:p>
        </w:tc>
      </w:tr>
      <w:tr>
        <w:tblPrEx>
          <w:tblCellMar>
            <w:top w:w="0" w:type="dxa"/>
            <w:left w:w="108" w:type="dxa"/>
            <w:bottom w:w="0" w:type="dxa"/>
            <w:right w:w="108" w:type="dxa"/>
          </w:tblCellMar>
        </w:tblPrEx>
        <w:trPr>
          <w:trHeight w:val="166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B4</w:t>
            </w:r>
            <w:r>
              <w:rPr>
                <w:rFonts w:hint="eastAsia" w:ascii="宋体" w:hAnsi="宋体" w:cs="宋体"/>
                <w:color w:val="000000"/>
                <w:kern w:val="0"/>
                <w:sz w:val="18"/>
                <w:szCs w:val="18"/>
              </w:rPr>
              <w:t>资产管理（</w:t>
            </w:r>
            <w:r>
              <w:rPr>
                <w:rFonts w:ascii="宋体" w:hAnsi="宋体" w:cs="宋体"/>
                <w:color w:val="000000"/>
                <w:kern w:val="0"/>
                <w:sz w:val="18"/>
                <w:szCs w:val="18"/>
              </w:rPr>
              <w:t>2</w:t>
            </w:r>
            <w:r>
              <w:rPr>
                <w:rFonts w:hint="eastAsia" w:ascii="宋体" w:hAnsi="宋体" w:cs="宋体"/>
                <w:color w:val="000000"/>
                <w:kern w:val="0"/>
                <w:sz w:val="18"/>
                <w:szCs w:val="18"/>
              </w:rPr>
              <w:t>分）</w:t>
            </w: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B41</w:t>
            </w:r>
            <w:r>
              <w:rPr>
                <w:rFonts w:hint="eastAsia" w:ascii="宋体" w:hAnsi="宋体" w:cs="宋体"/>
                <w:color w:val="000000"/>
                <w:kern w:val="0"/>
                <w:sz w:val="18"/>
                <w:szCs w:val="18"/>
              </w:rPr>
              <w:t>资产管理制度健全性及执行情况（</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1</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部门为加强资产管理、规范资产使用而制定的资产管理制度是否健全完整，用以反映和考核部门资产管理制度对完成主要职责或促进事业发展的保障情况。</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①是否已制定或具有固定资产管理办法、资产使用办法等管理制度，得</w:t>
            </w:r>
            <w:r>
              <w:rPr>
                <w:rFonts w:ascii="宋体" w:hAnsi="宋体" w:cs="宋体"/>
                <w:color w:val="000000"/>
                <w:kern w:val="0"/>
                <w:sz w:val="18"/>
                <w:szCs w:val="18"/>
              </w:rPr>
              <w:t>0.25</w:t>
            </w:r>
            <w:r>
              <w:rPr>
                <w:rFonts w:hint="eastAsia" w:ascii="宋体" w:hAnsi="宋体" w:cs="宋体"/>
                <w:color w:val="000000"/>
                <w:kern w:val="0"/>
                <w:sz w:val="18"/>
                <w:szCs w:val="18"/>
              </w:rPr>
              <w:t>分；②相关管理制度是否合法、合规、完整，得</w:t>
            </w:r>
            <w:r>
              <w:rPr>
                <w:rFonts w:ascii="宋体" w:hAnsi="宋体" w:cs="宋体"/>
                <w:color w:val="000000"/>
                <w:kern w:val="0"/>
                <w:sz w:val="18"/>
                <w:szCs w:val="18"/>
              </w:rPr>
              <w:t>0.25</w:t>
            </w:r>
            <w:r>
              <w:rPr>
                <w:rFonts w:hint="eastAsia" w:ascii="宋体" w:hAnsi="宋体" w:cs="宋体"/>
                <w:color w:val="000000"/>
                <w:kern w:val="0"/>
                <w:sz w:val="18"/>
                <w:szCs w:val="18"/>
              </w:rPr>
              <w:t>分；③相关管理制度是否得到有效执行，得</w:t>
            </w:r>
            <w:r>
              <w:rPr>
                <w:rFonts w:ascii="宋体" w:hAnsi="宋体" w:cs="宋体"/>
                <w:color w:val="000000"/>
                <w:kern w:val="0"/>
                <w:sz w:val="18"/>
                <w:szCs w:val="18"/>
              </w:rPr>
              <w:t>0.5</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资产管理相关办法</w:t>
            </w:r>
          </w:p>
        </w:tc>
      </w:tr>
      <w:tr>
        <w:tblPrEx>
          <w:tblCellMar>
            <w:top w:w="0" w:type="dxa"/>
            <w:left w:w="108" w:type="dxa"/>
            <w:bottom w:w="0" w:type="dxa"/>
            <w:right w:w="108" w:type="dxa"/>
          </w:tblCellMar>
        </w:tblPrEx>
        <w:trPr>
          <w:trHeight w:val="126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B42</w:t>
            </w:r>
            <w:r>
              <w:rPr>
                <w:rFonts w:hint="eastAsia" w:ascii="宋体" w:hAnsi="宋体" w:cs="宋体"/>
                <w:color w:val="000000"/>
                <w:kern w:val="0"/>
                <w:sz w:val="18"/>
                <w:szCs w:val="18"/>
              </w:rPr>
              <w:t>固定资产在用率（</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1</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部门实际在用固定资产总额与所有固定资产总额的比率，用以反映和考核部门固定资产使用效率及程度。</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固定资产在用率</w:t>
            </w:r>
            <w:r>
              <w:rPr>
                <w:rFonts w:ascii="宋体" w:hAnsi="宋体" w:cs="宋体"/>
                <w:color w:val="000000"/>
                <w:kern w:val="0"/>
                <w:sz w:val="18"/>
                <w:szCs w:val="18"/>
              </w:rPr>
              <w:t>=</w:t>
            </w:r>
            <w:r>
              <w:rPr>
                <w:rFonts w:hint="eastAsia" w:ascii="宋体" w:hAnsi="宋体" w:cs="宋体"/>
                <w:color w:val="000000"/>
                <w:kern w:val="0"/>
                <w:sz w:val="18"/>
                <w:szCs w:val="18"/>
              </w:rPr>
              <w:t>（实际在用固定资产总额</w:t>
            </w:r>
            <w:r>
              <w:rPr>
                <w:rFonts w:ascii="宋体" w:hAnsi="宋体" w:cs="宋体"/>
                <w:color w:val="000000"/>
                <w:kern w:val="0"/>
                <w:sz w:val="18"/>
                <w:szCs w:val="18"/>
              </w:rPr>
              <w:t>/</w:t>
            </w:r>
            <w:r>
              <w:rPr>
                <w:rFonts w:hint="eastAsia" w:ascii="宋体" w:hAnsi="宋体" w:cs="宋体"/>
                <w:color w:val="000000"/>
                <w:kern w:val="0"/>
                <w:sz w:val="18"/>
                <w:szCs w:val="18"/>
              </w:rPr>
              <w:t>所有固定资产总额）×</w:t>
            </w:r>
            <w:r>
              <w:rPr>
                <w:rFonts w:ascii="宋体" w:hAnsi="宋体" w:cs="宋体"/>
                <w:color w:val="000000"/>
                <w:kern w:val="0"/>
                <w:sz w:val="18"/>
                <w:szCs w:val="18"/>
              </w:rPr>
              <w:t>100%</w:t>
            </w:r>
            <w:r>
              <w:rPr>
                <w:rFonts w:hint="eastAsia" w:ascii="宋体" w:hAnsi="宋体" w:cs="宋体"/>
                <w:color w:val="000000"/>
                <w:kern w:val="0"/>
                <w:sz w:val="18"/>
                <w:szCs w:val="18"/>
              </w:rPr>
              <w:t>。固定资产在用率达到</w:t>
            </w:r>
            <w:r>
              <w:rPr>
                <w:rFonts w:ascii="宋体" w:hAnsi="宋体" w:cs="宋体"/>
                <w:color w:val="000000"/>
                <w:kern w:val="0"/>
                <w:sz w:val="18"/>
                <w:szCs w:val="18"/>
              </w:rPr>
              <w:t>95%</w:t>
            </w:r>
            <w:r>
              <w:rPr>
                <w:rFonts w:hint="eastAsia" w:ascii="宋体" w:hAnsi="宋体" w:cs="宋体"/>
                <w:color w:val="000000"/>
                <w:kern w:val="0"/>
                <w:sz w:val="18"/>
                <w:szCs w:val="18"/>
              </w:rPr>
              <w:t>以上得满分</w:t>
            </w:r>
            <w:r>
              <w:rPr>
                <w:rFonts w:ascii="宋体" w:cs="宋体"/>
                <w:color w:val="000000"/>
                <w:kern w:val="0"/>
                <w:sz w:val="18"/>
                <w:szCs w:val="18"/>
              </w:rPr>
              <w:t>.</w:t>
            </w:r>
            <w:r>
              <w:rPr>
                <w:rFonts w:hint="eastAsia" w:ascii="宋体" w:hAnsi="宋体" w:cs="宋体"/>
                <w:color w:val="000000"/>
                <w:kern w:val="0"/>
                <w:sz w:val="18"/>
                <w:szCs w:val="18"/>
              </w:rPr>
              <w:t>每降低</w:t>
            </w:r>
            <w:r>
              <w:rPr>
                <w:rFonts w:ascii="宋体" w:hAnsi="宋体" w:cs="宋体"/>
                <w:color w:val="000000"/>
                <w:kern w:val="0"/>
                <w:sz w:val="18"/>
                <w:szCs w:val="18"/>
              </w:rPr>
              <w:t>1%</w:t>
            </w:r>
            <w:r>
              <w:rPr>
                <w:rFonts w:hint="eastAsia" w:ascii="宋体" w:hAnsi="宋体" w:cs="宋体"/>
                <w:color w:val="000000"/>
                <w:kern w:val="0"/>
                <w:sz w:val="18"/>
                <w:szCs w:val="18"/>
              </w:rPr>
              <w:t>扣权重分（</w:t>
            </w:r>
            <w:r>
              <w:rPr>
                <w:rFonts w:ascii="宋体" w:hAnsi="宋体" w:cs="宋体"/>
                <w:color w:val="000000"/>
                <w:kern w:val="0"/>
                <w:sz w:val="18"/>
                <w:szCs w:val="18"/>
              </w:rPr>
              <w:t>1</w:t>
            </w:r>
            <w:r>
              <w:rPr>
                <w:rFonts w:hint="eastAsia" w:ascii="宋体" w:hAnsi="宋体" w:cs="宋体"/>
                <w:color w:val="000000"/>
                <w:kern w:val="0"/>
                <w:sz w:val="18"/>
                <w:szCs w:val="18"/>
              </w:rPr>
              <w:t>分）的</w:t>
            </w:r>
            <w:r>
              <w:rPr>
                <w:rFonts w:ascii="宋体" w:hAnsi="宋体" w:cs="宋体"/>
                <w:color w:val="000000"/>
                <w:kern w:val="0"/>
                <w:sz w:val="18"/>
                <w:szCs w:val="18"/>
              </w:rPr>
              <w:t>5%</w:t>
            </w:r>
            <w:r>
              <w:rPr>
                <w:rFonts w:hint="eastAsia" w:ascii="宋体" w:hAnsi="宋体" w:cs="宋体"/>
                <w:color w:val="000000"/>
                <w:kern w:val="0"/>
                <w:sz w:val="18"/>
                <w:szCs w:val="18"/>
              </w:rPr>
              <w:t>，扣完为止。</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固定资产卡片、固定资产使用信息等</w:t>
            </w:r>
          </w:p>
        </w:tc>
      </w:tr>
      <w:tr>
        <w:tblPrEx>
          <w:tblCellMar>
            <w:top w:w="0" w:type="dxa"/>
            <w:left w:w="108" w:type="dxa"/>
            <w:bottom w:w="0" w:type="dxa"/>
            <w:right w:w="108" w:type="dxa"/>
          </w:tblCellMar>
        </w:tblPrEx>
        <w:trPr>
          <w:trHeight w:val="142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B5</w:t>
            </w:r>
            <w:r>
              <w:rPr>
                <w:rFonts w:hint="eastAsia" w:ascii="宋体" w:hAnsi="宋体" w:cs="宋体"/>
                <w:color w:val="000000"/>
                <w:kern w:val="0"/>
                <w:sz w:val="18"/>
                <w:szCs w:val="18"/>
              </w:rPr>
              <w:t>业务管理（</w:t>
            </w:r>
            <w:r>
              <w:rPr>
                <w:rFonts w:ascii="宋体" w:hAnsi="宋体" w:cs="宋体"/>
                <w:color w:val="000000"/>
                <w:kern w:val="0"/>
                <w:sz w:val="18"/>
                <w:szCs w:val="18"/>
              </w:rPr>
              <w:t>3</w:t>
            </w:r>
            <w:r>
              <w:rPr>
                <w:rFonts w:hint="eastAsia" w:ascii="宋体" w:hAnsi="宋体" w:cs="宋体"/>
                <w:color w:val="000000"/>
                <w:kern w:val="0"/>
                <w:sz w:val="18"/>
                <w:szCs w:val="18"/>
              </w:rPr>
              <w:t>分）</w:t>
            </w: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B51</w:t>
            </w:r>
            <w:r>
              <w:rPr>
                <w:rFonts w:hint="eastAsia" w:ascii="宋体" w:hAnsi="宋体" w:cs="宋体"/>
                <w:color w:val="000000"/>
                <w:kern w:val="0"/>
                <w:sz w:val="18"/>
                <w:szCs w:val="18"/>
              </w:rPr>
              <w:t>业务管理制度健全性及执行情况（</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1</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部门为加强业务管理、规范业务执行而制定的管理制度是否健全完整，用以反映和考核单位业务管理制度对完成主要职责或促进事业发展的保障情况。</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①已制定或具有业务管理、项目管理等管理制度，得</w:t>
            </w:r>
            <w:r>
              <w:rPr>
                <w:rFonts w:ascii="宋体" w:hAnsi="宋体" w:cs="宋体"/>
                <w:color w:val="000000"/>
                <w:kern w:val="0"/>
                <w:sz w:val="18"/>
                <w:szCs w:val="18"/>
              </w:rPr>
              <w:t>0.25</w:t>
            </w:r>
            <w:r>
              <w:rPr>
                <w:rFonts w:hint="eastAsia" w:ascii="宋体" w:hAnsi="宋体" w:cs="宋体"/>
                <w:color w:val="000000"/>
                <w:kern w:val="0"/>
                <w:sz w:val="18"/>
                <w:szCs w:val="18"/>
              </w:rPr>
              <w:t>分；②相关管理制度合法、合规、完整，得</w:t>
            </w:r>
            <w:r>
              <w:rPr>
                <w:rFonts w:ascii="宋体" w:hAnsi="宋体" w:cs="宋体"/>
                <w:color w:val="000000"/>
                <w:kern w:val="0"/>
                <w:sz w:val="18"/>
                <w:szCs w:val="18"/>
              </w:rPr>
              <w:t>0.25</w:t>
            </w:r>
            <w:r>
              <w:rPr>
                <w:rFonts w:hint="eastAsia" w:ascii="宋体" w:hAnsi="宋体" w:cs="宋体"/>
                <w:color w:val="000000"/>
                <w:kern w:val="0"/>
                <w:sz w:val="18"/>
                <w:szCs w:val="18"/>
              </w:rPr>
              <w:t>分；③相关管理制度得到有效执行，得</w:t>
            </w:r>
            <w:r>
              <w:rPr>
                <w:rFonts w:ascii="宋体" w:hAnsi="宋体" w:cs="宋体"/>
                <w:color w:val="000000"/>
                <w:kern w:val="0"/>
                <w:sz w:val="18"/>
                <w:szCs w:val="18"/>
              </w:rPr>
              <w:t>0.5</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业务管理相关办法及执行情况资料</w:t>
            </w:r>
          </w:p>
        </w:tc>
      </w:tr>
      <w:tr>
        <w:tblPrEx>
          <w:tblCellMar>
            <w:top w:w="0" w:type="dxa"/>
            <w:left w:w="108" w:type="dxa"/>
            <w:bottom w:w="0" w:type="dxa"/>
            <w:right w:w="108" w:type="dxa"/>
          </w:tblCellMar>
        </w:tblPrEx>
        <w:trPr>
          <w:trHeight w:val="79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B52</w:t>
            </w:r>
            <w:r>
              <w:rPr>
                <w:rFonts w:hint="eastAsia" w:ascii="宋体" w:hAnsi="宋体" w:cs="宋体"/>
                <w:color w:val="000000"/>
                <w:kern w:val="0"/>
                <w:sz w:val="18"/>
                <w:szCs w:val="18"/>
              </w:rPr>
              <w:t>政府采购规范性（</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1</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考察政府采购项目的采购程序、采购方式的规范性</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①政府采购方式、程序都规范，得满分；②采购方式、程序中每有一点不规范，扣</w:t>
            </w:r>
            <w:r>
              <w:rPr>
                <w:rFonts w:ascii="宋体" w:hAnsi="宋体" w:cs="宋体"/>
                <w:color w:val="000000"/>
                <w:kern w:val="0"/>
                <w:sz w:val="18"/>
                <w:szCs w:val="18"/>
              </w:rPr>
              <w:t>0.5</w:t>
            </w:r>
            <w:r>
              <w:rPr>
                <w:rFonts w:hint="eastAsia" w:ascii="宋体" w:hAnsi="宋体" w:cs="宋体"/>
                <w:color w:val="000000"/>
                <w:kern w:val="0"/>
                <w:sz w:val="18"/>
                <w:szCs w:val="18"/>
              </w:rPr>
              <w:t>分，扣完为止。</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政府采购相关资料</w:t>
            </w:r>
          </w:p>
        </w:tc>
      </w:tr>
      <w:tr>
        <w:tblPrEx>
          <w:tblCellMar>
            <w:top w:w="0" w:type="dxa"/>
            <w:left w:w="108" w:type="dxa"/>
            <w:bottom w:w="0" w:type="dxa"/>
            <w:right w:w="108" w:type="dxa"/>
          </w:tblCellMar>
        </w:tblPrEx>
        <w:trPr>
          <w:trHeight w:val="79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B53</w:t>
            </w:r>
            <w:r>
              <w:rPr>
                <w:rFonts w:hint="eastAsia" w:ascii="宋体" w:hAnsi="宋体" w:cs="宋体"/>
                <w:color w:val="000000"/>
                <w:kern w:val="0"/>
                <w:sz w:val="18"/>
                <w:szCs w:val="18"/>
              </w:rPr>
              <w:t>监督考核情况（</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1</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考察部门是否对各所属单位或项目实施主体进行工作监督和定期考核。</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有定期指导记录、考核结果，得</w:t>
            </w:r>
            <w:r>
              <w:rPr>
                <w:rFonts w:ascii="宋体" w:hAnsi="宋体" w:cs="宋体"/>
                <w:color w:val="000000"/>
                <w:kern w:val="0"/>
                <w:sz w:val="18"/>
                <w:szCs w:val="18"/>
              </w:rPr>
              <w:t>1</w:t>
            </w:r>
            <w:r>
              <w:rPr>
                <w:rFonts w:hint="eastAsia" w:ascii="宋体" w:hAnsi="宋体" w:cs="宋体"/>
                <w:color w:val="000000"/>
                <w:kern w:val="0"/>
                <w:sz w:val="18"/>
                <w:szCs w:val="18"/>
              </w:rPr>
              <w:t>分，缺少项视情况酌情进行扣分。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监督考核记录等</w:t>
            </w:r>
          </w:p>
        </w:tc>
      </w:tr>
      <w:tr>
        <w:tblPrEx>
          <w:tblCellMar>
            <w:top w:w="0" w:type="dxa"/>
            <w:left w:w="108" w:type="dxa"/>
            <w:bottom w:w="0" w:type="dxa"/>
            <w:right w:w="108" w:type="dxa"/>
          </w:tblCellMar>
        </w:tblPrEx>
        <w:trPr>
          <w:trHeight w:val="1215" w:hRule="atLeast"/>
        </w:trPr>
        <w:tc>
          <w:tcPr>
            <w:tcW w:w="579" w:type="dxa"/>
            <w:vMerge w:val="restart"/>
            <w:tcBorders>
              <w:top w:val="nil"/>
              <w:left w:val="single" w:color="auto" w:sz="4" w:space="0"/>
              <w:bottom w:val="single" w:color="auto" w:sz="4" w:space="0"/>
              <w:right w:val="single" w:color="auto" w:sz="4" w:space="0"/>
            </w:tcBorders>
          </w:tcPr>
          <w:p>
            <w:pPr>
              <w:widowControl/>
              <w:rPr>
                <w:rFonts w:ascii="宋体" w:cs="Times New Roman"/>
                <w:b/>
                <w:bCs/>
                <w:color w:val="000000"/>
                <w:kern w:val="0"/>
                <w:sz w:val="18"/>
                <w:szCs w:val="18"/>
              </w:rPr>
            </w:pPr>
            <w:r>
              <w:rPr>
                <w:rFonts w:ascii="宋体" w:hAnsi="宋体" w:cs="宋体"/>
                <w:color w:val="000000"/>
                <w:kern w:val="0"/>
                <w:sz w:val="18"/>
                <w:szCs w:val="18"/>
              </w:rPr>
              <w:t>C</w:t>
            </w:r>
            <w:r>
              <w:rPr>
                <w:rFonts w:hint="eastAsia" w:ascii="宋体" w:hAnsi="宋体" w:cs="宋体"/>
                <w:b/>
                <w:bCs/>
                <w:color w:val="000000"/>
                <w:kern w:val="0"/>
                <w:sz w:val="18"/>
                <w:szCs w:val="18"/>
              </w:rPr>
              <w:t>部门绩效（</w:t>
            </w:r>
            <w:r>
              <w:rPr>
                <w:rFonts w:ascii="宋体" w:hAnsi="宋体" w:cs="宋体"/>
                <w:b/>
                <w:bCs/>
                <w:color w:val="000000"/>
                <w:kern w:val="0"/>
                <w:sz w:val="18"/>
                <w:szCs w:val="18"/>
              </w:rPr>
              <w:t>45</w:t>
            </w:r>
            <w:r>
              <w:rPr>
                <w:rFonts w:hint="eastAsia" w:ascii="宋体" w:hAnsi="宋体" w:cs="宋体"/>
                <w:b/>
                <w:bCs/>
                <w:color w:val="000000"/>
                <w:kern w:val="0"/>
                <w:sz w:val="18"/>
                <w:szCs w:val="18"/>
              </w:rPr>
              <w:t>分）</w:t>
            </w:r>
          </w:p>
        </w:tc>
        <w:tc>
          <w:tcPr>
            <w:tcW w:w="981" w:type="dxa"/>
            <w:vMerge w:val="restart"/>
            <w:tcBorders>
              <w:top w:val="nil"/>
              <w:left w:val="single" w:color="auto" w:sz="4" w:space="0"/>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C1</w:t>
            </w:r>
            <w:r>
              <w:rPr>
                <w:rFonts w:hint="eastAsia" w:ascii="宋体" w:hAnsi="宋体" w:cs="宋体"/>
                <w:color w:val="000000"/>
                <w:kern w:val="0"/>
                <w:sz w:val="18"/>
                <w:szCs w:val="18"/>
              </w:rPr>
              <w:t>部门产出（</w:t>
            </w:r>
            <w:r>
              <w:rPr>
                <w:rFonts w:ascii="宋体" w:hAnsi="宋体" w:cs="宋体"/>
                <w:color w:val="000000"/>
                <w:kern w:val="0"/>
                <w:sz w:val="18"/>
                <w:szCs w:val="18"/>
              </w:rPr>
              <w:t>18</w:t>
            </w:r>
            <w:r>
              <w:rPr>
                <w:rFonts w:hint="eastAsia" w:ascii="宋体" w:hAnsi="宋体" w:cs="宋体"/>
                <w:color w:val="000000"/>
                <w:kern w:val="0"/>
                <w:sz w:val="18"/>
                <w:szCs w:val="18"/>
              </w:rPr>
              <w:t>分）（说明：该指标主要反映部门（单位）重点工作任务的完成情况。三级指标）</w:t>
            </w: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C11</w:t>
            </w:r>
            <w:r>
              <w:rPr>
                <w:rFonts w:hint="eastAsia" w:ascii="宋体" w:hAnsi="宋体" w:cs="宋体"/>
                <w:color w:val="000000"/>
                <w:kern w:val="0"/>
                <w:sz w:val="18"/>
                <w:szCs w:val="18"/>
              </w:rPr>
              <w:t>重点项目完成情况（</w:t>
            </w:r>
            <w:r>
              <w:rPr>
                <w:rFonts w:ascii="宋体" w:hAnsi="宋体" w:cs="宋体"/>
                <w:color w:val="000000"/>
                <w:kern w:val="0"/>
                <w:sz w:val="18"/>
                <w:szCs w:val="18"/>
              </w:rPr>
              <w:t>6</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6</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考察</w:t>
            </w:r>
            <w:r>
              <w:rPr>
                <w:rFonts w:hint="eastAsia" w:ascii="宋体" w:hAnsi="宋体" w:cs="宋体"/>
                <w:color w:val="000000"/>
                <w:kern w:val="0"/>
                <w:sz w:val="18"/>
                <w:szCs w:val="18"/>
                <w:lang w:val="en-US" w:eastAsia="zh-CN"/>
              </w:rPr>
              <w:t>青少年</w:t>
            </w:r>
            <w:r>
              <w:rPr>
                <w:rFonts w:hint="eastAsia" w:ascii="宋体" w:hAnsi="宋体" w:cs="宋体"/>
                <w:color w:val="000000"/>
                <w:kern w:val="0"/>
                <w:sz w:val="18"/>
                <w:szCs w:val="18"/>
              </w:rPr>
              <w:t>维权、组织建设、宣传工作、</w:t>
            </w:r>
            <w:r>
              <w:rPr>
                <w:rFonts w:hint="eastAsia" w:ascii="宋体" w:hAnsi="宋体" w:cs="宋体"/>
                <w:color w:val="000000"/>
                <w:kern w:val="0"/>
                <w:sz w:val="18"/>
                <w:szCs w:val="18"/>
                <w:lang w:val="en-US" w:eastAsia="zh-CN"/>
              </w:rPr>
              <w:t>青少年</w:t>
            </w:r>
            <w:r>
              <w:rPr>
                <w:rFonts w:hint="eastAsia" w:ascii="宋体" w:hAnsi="宋体" w:cs="宋体"/>
                <w:color w:val="000000"/>
                <w:kern w:val="0"/>
                <w:sz w:val="18"/>
                <w:szCs w:val="18"/>
              </w:rPr>
              <w:t>发展等重点项目的完成情况。</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重点项目全部完成为满分，每一项不达标扣权重分（</w:t>
            </w:r>
            <w:r>
              <w:rPr>
                <w:rFonts w:ascii="宋体" w:hAnsi="宋体" w:cs="宋体"/>
                <w:color w:val="000000"/>
                <w:kern w:val="0"/>
                <w:sz w:val="18"/>
                <w:szCs w:val="18"/>
              </w:rPr>
              <w:t>4</w:t>
            </w:r>
            <w:r>
              <w:rPr>
                <w:rFonts w:hint="eastAsia" w:ascii="宋体" w:hAnsi="宋体" w:cs="宋体"/>
                <w:color w:val="000000"/>
                <w:kern w:val="0"/>
                <w:sz w:val="18"/>
                <w:szCs w:val="18"/>
              </w:rPr>
              <w:t>分）的</w:t>
            </w:r>
            <w:r>
              <w:rPr>
                <w:rFonts w:ascii="宋体" w:hAnsi="宋体" w:cs="宋体"/>
                <w:color w:val="000000"/>
                <w:kern w:val="0"/>
                <w:sz w:val="18"/>
                <w:szCs w:val="18"/>
              </w:rPr>
              <w:t>20%</w:t>
            </w:r>
            <w:r>
              <w:rPr>
                <w:rFonts w:hint="eastAsia" w:ascii="宋体" w:hAnsi="宋体" w:cs="宋体"/>
                <w:color w:val="000000"/>
                <w:kern w:val="0"/>
                <w:sz w:val="18"/>
                <w:szCs w:val="18"/>
              </w:rPr>
              <w:t>；三项不达标则为零分。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重点项目指标及完成情况</w:t>
            </w:r>
          </w:p>
        </w:tc>
      </w:tr>
      <w:tr>
        <w:tblPrEx>
          <w:tblCellMar>
            <w:top w:w="0" w:type="dxa"/>
            <w:left w:w="108" w:type="dxa"/>
            <w:bottom w:w="0" w:type="dxa"/>
            <w:right w:w="108" w:type="dxa"/>
          </w:tblCellMar>
        </w:tblPrEx>
        <w:trPr>
          <w:trHeight w:val="81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C16</w:t>
            </w:r>
            <w:r>
              <w:rPr>
                <w:rFonts w:hint="eastAsia" w:ascii="宋体" w:hAnsi="宋体" w:cs="宋体"/>
                <w:color w:val="000000"/>
                <w:kern w:val="0"/>
                <w:sz w:val="18"/>
                <w:szCs w:val="18"/>
              </w:rPr>
              <w:t>政府采购项目完成率（</w:t>
            </w:r>
            <w:r>
              <w:rPr>
                <w:rFonts w:ascii="宋体" w:hAnsi="宋体" w:cs="宋体"/>
                <w:color w:val="000000"/>
                <w:kern w:val="0"/>
                <w:sz w:val="18"/>
                <w:szCs w:val="18"/>
              </w:rPr>
              <w:t>6</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6</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考察部门政府采购项目的实施情况</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考察</w:t>
            </w:r>
            <w:r>
              <w:rPr>
                <w:rFonts w:hint="default" w:ascii="宋体" w:hAnsi="宋体" w:cs="宋体"/>
                <w:color w:val="000000"/>
                <w:kern w:val="0"/>
                <w:sz w:val="18"/>
                <w:szCs w:val="18"/>
                <w:lang w:val="en-US"/>
              </w:rPr>
              <w:t>共青团盘龙区委</w:t>
            </w:r>
            <w:r>
              <w:rPr>
                <w:rFonts w:hint="eastAsia" w:ascii="宋体" w:hAnsi="宋体" w:cs="宋体"/>
                <w:color w:val="000000"/>
                <w:kern w:val="0"/>
                <w:sz w:val="18"/>
                <w:szCs w:val="18"/>
              </w:rPr>
              <w:t>政府采购项目的实施情况，按照权重分</w:t>
            </w:r>
            <w:r>
              <w:rPr>
                <w:rFonts w:ascii="宋体" w:hAnsi="宋体" w:cs="宋体"/>
                <w:color w:val="000000"/>
                <w:kern w:val="0"/>
                <w:sz w:val="18"/>
                <w:szCs w:val="18"/>
              </w:rPr>
              <w:t>*</w:t>
            </w:r>
            <w:r>
              <w:rPr>
                <w:rFonts w:hint="eastAsia" w:ascii="宋体" w:hAnsi="宋体" w:cs="宋体"/>
                <w:color w:val="000000"/>
                <w:kern w:val="0"/>
                <w:sz w:val="18"/>
                <w:szCs w:val="18"/>
              </w:rPr>
              <w:t>完成率进行打分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政府采购项目实施情况资料</w:t>
            </w:r>
          </w:p>
        </w:tc>
      </w:tr>
      <w:tr>
        <w:tblPrEx>
          <w:tblCellMar>
            <w:top w:w="0" w:type="dxa"/>
            <w:left w:w="108" w:type="dxa"/>
            <w:bottom w:w="0" w:type="dxa"/>
            <w:right w:w="108" w:type="dxa"/>
          </w:tblCellMar>
        </w:tblPrEx>
        <w:trPr>
          <w:trHeight w:val="90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C17</w:t>
            </w:r>
            <w:r>
              <w:rPr>
                <w:rFonts w:hint="eastAsia" w:ascii="宋体" w:hAnsi="宋体" w:cs="宋体"/>
                <w:color w:val="000000"/>
                <w:kern w:val="0"/>
                <w:sz w:val="18"/>
                <w:szCs w:val="18"/>
              </w:rPr>
              <w:t>考核任务完成率（</w:t>
            </w:r>
            <w:r>
              <w:rPr>
                <w:rFonts w:ascii="宋体" w:hAnsi="宋体" w:cs="宋体"/>
                <w:color w:val="000000"/>
                <w:kern w:val="0"/>
                <w:sz w:val="18"/>
                <w:szCs w:val="18"/>
              </w:rPr>
              <w:t>6</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6</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达到考核标准的实际工作数与计划工作数的比率</w:t>
            </w:r>
            <w:r>
              <w:rPr>
                <w:rFonts w:ascii="宋体" w:cs="宋体"/>
                <w:color w:val="000000"/>
                <w:kern w:val="0"/>
                <w:sz w:val="18"/>
                <w:szCs w:val="18"/>
              </w:rPr>
              <w:t>,</w:t>
            </w:r>
            <w:r>
              <w:rPr>
                <w:rFonts w:hint="eastAsia" w:ascii="宋体" w:hAnsi="宋体" w:cs="宋体"/>
                <w:color w:val="000000"/>
                <w:kern w:val="0"/>
                <w:sz w:val="18"/>
                <w:szCs w:val="18"/>
              </w:rPr>
              <w:t>用以反映和考核单位履职质量目标的实现程度。</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考核完成率</w:t>
            </w:r>
            <w:r>
              <w:rPr>
                <w:rFonts w:ascii="宋体" w:hAnsi="宋体" w:cs="宋体"/>
                <w:color w:val="000000"/>
                <w:kern w:val="0"/>
                <w:sz w:val="18"/>
                <w:szCs w:val="18"/>
              </w:rPr>
              <w:t>=</w:t>
            </w:r>
            <w:r>
              <w:rPr>
                <w:rFonts w:hint="eastAsia" w:ascii="宋体" w:hAnsi="宋体" w:cs="宋体"/>
                <w:color w:val="000000"/>
                <w:kern w:val="0"/>
                <w:sz w:val="18"/>
                <w:szCs w:val="18"/>
              </w:rPr>
              <w:t>（考核达标实际工作数</w:t>
            </w:r>
            <w:r>
              <w:rPr>
                <w:rFonts w:ascii="宋体" w:hAnsi="宋体" w:cs="宋体"/>
                <w:color w:val="000000"/>
                <w:kern w:val="0"/>
                <w:sz w:val="18"/>
                <w:szCs w:val="18"/>
              </w:rPr>
              <w:t>/</w:t>
            </w:r>
            <w:r>
              <w:rPr>
                <w:rFonts w:hint="eastAsia" w:ascii="宋体" w:hAnsi="宋体" w:cs="宋体"/>
                <w:color w:val="000000"/>
                <w:kern w:val="0"/>
                <w:sz w:val="18"/>
                <w:szCs w:val="18"/>
              </w:rPr>
              <w:t>计划工作数）×</w:t>
            </w:r>
            <w:r>
              <w:rPr>
                <w:rFonts w:ascii="宋体" w:hAnsi="宋体" w:cs="宋体"/>
                <w:color w:val="000000"/>
                <w:kern w:val="0"/>
                <w:sz w:val="18"/>
                <w:szCs w:val="18"/>
              </w:rPr>
              <w:t>100%</w:t>
            </w:r>
            <w:r>
              <w:rPr>
                <w:rFonts w:hint="eastAsia" w:ascii="宋体" w:hAnsi="宋体" w:cs="宋体"/>
                <w:color w:val="000000"/>
                <w:kern w:val="0"/>
                <w:sz w:val="18"/>
                <w:szCs w:val="18"/>
              </w:rPr>
              <w:t>。考核达标实际工作数：一定时期（年度或规划期）内单位实际完成工作数中达到上级单位（或同级政府）目标要求（绩效标准值）的工作任务数量。考核完成率达到</w:t>
            </w:r>
            <w:r>
              <w:rPr>
                <w:rFonts w:ascii="宋体" w:hAnsi="宋体" w:cs="宋体"/>
                <w:color w:val="000000"/>
                <w:kern w:val="0"/>
                <w:sz w:val="18"/>
                <w:szCs w:val="18"/>
              </w:rPr>
              <w:t>100%</w:t>
            </w:r>
            <w:r>
              <w:rPr>
                <w:rFonts w:hint="eastAsia" w:ascii="宋体" w:hAnsi="宋体" w:cs="宋体"/>
                <w:color w:val="000000"/>
                <w:kern w:val="0"/>
                <w:sz w:val="18"/>
                <w:szCs w:val="18"/>
              </w:rPr>
              <w:t>得满分，未达到按权重进行扣分。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部门考核数与实际完成情况</w:t>
            </w:r>
          </w:p>
        </w:tc>
      </w:tr>
      <w:tr>
        <w:tblPrEx>
          <w:tblCellMar>
            <w:top w:w="0" w:type="dxa"/>
            <w:left w:w="108" w:type="dxa"/>
            <w:bottom w:w="0" w:type="dxa"/>
            <w:right w:w="108" w:type="dxa"/>
          </w:tblCellMar>
        </w:tblPrEx>
        <w:trPr>
          <w:trHeight w:val="145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restart"/>
            <w:tcBorders>
              <w:top w:val="nil"/>
              <w:left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C2</w:t>
            </w:r>
            <w:r>
              <w:rPr>
                <w:rFonts w:hint="eastAsia" w:ascii="宋体" w:hAnsi="宋体" w:cs="宋体"/>
                <w:color w:val="000000"/>
                <w:kern w:val="0"/>
                <w:sz w:val="18"/>
                <w:szCs w:val="18"/>
              </w:rPr>
              <w:t>部门效果（</w:t>
            </w:r>
            <w:r>
              <w:rPr>
                <w:rFonts w:ascii="宋体" w:hAnsi="宋体" w:cs="宋体"/>
                <w:color w:val="000000"/>
                <w:kern w:val="0"/>
                <w:sz w:val="18"/>
                <w:szCs w:val="18"/>
              </w:rPr>
              <w:t>21</w:t>
            </w:r>
            <w:r>
              <w:rPr>
                <w:rFonts w:hint="eastAsia" w:ascii="宋体" w:hAnsi="宋体" w:cs="宋体"/>
                <w:color w:val="000000"/>
                <w:kern w:val="0"/>
                <w:sz w:val="18"/>
                <w:szCs w:val="18"/>
              </w:rPr>
              <w:t>分）（说明：该指标反映部门（单位）的工作效果。各部门在绩效自评工作中要结合自身工作职能设置个性化的三级指标。）</w:t>
            </w: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C21</w:t>
            </w:r>
            <w:r>
              <w:rPr>
                <w:rFonts w:hint="eastAsia" w:ascii="宋体" w:hAnsi="宋体" w:cs="宋体"/>
                <w:color w:val="000000"/>
                <w:kern w:val="0"/>
                <w:sz w:val="18"/>
                <w:szCs w:val="18"/>
              </w:rPr>
              <w:t>投诉信访降低率（</w:t>
            </w:r>
            <w:r>
              <w:rPr>
                <w:rFonts w:ascii="宋体" w:hAnsi="宋体" w:cs="宋体"/>
                <w:color w:val="000000"/>
                <w:kern w:val="0"/>
                <w:sz w:val="18"/>
                <w:szCs w:val="18"/>
              </w:rPr>
              <w:t>7</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7</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考察部门通过各项工作使服务对象投诉信访降低情况</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①投诉信访降低率</w:t>
            </w:r>
            <w:r>
              <w:rPr>
                <w:rFonts w:ascii="宋体" w:hAnsi="宋体" w:cs="宋体"/>
                <w:color w:val="000000"/>
                <w:kern w:val="0"/>
                <w:sz w:val="18"/>
                <w:szCs w:val="18"/>
              </w:rPr>
              <w:t>=</w:t>
            </w:r>
            <w:r>
              <w:rPr>
                <w:rFonts w:hint="eastAsia" w:ascii="宋体" w:hAnsi="宋体" w:cs="宋体"/>
                <w:color w:val="000000"/>
                <w:kern w:val="0"/>
                <w:sz w:val="18"/>
                <w:szCs w:val="18"/>
              </w:rPr>
              <w:t>（本年度投诉信访数</w:t>
            </w:r>
            <w:r>
              <w:rPr>
                <w:rFonts w:ascii="宋体" w:cs="宋体"/>
                <w:color w:val="000000"/>
                <w:kern w:val="0"/>
                <w:sz w:val="18"/>
                <w:szCs w:val="18"/>
              </w:rPr>
              <w:t>-</w:t>
            </w:r>
            <w:r>
              <w:rPr>
                <w:rFonts w:hint="eastAsia" w:ascii="宋体" w:hAnsi="宋体" w:cs="宋体"/>
                <w:color w:val="000000"/>
                <w:kern w:val="0"/>
                <w:sz w:val="18"/>
                <w:szCs w:val="18"/>
              </w:rPr>
              <w:t>上年度投诉信访数）</w:t>
            </w:r>
            <w:r>
              <w:rPr>
                <w:rFonts w:ascii="宋体" w:hAnsi="宋体" w:cs="宋体"/>
                <w:color w:val="000000"/>
                <w:kern w:val="0"/>
                <w:sz w:val="18"/>
                <w:szCs w:val="18"/>
              </w:rPr>
              <w:t>/</w:t>
            </w:r>
            <w:r>
              <w:rPr>
                <w:rFonts w:hint="eastAsia" w:ascii="宋体" w:hAnsi="宋体" w:cs="宋体"/>
                <w:color w:val="000000"/>
                <w:kern w:val="0"/>
                <w:sz w:val="18"/>
                <w:szCs w:val="18"/>
              </w:rPr>
              <w:t>本年度投诉信访数×</w:t>
            </w:r>
            <w:r>
              <w:rPr>
                <w:rFonts w:ascii="宋体" w:hAnsi="宋体" w:cs="宋体"/>
                <w:color w:val="000000"/>
                <w:kern w:val="0"/>
                <w:sz w:val="18"/>
                <w:szCs w:val="18"/>
              </w:rPr>
              <w:t>100%</w:t>
            </w:r>
            <w:r>
              <w:rPr>
                <w:rFonts w:hint="eastAsia" w:ascii="宋体" w:hAnsi="宋体" w:cs="宋体"/>
                <w:color w:val="000000"/>
                <w:kern w:val="0"/>
                <w:sz w:val="18"/>
                <w:szCs w:val="18"/>
              </w:rPr>
              <w:t>，投诉信访降低率≤</w:t>
            </w:r>
            <w:r>
              <w:rPr>
                <w:rFonts w:ascii="宋体" w:cs="宋体"/>
                <w:color w:val="000000"/>
                <w:kern w:val="0"/>
                <w:sz w:val="18"/>
                <w:szCs w:val="18"/>
              </w:rPr>
              <w:t>0</w:t>
            </w:r>
            <w:r>
              <w:rPr>
                <w:rFonts w:hint="eastAsia" w:ascii="宋体" w:hAnsi="宋体" w:cs="宋体"/>
                <w:color w:val="000000"/>
                <w:kern w:val="0"/>
                <w:sz w:val="18"/>
                <w:szCs w:val="18"/>
              </w:rPr>
              <w:t>得满分，超过按权重进行扣分；②每有一项单位有责投诉扣</w:t>
            </w:r>
            <w:r>
              <w:rPr>
                <w:rFonts w:ascii="宋体" w:hAnsi="宋体" w:cs="宋体"/>
                <w:color w:val="000000"/>
                <w:kern w:val="0"/>
                <w:sz w:val="18"/>
                <w:szCs w:val="18"/>
              </w:rPr>
              <w:t>0.5</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服务对象投诉信访情况</w:t>
            </w:r>
          </w:p>
        </w:tc>
      </w:tr>
      <w:tr>
        <w:tblPrEx>
          <w:tblCellMar>
            <w:top w:w="0" w:type="dxa"/>
            <w:left w:w="108" w:type="dxa"/>
            <w:bottom w:w="0" w:type="dxa"/>
            <w:right w:w="108" w:type="dxa"/>
          </w:tblCellMar>
        </w:tblPrEx>
        <w:trPr>
          <w:trHeight w:val="154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left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C25</w:t>
            </w:r>
            <w:r>
              <w:rPr>
                <w:rFonts w:hint="eastAsia" w:ascii="宋体" w:hAnsi="宋体" w:cs="宋体"/>
                <w:color w:val="000000"/>
                <w:kern w:val="0"/>
                <w:sz w:val="18"/>
                <w:szCs w:val="18"/>
              </w:rPr>
              <w:t>政策宣传知晓率（</w:t>
            </w:r>
            <w:r>
              <w:rPr>
                <w:rFonts w:ascii="宋体" w:hAnsi="宋体" w:cs="宋体"/>
                <w:color w:val="000000"/>
                <w:kern w:val="0"/>
                <w:sz w:val="18"/>
                <w:szCs w:val="18"/>
              </w:rPr>
              <w:t>7</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7</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考察政策宣传的力度和范围</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考察服务对象对</w:t>
            </w:r>
            <w:r>
              <w:rPr>
                <w:rFonts w:hint="default" w:ascii="宋体" w:hAnsi="宋体" w:cs="宋体"/>
                <w:color w:val="000000"/>
                <w:kern w:val="0"/>
                <w:sz w:val="18"/>
                <w:szCs w:val="18"/>
                <w:lang w:val="en-US"/>
              </w:rPr>
              <w:t>共青团盘龙区委</w:t>
            </w:r>
            <w:r>
              <w:rPr>
                <w:rFonts w:hint="eastAsia" w:ascii="宋体" w:hAnsi="宋体" w:cs="宋体"/>
                <w:color w:val="000000"/>
                <w:kern w:val="0"/>
                <w:sz w:val="18"/>
                <w:szCs w:val="18"/>
              </w:rPr>
              <w:t>现提供服务及政策的知晓程度，知晓率≥</w:t>
            </w:r>
            <w:r>
              <w:rPr>
                <w:rFonts w:ascii="宋体" w:hAnsi="宋体" w:cs="宋体"/>
                <w:color w:val="000000"/>
                <w:kern w:val="0"/>
                <w:sz w:val="18"/>
                <w:szCs w:val="18"/>
              </w:rPr>
              <w:t>80%</w:t>
            </w:r>
            <w:r>
              <w:rPr>
                <w:rFonts w:hint="eastAsia" w:ascii="宋体" w:hAnsi="宋体" w:cs="宋体"/>
                <w:color w:val="000000"/>
                <w:kern w:val="0"/>
                <w:sz w:val="18"/>
                <w:szCs w:val="18"/>
              </w:rPr>
              <w:t>得满分；知晓率＜</w:t>
            </w:r>
            <w:r>
              <w:rPr>
                <w:rFonts w:ascii="宋体" w:hAnsi="宋体" w:cs="宋体"/>
                <w:color w:val="000000"/>
                <w:kern w:val="0"/>
                <w:sz w:val="18"/>
                <w:szCs w:val="18"/>
              </w:rPr>
              <w:t>80%</w:t>
            </w:r>
            <w:r>
              <w:rPr>
                <w:rFonts w:hint="eastAsia" w:ascii="宋体" w:hAnsi="宋体" w:cs="宋体"/>
                <w:color w:val="000000"/>
                <w:kern w:val="0"/>
                <w:sz w:val="18"/>
                <w:szCs w:val="18"/>
              </w:rPr>
              <w:t>；按权重</w:t>
            </w:r>
            <w:r>
              <w:rPr>
                <w:rFonts w:ascii="宋体" w:hAnsi="宋体" w:cs="宋体"/>
                <w:color w:val="000000"/>
                <w:kern w:val="0"/>
                <w:sz w:val="18"/>
                <w:szCs w:val="18"/>
              </w:rPr>
              <w:t>*</w:t>
            </w:r>
            <w:r>
              <w:rPr>
                <w:rFonts w:hint="eastAsia" w:ascii="宋体" w:hAnsi="宋体" w:cs="宋体"/>
                <w:color w:val="000000"/>
                <w:kern w:val="0"/>
                <w:sz w:val="18"/>
                <w:szCs w:val="18"/>
              </w:rPr>
              <w:t>知晓率评分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调研问卷</w:t>
            </w:r>
          </w:p>
        </w:tc>
      </w:tr>
      <w:tr>
        <w:tblPrEx>
          <w:tblCellMar>
            <w:top w:w="0" w:type="dxa"/>
            <w:left w:w="108" w:type="dxa"/>
            <w:bottom w:w="0" w:type="dxa"/>
            <w:right w:w="108" w:type="dxa"/>
          </w:tblCellMar>
        </w:tblPrEx>
        <w:trPr>
          <w:trHeight w:val="156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single" w:color="auto" w:sz="4" w:space="0"/>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C27</w:t>
            </w:r>
            <w:r>
              <w:rPr>
                <w:rFonts w:hint="eastAsia" w:ascii="宋体" w:hAnsi="宋体" w:cs="宋体"/>
                <w:color w:val="000000"/>
                <w:kern w:val="0"/>
                <w:sz w:val="18"/>
                <w:szCs w:val="18"/>
              </w:rPr>
              <w:t>服务对象满意率（</w:t>
            </w:r>
            <w:r>
              <w:rPr>
                <w:rFonts w:ascii="宋体" w:hAnsi="宋体" w:cs="宋体"/>
                <w:color w:val="000000"/>
                <w:kern w:val="0"/>
                <w:sz w:val="18"/>
                <w:szCs w:val="18"/>
              </w:rPr>
              <w:t>7</w:t>
            </w:r>
            <w:r>
              <w:rPr>
                <w:rFonts w:hint="eastAsia" w:ascii="宋体" w:hAnsi="宋体" w:cs="宋体"/>
                <w:color w:val="000000"/>
                <w:kern w:val="0"/>
                <w:sz w:val="18"/>
                <w:szCs w:val="18"/>
              </w:rPr>
              <w:t>分）</w:t>
            </w:r>
          </w:p>
        </w:tc>
        <w:tc>
          <w:tcPr>
            <w:tcW w:w="689" w:type="dxa"/>
            <w:tcBorders>
              <w:top w:val="single" w:color="auto" w:sz="4" w:space="0"/>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7</w:t>
            </w:r>
          </w:p>
        </w:tc>
        <w:tc>
          <w:tcPr>
            <w:tcW w:w="2050" w:type="dxa"/>
            <w:tcBorders>
              <w:top w:val="single" w:color="auto" w:sz="4" w:space="0"/>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考察单位对服务对象工作满意率情况</w:t>
            </w:r>
          </w:p>
        </w:tc>
        <w:tc>
          <w:tcPr>
            <w:tcW w:w="2846" w:type="dxa"/>
            <w:tcBorders>
              <w:top w:val="single" w:color="auto" w:sz="4" w:space="0"/>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根据满意度线性统计取加权平均分值。满意度达到</w:t>
            </w:r>
            <w:r>
              <w:rPr>
                <w:rFonts w:ascii="宋体" w:hAnsi="宋体" w:cs="宋体"/>
                <w:color w:val="000000"/>
                <w:kern w:val="0"/>
                <w:sz w:val="18"/>
                <w:szCs w:val="18"/>
              </w:rPr>
              <w:t>85%</w:t>
            </w:r>
            <w:r>
              <w:rPr>
                <w:rFonts w:hint="eastAsia" w:ascii="宋体" w:hAnsi="宋体" w:cs="宋体"/>
                <w:color w:val="000000"/>
                <w:kern w:val="0"/>
                <w:sz w:val="18"/>
                <w:szCs w:val="18"/>
              </w:rPr>
              <w:t>，得满分；满意度低于</w:t>
            </w:r>
            <w:r>
              <w:rPr>
                <w:rFonts w:ascii="宋体" w:hAnsi="宋体" w:cs="宋体"/>
                <w:color w:val="000000"/>
                <w:kern w:val="0"/>
                <w:sz w:val="18"/>
                <w:szCs w:val="18"/>
              </w:rPr>
              <w:t>85%</w:t>
            </w:r>
            <w:r>
              <w:rPr>
                <w:rFonts w:hint="eastAsia" w:ascii="宋体" w:hAnsi="宋体" w:cs="宋体"/>
                <w:color w:val="000000"/>
                <w:kern w:val="0"/>
                <w:sz w:val="18"/>
                <w:szCs w:val="18"/>
              </w:rPr>
              <w:t>，每降低</w:t>
            </w:r>
            <w:r>
              <w:rPr>
                <w:rFonts w:ascii="宋体" w:hAnsi="宋体" w:cs="宋体"/>
                <w:color w:val="000000"/>
                <w:kern w:val="0"/>
                <w:sz w:val="18"/>
                <w:szCs w:val="18"/>
              </w:rPr>
              <w:t>1%</w:t>
            </w:r>
            <w:r>
              <w:rPr>
                <w:rFonts w:hint="eastAsia" w:ascii="宋体" w:hAnsi="宋体" w:cs="宋体"/>
                <w:color w:val="000000"/>
                <w:kern w:val="0"/>
                <w:sz w:val="18"/>
                <w:szCs w:val="18"/>
              </w:rPr>
              <w:t>，扣权重分</w:t>
            </w:r>
            <w:r>
              <w:rPr>
                <w:rFonts w:ascii="宋体" w:hAnsi="宋体" w:cs="宋体"/>
                <w:color w:val="000000"/>
                <w:kern w:val="0"/>
                <w:sz w:val="18"/>
                <w:szCs w:val="18"/>
              </w:rPr>
              <w:t>5%</w:t>
            </w:r>
            <w:r>
              <w:rPr>
                <w:rFonts w:hint="eastAsia" w:ascii="宋体" w:hAnsi="宋体" w:cs="宋体"/>
                <w:color w:val="000000"/>
                <w:kern w:val="0"/>
                <w:sz w:val="18"/>
                <w:szCs w:val="18"/>
              </w:rPr>
              <w:t>。</w:t>
            </w:r>
          </w:p>
        </w:tc>
        <w:tc>
          <w:tcPr>
            <w:tcW w:w="1361" w:type="dxa"/>
            <w:tcBorders>
              <w:top w:val="single" w:color="auto" w:sz="4" w:space="0"/>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问卷调查、访谈</w:t>
            </w:r>
          </w:p>
        </w:tc>
      </w:tr>
      <w:tr>
        <w:tblPrEx>
          <w:tblCellMar>
            <w:top w:w="0" w:type="dxa"/>
            <w:left w:w="108" w:type="dxa"/>
            <w:bottom w:w="0" w:type="dxa"/>
            <w:right w:w="108" w:type="dxa"/>
          </w:tblCellMar>
        </w:tblPrEx>
        <w:trPr>
          <w:trHeight w:val="73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restart"/>
            <w:tcBorders>
              <w:top w:val="nil"/>
              <w:left w:val="single" w:color="auto" w:sz="4" w:space="0"/>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C3</w:t>
            </w:r>
            <w:r>
              <w:rPr>
                <w:rFonts w:hint="eastAsia" w:ascii="宋体" w:hAnsi="宋体" w:cs="宋体"/>
                <w:color w:val="000000"/>
                <w:kern w:val="0"/>
                <w:sz w:val="18"/>
                <w:szCs w:val="18"/>
              </w:rPr>
              <w:t>部门可持续发展（</w:t>
            </w:r>
            <w:r>
              <w:rPr>
                <w:rFonts w:ascii="宋体" w:hAnsi="宋体" w:cs="宋体"/>
                <w:color w:val="000000"/>
                <w:kern w:val="0"/>
                <w:sz w:val="18"/>
                <w:szCs w:val="18"/>
              </w:rPr>
              <w:t>6</w:t>
            </w:r>
            <w:r>
              <w:rPr>
                <w:rFonts w:hint="eastAsia" w:ascii="宋体" w:hAnsi="宋体" w:cs="宋体"/>
                <w:color w:val="000000"/>
                <w:kern w:val="0"/>
                <w:sz w:val="18"/>
                <w:szCs w:val="18"/>
              </w:rPr>
              <w:t>分）</w:t>
            </w: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C31</w:t>
            </w:r>
            <w:r>
              <w:rPr>
                <w:rFonts w:hint="eastAsia" w:ascii="宋体" w:hAnsi="宋体" w:cs="宋体"/>
                <w:color w:val="000000"/>
                <w:kern w:val="0"/>
                <w:sz w:val="18"/>
                <w:szCs w:val="18"/>
              </w:rPr>
              <w:t>队伍建设情况（</w:t>
            </w:r>
            <w:r>
              <w:rPr>
                <w:rFonts w:ascii="宋体" w:hAnsi="宋体" w:cs="宋体"/>
                <w:color w:val="000000"/>
                <w:kern w:val="0"/>
                <w:sz w:val="18"/>
                <w:szCs w:val="18"/>
              </w:rPr>
              <w:t>2</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2</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考察部门管理人员是否定期接受培训，熟悉政策、提高业务能力。</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单位全体人员每年至少接受一次业务或政策等培训，酌情得</w:t>
            </w:r>
            <w:r>
              <w:rPr>
                <w:rFonts w:ascii="宋体" w:hAnsi="宋体" w:cs="宋体"/>
                <w:color w:val="000000"/>
                <w:kern w:val="0"/>
                <w:sz w:val="18"/>
                <w:szCs w:val="18"/>
              </w:rPr>
              <w:t>0-2</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培训记录、培训效果调研</w:t>
            </w:r>
          </w:p>
        </w:tc>
      </w:tr>
      <w:tr>
        <w:tblPrEx>
          <w:tblCellMar>
            <w:top w:w="0" w:type="dxa"/>
            <w:left w:w="108" w:type="dxa"/>
            <w:bottom w:w="0" w:type="dxa"/>
            <w:right w:w="108" w:type="dxa"/>
          </w:tblCellMar>
        </w:tblPrEx>
        <w:trPr>
          <w:trHeight w:val="1680"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C32</w:t>
            </w:r>
            <w:r>
              <w:rPr>
                <w:rFonts w:hint="eastAsia" w:ascii="宋体" w:hAnsi="宋体" w:cs="宋体"/>
                <w:color w:val="000000"/>
                <w:kern w:val="0"/>
                <w:sz w:val="18"/>
                <w:szCs w:val="18"/>
              </w:rPr>
              <w:t>信息共享、公开情况（</w:t>
            </w:r>
            <w:r>
              <w:rPr>
                <w:rFonts w:ascii="宋体" w:hAnsi="宋体" w:cs="宋体"/>
                <w:color w:val="000000"/>
                <w:kern w:val="0"/>
                <w:sz w:val="18"/>
                <w:szCs w:val="18"/>
              </w:rPr>
              <w:t>2</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2</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部门是否按照政府信息公开有关规定公开相关预决算信息、绩效信息及其他信息，是否信息共享，用以反映和考核单位信息公开透明及信息共享情况。</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①按规定内容公开预决算信息、绩效信息及其他信息，得</w:t>
            </w:r>
            <w:r>
              <w:rPr>
                <w:rFonts w:ascii="宋体" w:hAnsi="宋体" w:cs="宋体"/>
                <w:color w:val="000000"/>
                <w:kern w:val="0"/>
                <w:sz w:val="18"/>
                <w:szCs w:val="18"/>
              </w:rPr>
              <w:t>0.5</w:t>
            </w:r>
            <w:r>
              <w:rPr>
                <w:rFonts w:hint="eastAsia" w:ascii="宋体" w:hAnsi="宋体" w:cs="宋体"/>
                <w:color w:val="000000"/>
                <w:kern w:val="0"/>
                <w:sz w:val="18"/>
                <w:szCs w:val="18"/>
              </w:rPr>
              <w:t>分；②按规定时限公开预决算信息、绩效信息及其他信息，得</w:t>
            </w:r>
            <w:r>
              <w:rPr>
                <w:rFonts w:ascii="宋体" w:hAnsi="宋体" w:cs="宋体"/>
                <w:color w:val="000000"/>
                <w:kern w:val="0"/>
                <w:sz w:val="18"/>
                <w:szCs w:val="18"/>
              </w:rPr>
              <w:t>0.5</w:t>
            </w:r>
            <w:r>
              <w:rPr>
                <w:rFonts w:hint="eastAsia" w:ascii="宋体" w:hAnsi="宋体" w:cs="宋体"/>
                <w:color w:val="000000"/>
                <w:kern w:val="0"/>
                <w:sz w:val="18"/>
                <w:szCs w:val="18"/>
              </w:rPr>
              <w:t>分。③各处室、下属单位等信息共享，得</w:t>
            </w:r>
            <w:r>
              <w:rPr>
                <w:rFonts w:ascii="宋体" w:hAnsi="宋体" w:cs="宋体"/>
                <w:color w:val="000000"/>
                <w:kern w:val="0"/>
                <w:sz w:val="18"/>
                <w:szCs w:val="18"/>
              </w:rPr>
              <w:t>1</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信息公开、信息共享情况</w:t>
            </w:r>
          </w:p>
        </w:tc>
      </w:tr>
      <w:tr>
        <w:tblPrEx>
          <w:tblCellMar>
            <w:top w:w="0" w:type="dxa"/>
            <w:left w:w="108" w:type="dxa"/>
            <w:bottom w:w="0" w:type="dxa"/>
            <w:right w:w="108" w:type="dxa"/>
          </w:tblCellMar>
        </w:tblPrEx>
        <w:trPr>
          <w:trHeight w:val="1665" w:hRule="atLeast"/>
        </w:trPr>
        <w:tc>
          <w:tcPr>
            <w:tcW w:w="5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b/>
                <w:bCs/>
                <w:color w:val="000000"/>
                <w:kern w:val="0"/>
                <w:sz w:val="18"/>
                <w:szCs w:val="18"/>
              </w:rPr>
            </w:pPr>
          </w:p>
        </w:tc>
        <w:tc>
          <w:tcPr>
            <w:tcW w:w="981" w:type="dxa"/>
            <w:vMerge w:val="continue"/>
            <w:tcBorders>
              <w:top w:val="nil"/>
              <w:left w:val="single" w:color="auto" w:sz="4" w:space="0"/>
              <w:bottom w:val="single" w:color="auto" w:sz="4" w:space="0"/>
              <w:right w:val="single" w:color="auto" w:sz="4" w:space="0"/>
            </w:tcBorders>
            <w:vAlign w:val="center"/>
          </w:tcPr>
          <w:p>
            <w:pPr>
              <w:widowControl/>
              <w:jc w:val="left"/>
              <w:rPr>
                <w:rFonts w:ascii="宋体" w:cs="Times New Roman"/>
                <w:color w:val="000000"/>
                <w:kern w:val="0"/>
                <w:sz w:val="18"/>
                <w:szCs w:val="18"/>
              </w:rPr>
            </w:pPr>
          </w:p>
        </w:tc>
        <w:tc>
          <w:tcPr>
            <w:tcW w:w="1559"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ascii="宋体" w:hAnsi="宋体" w:cs="宋体"/>
                <w:color w:val="000000"/>
                <w:kern w:val="0"/>
                <w:sz w:val="18"/>
                <w:szCs w:val="18"/>
              </w:rPr>
              <w:t>C33</w:t>
            </w:r>
            <w:r>
              <w:rPr>
                <w:rFonts w:hint="eastAsia" w:ascii="宋体" w:hAnsi="宋体" w:cs="宋体"/>
                <w:color w:val="000000"/>
                <w:kern w:val="0"/>
                <w:sz w:val="18"/>
                <w:szCs w:val="18"/>
              </w:rPr>
              <w:t>长效管理创新情况（</w:t>
            </w:r>
            <w:r>
              <w:rPr>
                <w:rFonts w:ascii="宋体" w:hAnsi="宋体" w:cs="宋体"/>
                <w:color w:val="000000"/>
                <w:kern w:val="0"/>
                <w:sz w:val="18"/>
                <w:szCs w:val="18"/>
              </w:rPr>
              <w:t>2</w:t>
            </w:r>
            <w:r>
              <w:rPr>
                <w:rFonts w:hint="eastAsia" w:ascii="宋体" w:hAnsi="宋体" w:cs="宋体"/>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color w:val="000000"/>
                <w:kern w:val="0"/>
                <w:sz w:val="18"/>
                <w:szCs w:val="18"/>
              </w:rPr>
            </w:pPr>
            <w:r>
              <w:rPr>
                <w:rFonts w:hint="eastAsia" w:ascii="宋体" w:hAnsi="宋体" w:cs="宋体"/>
                <w:color w:val="000000"/>
                <w:kern w:val="0"/>
                <w:sz w:val="18"/>
                <w:szCs w:val="18"/>
              </w:rPr>
              <w:t>　</w:t>
            </w:r>
            <w:r>
              <w:rPr>
                <w:rFonts w:ascii="宋体" w:hAnsi="宋体" w:cs="宋体"/>
                <w:color w:val="000000"/>
                <w:kern w:val="0"/>
                <w:sz w:val="18"/>
                <w:szCs w:val="18"/>
              </w:rPr>
              <w:t>2</w:t>
            </w:r>
          </w:p>
        </w:tc>
        <w:tc>
          <w:tcPr>
            <w:tcW w:w="2050"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考察单位是否在鼓励处室改进管理、提高效率方面建立了新举措，比如人员绩效考核机制、信息化建设、数据库管理等，是单位工作长期可持续发展的保障。</w:t>
            </w:r>
          </w:p>
        </w:tc>
        <w:tc>
          <w:tcPr>
            <w:tcW w:w="2846"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管理创新机制和措施明确，且有相应工作及产出。酌情得</w:t>
            </w:r>
            <w:r>
              <w:rPr>
                <w:rFonts w:ascii="宋体" w:hAnsi="宋体" w:cs="宋体"/>
                <w:color w:val="000000"/>
                <w:kern w:val="0"/>
                <w:sz w:val="18"/>
                <w:szCs w:val="18"/>
              </w:rPr>
              <w:t>0-2</w:t>
            </w:r>
            <w:r>
              <w:rPr>
                <w:rFonts w:hint="eastAsia" w:ascii="宋体" w:hAnsi="宋体" w:cs="宋体"/>
                <w:color w:val="000000"/>
                <w:kern w:val="0"/>
                <w:sz w:val="18"/>
                <w:szCs w:val="18"/>
              </w:rPr>
              <w:t>分。</w:t>
            </w:r>
          </w:p>
        </w:tc>
        <w:tc>
          <w:tcPr>
            <w:tcW w:w="1361" w:type="dxa"/>
            <w:tcBorders>
              <w:top w:val="nil"/>
              <w:left w:val="nil"/>
              <w:bottom w:val="single" w:color="auto" w:sz="4" w:space="0"/>
              <w:right w:val="single" w:color="auto" w:sz="4" w:space="0"/>
            </w:tcBorders>
          </w:tcPr>
          <w:p>
            <w:pPr>
              <w:widowControl/>
              <w:rPr>
                <w:rFonts w:ascii="宋体" w:cs="Times New Roman"/>
                <w:color w:val="000000"/>
                <w:kern w:val="0"/>
                <w:sz w:val="18"/>
                <w:szCs w:val="18"/>
              </w:rPr>
            </w:pPr>
            <w:r>
              <w:rPr>
                <w:rFonts w:hint="eastAsia" w:ascii="宋体" w:hAnsi="宋体" w:cs="宋体"/>
                <w:color w:val="000000"/>
                <w:kern w:val="0"/>
                <w:sz w:val="18"/>
                <w:szCs w:val="18"/>
              </w:rPr>
              <w:t>管理创新情况</w:t>
            </w:r>
          </w:p>
        </w:tc>
      </w:tr>
      <w:tr>
        <w:tblPrEx>
          <w:tblCellMar>
            <w:top w:w="0" w:type="dxa"/>
            <w:left w:w="108" w:type="dxa"/>
            <w:bottom w:w="0" w:type="dxa"/>
            <w:right w:w="108" w:type="dxa"/>
          </w:tblCellMar>
        </w:tblPrEx>
        <w:trPr>
          <w:trHeight w:val="270" w:hRule="atLeast"/>
        </w:trPr>
        <w:tc>
          <w:tcPr>
            <w:tcW w:w="579" w:type="dxa"/>
            <w:tcBorders>
              <w:top w:val="nil"/>
              <w:left w:val="single" w:color="auto" w:sz="4" w:space="0"/>
              <w:bottom w:val="single" w:color="auto" w:sz="4" w:space="0"/>
              <w:right w:val="single" w:color="auto" w:sz="4" w:space="0"/>
            </w:tcBorders>
          </w:tcPr>
          <w:p>
            <w:pPr>
              <w:widowControl/>
              <w:rPr>
                <w:rFonts w:ascii="宋体" w:cs="Times New Roman"/>
                <w:b/>
                <w:bCs/>
                <w:color w:val="000000"/>
                <w:kern w:val="0"/>
                <w:sz w:val="18"/>
                <w:szCs w:val="18"/>
              </w:rPr>
            </w:pPr>
            <w:r>
              <w:rPr>
                <w:rFonts w:hint="eastAsia" w:ascii="宋体" w:hAnsi="宋体" w:cs="宋体"/>
                <w:b/>
                <w:bCs/>
                <w:color w:val="000000"/>
                <w:kern w:val="0"/>
                <w:sz w:val="18"/>
                <w:szCs w:val="18"/>
              </w:rPr>
              <w:t>合计</w:t>
            </w:r>
          </w:p>
        </w:tc>
        <w:tc>
          <w:tcPr>
            <w:tcW w:w="981" w:type="dxa"/>
            <w:tcBorders>
              <w:top w:val="nil"/>
              <w:left w:val="nil"/>
              <w:bottom w:val="single" w:color="auto" w:sz="4" w:space="0"/>
              <w:right w:val="single" w:color="auto" w:sz="4" w:space="0"/>
            </w:tcBorders>
          </w:tcPr>
          <w:p>
            <w:pPr>
              <w:widowControl/>
              <w:rPr>
                <w:rFonts w:ascii="宋体" w:cs="Times New Roman"/>
                <w:b/>
                <w:bCs/>
                <w:color w:val="000000"/>
                <w:kern w:val="0"/>
                <w:sz w:val="18"/>
                <w:szCs w:val="18"/>
              </w:rPr>
            </w:pPr>
            <w:r>
              <w:rPr>
                <w:rFonts w:hint="eastAsia" w:ascii="宋体" w:hAnsi="宋体" w:cs="宋体"/>
                <w:b/>
                <w:bCs/>
                <w:color w:val="000000"/>
                <w:kern w:val="0"/>
                <w:sz w:val="18"/>
                <w:szCs w:val="18"/>
              </w:rPr>
              <w:t>　</w:t>
            </w:r>
          </w:p>
        </w:tc>
        <w:tc>
          <w:tcPr>
            <w:tcW w:w="1559" w:type="dxa"/>
            <w:tcBorders>
              <w:top w:val="nil"/>
              <w:left w:val="nil"/>
              <w:bottom w:val="single" w:color="auto" w:sz="4" w:space="0"/>
              <w:right w:val="single" w:color="auto" w:sz="4" w:space="0"/>
            </w:tcBorders>
          </w:tcPr>
          <w:p>
            <w:pPr>
              <w:widowControl/>
              <w:rPr>
                <w:rFonts w:ascii="宋体" w:cs="Times New Roman"/>
                <w:b/>
                <w:bCs/>
                <w:color w:val="000000"/>
                <w:kern w:val="0"/>
                <w:sz w:val="18"/>
                <w:szCs w:val="18"/>
              </w:rPr>
            </w:pPr>
            <w:r>
              <w:rPr>
                <w:rFonts w:ascii="宋体" w:hAnsi="宋体" w:cs="宋体"/>
                <w:b/>
                <w:bCs/>
                <w:color w:val="000000"/>
                <w:kern w:val="0"/>
                <w:sz w:val="18"/>
                <w:szCs w:val="18"/>
              </w:rPr>
              <w:t>100</w:t>
            </w:r>
            <w:r>
              <w:rPr>
                <w:rFonts w:hint="eastAsia" w:ascii="宋体" w:hAnsi="宋体" w:cs="宋体"/>
                <w:b/>
                <w:bCs/>
                <w:color w:val="000000"/>
                <w:kern w:val="0"/>
                <w:sz w:val="18"/>
                <w:szCs w:val="18"/>
              </w:rPr>
              <w:t>分</w:t>
            </w:r>
          </w:p>
        </w:tc>
        <w:tc>
          <w:tcPr>
            <w:tcW w:w="689" w:type="dxa"/>
            <w:tcBorders>
              <w:top w:val="nil"/>
              <w:left w:val="nil"/>
              <w:bottom w:val="single" w:color="auto" w:sz="4" w:space="0"/>
              <w:right w:val="single" w:color="auto" w:sz="4" w:space="0"/>
            </w:tcBorders>
            <w:vAlign w:val="center"/>
          </w:tcPr>
          <w:p>
            <w:pPr>
              <w:widowControl/>
              <w:rPr>
                <w:rFonts w:ascii="宋体" w:cs="Times New Roman"/>
                <w:b/>
                <w:bCs/>
                <w:color w:val="000000"/>
                <w:kern w:val="0"/>
                <w:sz w:val="18"/>
                <w:szCs w:val="18"/>
              </w:rPr>
            </w:pPr>
            <w:r>
              <w:rPr>
                <w:rFonts w:hint="eastAsia" w:ascii="宋体" w:hAnsi="宋体" w:cs="宋体"/>
                <w:b/>
                <w:bCs/>
                <w:color w:val="000000"/>
                <w:kern w:val="0"/>
                <w:sz w:val="18"/>
                <w:szCs w:val="18"/>
              </w:rPr>
              <w:t>　</w:t>
            </w:r>
            <w:r>
              <w:rPr>
                <w:rFonts w:ascii="宋体" w:hAnsi="宋体" w:cs="宋体"/>
                <w:b/>
                <w:bCs/>
                <w:color w:val="000000"/>
                <w:kern w:val="0"/>
                <w:sz w:val="18"/>
                <w:szCs w:val="18"/>
              </w:rPr>
              <w:t>100</w:t>
            </w:r>
          </w:p>
        </w:tc>
        <w:tc>
          <w:tcPr>
            <w:tcW w:w="2050" w:type="dxa"/>
            <w:tcBorders>
              <w:top w:val="nil"/>
              <w:left w:val="nil"/>
              <w:bottom w:val="single" w:color="auto" w:sz="4" w:space="0"/>
              <w:right w:val="single" w:color="auto" w:sz="4" w:space="0"/>
            </w:tcBorders>
          </w:tcPr>
          <w:p>
            <w:pPr>
              <w:widowControl/>
              <w:rPr>
                <w:rFonts w:ascii="宋体" w:cs="Times New Roman"/>
                <w:b/>
                <w:bCs/>
                <w:color w:val="000000"/>
                <w:kern w:val="0"/>
                <w:sz w:val="18"/>
                <w:szCs w:val="18"/>
              </w:rPr>
            </w:pPr>
            <w:r>
              <w:rPr>
                <w:rFonts w:hint="eastAsia" w:ascii="宋体" w:hAnsi="宋体" w:cs="宋体"/>
                <w:b/>
                <w:bCs/>
                <w:color w:val="000000"/>
                <w:kern w:val="0"/>
                <w:sz w:val="18"/>
                <w:szCs w:val="18"/>
              </w:rPr>
              <w:t>　</w:t>
            </w:r>
          </w:p>
        </w:tc>
        <w:tc>
          <w:tcPr>
            <w:tcW w:w="2846" w:type="dxa"/>
            <w:tcBorders>
              <w:top w:val="nil"/>
              <w:left w:val="nil"/>
              <w:bottom w:val="single" w:color="auto" w:sz="4" w:space="0"/>
              <w:right w:val="single" w:color="auto" w:sz="4" w:space="0"/>
            </w:tcBorders>
          </w:tcPr>
          <w:p>
            <w:pPr>
              <w:widowControl/>
              <w:rPr>
                <w:rFonts w:ascii="宋体" w:cs="Times New Roman"/>
                <w:b/>
                <w:bCs/>
                <w:color w:val="000000"/>
                <w:kern w:val="0"/>
                <w:sz w:val="18"/>
                <w:szCs w:val="18"/>
              </w:rPr>
            </w:pPr>
            <w:r>
              <w:rPr>
                <w:rFonts w:hint="eastAsia" w:ascii="宋体" w:hAnsi="宋体" w:cs="宋体"/>
                <w:b/>
                <w:bCs/>
                <w:color w:val="000000"/>
                <w:kern w:val="0"/>
                <w:sz w:val="18"/>
                <w:szCs w:val="18"/>
              </w:rPr>
              <w:t>　</w:t>
            </w:r>
          </w:p>
        </w:tc>
        <w:tc>
          <w:tcPr>
            <w:tcW w:w="1361" w:type="dxa"/>
            <w:tcBorders>
              <w:top w:val="nil"/>
              <w:left w:val="nil"/>
              <w:bottom w:val="single" w:color="auto" w:sz="4" w:space="0"/>
              <w:right w:val="single" w:color="auto" w:sz="4" w:space="0"/>
            </w:tcBorders>
          </w:tcPr>
          <w:p>
            <w:pPr>
              <w:widowControl/>
              <w:rPr>
                <w:rFonts w:ascii="宋体" w:cs="Times New Roman"/>
                <w:b/>
                <w:bCs/>
                <w:color w:val="000000"/>
                <w:kern w:val="0"/>
                <w:sz w:val="18"/>
                <w:szCs w:val="18"/>
              </w:rPr>
            </w:pPr>
            <w:r>
              <w:rPr>
                <w:rFonts w:hint="eastAsia" w:ascii="宋体" w:hAnsi="宋体" w:cs="宋体"/>
                <w:b/>
                <w:bCs/>
                <w:color w:val="000000"/>
                <w:kern w:val="0"/>
                <w:sz w:val="18"/>
                <w:szCs w:val="18"/>
              </w:rPr>
              <w:t>　</w:t>
            </w:r>
          </w:p>
        </w:tc>
      </w:tr>
    </w:tbl>
    <w:p>
      <w:pPr>
        <w:rPr>
          <w:rFonts w:cs="Times New Roma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2AAE6260-8C94-4A97-9752-3440E187D51E}"/>
  </w:font>
  <w:font w:name="方正小标宋_GBK">
    <w:altName w:val="微软雅黑"/>
    <w:panose1 w:val="00000000000000000000"/>
    <w:charset w:val="86"/>
    <w:family w:val="script"/>
    <w:pitch w:val="default"/>
    <w:sig w:usb0="00000000" w:usb1="00000000" w:usb2="00000010" w:usb3="00000000" w:csb0="00040000" w:csb1="00000000"/>
    <w:embedRegular r:id="rId2" w:fontKey="{ACE94A80-D9CC-4558-A329-D6E58495D223}"/>
  </w:font>
  <w:font w:name="方正小标宋简体">
    <w:panose1 w:val="02000000000000000000"/>
    <w:charset w:val="86"/>
    <w:family w:val="script"/>
    <w:pitch w:val="default"/>
    <w:sig w:usb0="00000001" w:usb1="080E0000" w:usb2="00000000" w:usb3="00000000" w:csb0="00040000" w:csb1="00000000"/>
    <w:embedRegular r:id="rId3" w:fontKey="{483DA540-F0DE-47FD-8512-3645BE97968A}"/>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方正粗黑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Fonts w:cs="Times New Roman"/>
      </w:rPr>
    </w:pPr>
    <w:r>
      <w:rPr>
        <w:rStyle w:val="7"/>
      </w:rPr>
      <w:fldChar w:fldCharType="begin"/>
    </w:r>
    <w:r>
      <w:rPr>
        <w:rStyle w:val="7"/>
      </w:rPr>
      <w:instrText xml:space="preserve">PAGE  </w:instrText>
    </w:r>
    <w:r>
      <w:rPr>
        <w:rStyle w:val="7"/>
      </w:rPr>
      <w:fldChar w:fldCharType="separate"/>
    </w:r>
    <w:r>
      <w:rPr>
        <w:rStyle w:val="7"/>
      </w:rPr>
      <w:t>1</w:t>
    </w:r>
    <w:r>
      <w:rPr>
        <w:rStyle w:val="7"/>
      </w:rPr>
      <w:fldChar w:fldCharType="end"/>
    </w:r>
  </w:p>
  <w:p>
    <w:pPr>
      <w:pStyle w:val="3"/>
      <w:rPr>
        <w:rFonts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NotTrackMoves/>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B6C1205"/>
    <w:rsid w:val="6D21282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uiPriority w:val="1"/>
  </w:style>
  <w:style w:type="table" w:default="1" w:styleId="5">
    <w:name w:val="Normal Table"/>
    <w:qFormat/>
    <w:uiPriority w:val="99"/>
    <w:tblPr>
      <w:tblCellMar>
        <w:top w:w="0" w:type="dxa"/>
        <w:left w:w="108" w:type="dxa"/>
        <w:bottom w:w="0" w:type="dxa"/>
        <w:right w:w="108" w:type="dxa"/>
      </w:tblCellMar>
    </w:tblPr>
  </w:style>
  <w:style w:type="paragraph" w:styleId="2">
    <w:name w:val="Balloon Text"/>
    <w:basedOn w:val="1"/>
    <w:link w:val="10"/>
    <w:qFormat/>
    <w:uiPriority w:val="99"/>
    <w:rPr>
      <w:sz w:val="18"/>
      <w:szCs w:val="18"/>
    </w:rPr>
  </w:style>
  <w:style w:type="paragraph" w:styleId="3">
    <w:name w:val="footer"/>
    <w:basedOn w:val="1"/>
    <w:link w:val="8"/>
    <w:uiPriority w:val="99"/>
    <w:pPr>
      <w:tabs>
        <w:tab w:val="center" w:pos="4153"/>
        <w:tab w:val="right" w:pos="8306"/>
      </w:tabs>
      <w:snapToGrid w:val="0"/>
      <w:jc w:val="left"/>
    </w:pPr>
    <w:rPr>
      <w:sz w:val="18"/>
      <w:szCs w:val="18"/>
    </w:rPr>
  </w:style>
  <w:style w:type="paragraph" w:styleId="4">
    <w:name w:val="header"/>
    <w:basedOn w:val="1"/>
    <w:link w:val="9"/>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99"/>
  </w:style>
  <w:style w:type="character" w:customStyle="1" w:styleId="8">
    <w:name w:val="页脚 Char"/>
    <w:basedOn w:val="6"/>
    <w:link w:val="3"/>
    <w:uiPriority w:val="99"/>
    <w:rPr>
      <w:rFonts w:ascii="Calibri" w:hAnsi="Calibri" w:eastAsia="宋体" w:cs="Calibri"/>
      <w:sz w:val="18"/>
      <w:szCs w:val="18"/>
    </w:rPr>
  </w:style>
  <w:style w:type="character" w:customStyle="1" w:styleId="9">
    <w:name w:val="页眉 Char"/>
    <w:basedOn w:val="6"/>
    <w:link w:val="4"/>
    <w:qFormat/>
    <w:uiPriority w:val="99"/>
    <w:rPr>
      <w:rFonts w:ascii="Calibri" w:hAnsi="Calibri" w:eastAsia="宋体" w:cs="Calibri"/>
      <w:sz w:val="18"/>
      <w:szCs w:val="18"/>
    </w:rPr>
  </w:style>
  <w:style w:type="character" w:customStyle="1" w:styleId="10">
    <w:name w:val="批注框文本 Char"/>
    <w:basedOn w:val="6"/>
    <w:link w:val="2"/>
    <w:qFormat/>
    <w:uiPriority w:val="99"/>
    <w:rPr>
      <w:sz w:val="2"/>
      <w:szCs w:val="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5017</Words>
  <Characters>5258</Characters>
  <Paragraphs>318</Paragraphs>
  <TotalTime>61</TotalTime>
  <ScaleCrop>false</ScaleCrop>
  <LinksUpToDate>false</LinksUpToDate>
  <CharactersWithSpaces>5301</CharactersWithSpaces>
  <Application>WPS Office_11.1.0.10000_F1E327BC-269C-435d-A152-05C5408002CA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2020-03-16T07:39:00Z</dcterms:created>
  <dc:creator>hp</dc:creator>
  <cp:lastModifiedBy>キャンディ</cp:lastModifiedBy>
  <cp:lastPrinted>2020-05-12T01:56:00Z</cp:lastPrinted>
  <dcterms:modified xsi:type="dcterms:W3CDTF">2020-09-28T01:35:13Z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