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szCs w:val="32"/>
        </w:rPr>
      </w:pPr>
    </w:p>
    <w:p>
      <w:pPr>
        <w:spacing w:line="520" w:lineRule="exact"/>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盘龙区</w:t>
      </w:r>
      <w:r>
        <w:rPr>
          <w:rFonts w:hint="eastAsia" w:asciiTheme="majorEastAsia" w:hAnsiTheme="majorEastAsia" w:eastAsiaTheme="majorEastAsia" w:cstheme="majorEastAsia"/>
          <w:sz w:val="44"/>
          <w:szCs w:val="44"/>
          <w:lang w:eastAsia="zh-CN"/>
        </w:rPr>
        <w:t>信访局</w:t>
      </w:r>
      <w:r>
        <w:rPr>
          <w:rFonts w:hint="eastAsia" w:asciiTheme="majorEastAsia" w:hAnsiTheme="majorEastAsia" w:eastAsiaTheme="majorEastAsia" w:cstheme="majorEastAsia"/>
          <w:sz w:val="44"/>
          <w:szCs w:val="44"/>
        </w:rPr>
        <w:t>20</w:t>
      </w:r>
      <w:r>
        <w:rPr>
          <w:rFonts w:hint="eastAsia" w:asciiTheme="majorEastAsia" w:hAnsiTheme="majorEastAsia" w:eastAsiaTheme="majorEastAsia" w:cstheme="majorEastAsia"/>
          <w:sz w:val="44"/>
          <w:szCs w:val="44"/>
          <w:lang w:val="en-US" w:eastAsia="zh-CN"/>
        </w:rPr>
        <w:t>19</w:t>
      </w:r>
      <w:r>
        <w:rPr>
          <w:rFonts w:hint="eastAsia" w:asciiTheme="majorEastAsia" w:hAnsiTheme="majorEastAsia" w:eastAsiaTheme="majorEastAsia" w:cstheme="majorEastAsia"/>
          <w:sz w:val="44"/>
          <w:szCs w:val="44"/>
        </w:rPr>
        <w:t>年部门整体支出</w:t>
      </w:r>
    </w:p>
    <w:p>
      <w:pPr>
        <w:spacing w:line="520" w:lineRule="exact"/>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绩效自评报告</w:t>
      </w:r>
    </w:p>
    <w:p>
      <w:pPr>
        <w:spacing w:line="520" w:lineRule="exact"/>
        <w:ind w:firstLine="480" w:firstLineChars="200"/>
        <w:jc w:val="center"/>
        <w:rPr>
          <w:rFonts w:ascii="仿宋_GB2312" w:eastAsia="仿宋_GB2312"/>
          <w:sz w:val="24"/>
          <w:szCs w:val="24"/>
        </w:rPr>
      </w:pPr>
    </w:p>
    <w:p>
      <w:pPr>
        <w:numPr>
          <w:ilvl w:val="0"/>
          <w:numId w:val="1"/>
        </w:numPr>
        <w:spacing w:line="52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部门概况</w:t>
      </w:r>
      <w:bookmarkStart w:id="0" w:name="_GoBack"/>
      <w:bookmarkEnd w:id="0"/>
    </w:p>
    <w:p>
      <w:pPr>
        <w:numPr>
          <w:ilvl w:val="0"/>
          <w:numId w:val="2"/>
        </w:numPr>
        <w:spacing w:line="520" w:lineRule="exact"/>
        <w:ind w:firstLine="643" w:firstLineChars="200"/>
        <w:jc w:val="left"/>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盘龙区信访局职能职责</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负责处理公民、法人及其他组织通过信访渠道给区委、区政府及领导同志的来信来电和网络信访事项，接待来访。</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承办上级机关和区委、区政府领导同志转办、交办的信访事项，督促检查办理落实情况。</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贯彻落实党中央、国务院、省、市、区委政府关于信访工作决策部署，推进信访工作制度改革和信访法治化建设，推动总结推广工作经验，提出加强和改进信访工作的意见建议。</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综合协调和指导全区信访工作，组织开展联合接访工作，交办、转送信访事项，承担信访事项督查督办、复查复核工作，协调、处理进京上访的处置工作。</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制定信访问题排查化解制度并组织实施，推进依法分类处理信访诉求，开展人民建议征集工作，建立和完善信访信息汇集分析机制，及时反映倾向性、动态性信息和影响社会稳定的突出问题。</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负责信访信息化建设，指导全区信访信息系统建设和应用工作。</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负责信访工作宣传和信息发布，组织信访工作检查考评和干部教育培训工作。</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承担区委信访工作联席会议办公室日常工作，督促落实联席会议决定事项；负责盘龙区信访事项复查复核委员会办公室日常工作。</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完成区委、区政府交办的其他任务。</w:t>
      </w:r>
    </w:p>
    <w:p>
      <w:pPr>
        <w:numPr>
          <w:ilvl w:val="0"/>
          <w:numId w:val="0"/>
        </w:numPr>
        <w:spacing w:line="520" w:lineRule="exact"/>
        <w:ind w:firstLine="643" w:firstLineChars="200"/>
        <w:jc w:val="left"/>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（二）重点工作概述</w:t>
      </w:r>
    </w:p>
    <w:p>
      <w:pPr>
        <w:numPr>
          <w:ilvl w:val="0"/>
          <w:numId w:val="0"/>
        </w:numPr>
        <w:spacing w:line="52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负责接待和办理辖区范围内群众、法人及其他组织向区委区政府及领导的来信来访事项，为群众排忧解难，保证信访渠道畅通。承办区委、区政府领导批示和上级机关批转及交办的重要信访事项。调查研究社情民意和信访突出问题，负责向区属部门交办信访案件，直接参与处理信访事项。依法处置化解疏导区范围内群众进京、赴省、到市的上访和突出信访问题，协调处理突发性信访事件，及时督促责任单位化解处理各类社会矛盾与纠纷，维护社会稳定；参与处理跨地区、跨部门的重要信访问题。承担昆明市盘龙区处理信访突出问题及群众性事件联席会议办公室的工作。</w:t>
      </w:r>
    </w:p>
    <w:p>
      <w:pPr>
        <w:numPr>
          <w:ilvl w:val="0"/>
          <w:numId w:val="0"/>
        </w:numPr>
        <w:spacing w:line="52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严格落实包案责任制，集中时间、集中力量进行化解。把持续改善民生作为预防和减少矛盾纠纷的基础性工作来抓，严格落实各项惠民政策，尽最大努力解决群众生产生活中的实际困难。抓好初信初访办理，严格落实首办责任制、服务承诺制和限时办结制，督促责任单位在第一时间、第一地点解决群众合理诉求，减少重复上访和越级上访。运用法治思维和法治方式处理信访问题的理念，深入推进“阳光信访”、“法治信访”。</w:t>
      </w:r>
    </w:p>
    <w:p>
      <w:pPr>
        <w:numPr>
          <w:ilvl w:val="0"/>
          <w:numId w:val="0"/>
        </w:numPr>
        <w:spacing w:line="52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对群众来信来访问题进行认真把关，及时录入云南省信访信息系统，方便群众查询，减少群众网上不良投诉，最大限度地减少信访问题上行压力。进一步完善信息收集汇总和分析研判机制，对可能引发集体上访、群体性事件的隐患和苗头，及时发现、及时报告、及时处理。</w:t>
      </w:r>
    </w:p>
    <w:p>
      <w:pPr>
        <w:numPr>
          <w:ilvl w:val="0"/>
          <w:numId w:val="0"/>
        </w:numPr>
        <w:spacing w:line="52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（三）预算收支总额</w:t>
      </w:r>
    </w:p>
    <w:p>
      <w:pPr>
        <w:numPr>
          <w:ilvl w:val="0"/>
          <w:numId w:val="0"/>
        </w:numPr>
        <w:spacing w:line="52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盘龙区信访局2019年收入合计：2668142.04元，年度支出合计：2608809.75元，结转结余59332.29元待上缴存量资金。</w:t>
      </w:r>
    </w:p>
    <w:p>
      <w:pPr>
        <w:numPr>
          <w:ilvl w:val="0"/>
          <w:numId w:val="3"/>
        </w:numPr>
        <w:spacing w:line="520" w:lineRule="exact"/>
        <w:ind w:firstLine="643" w:firstLineChars="200"/>
        <w:jc w:val="left"/>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预算执行情况</w:t>
      </w:r>
    </w:p>
    <w:p>
      <w:pPr>
        <w:numPr>
          <w:ilvl w:val="0"/>
          <w:numId w:val="0"/>
        </w:numPr>
        <w:spacing w:line="52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年度基本支出和项目支出合计：</w:t>
      </w:r>
      <w:r>
        <w:rPr>
          <w:rFonts w:hint="eastAsia" w:ascii="仿宋" w:hAnsi="仿宋" w:eastAsia="仿宋" w:cs="仿宋"/>
          <w:sz w:val="32"/>
          <w:szCs w:val="32"/>
          <w:lang w:val="en-US" w:eastAsia="zh-CN"/>
        </w:rPr>
        <w:t>2608809.75元，其中，人员经费支出1238253.75元；日常办公经费支出169256元，此项支出主要用于购买办公用品、订阅报刊书籍杂志、办公用电话费、车辆维修费、车辆保险费等；项目支出1201300元，支出项目只要包括：下达驻京信访工作经费、信访处突经费、编外用工人员经费、公共交通专项经费、解决特殊疑难信访问题专项资金、律师参与涉法信访经费。</w:t>
      </w:r>
    </w:p>
    <w:p>
      <w:pPr>
        <w:numPr>
          <w:ilvl w:val="0"/>
          <w:numId w:val="4"/>
        </w:numPr>
        <w:spacing w:line="520" w:lineRule="exact"/>
        <w:ind w:firstLine="643" w:firstLineChars="200"/>
        <w:jc w:val="left"/>
        <w:rPr>
          <w:rFonts w:hint="eastAsia" w:ascii="仿宋" w:hAnsi="仿宋" w:eastAsia="仿宋" w:cs="仿宋"/>
          <w:sz w:val="32"/>
          <w:szCs w:val="32"/>
          <w:lang w:val="en-US" w:eastAsia="zh-CN"/>
        </w:rPr>
      </w:pPr>
      <w:r>
        <w:rPr>
          <w:rFonts w:hint="eastAsia" w:ascii="仿宋" w:hAnsi="仿宋" w:eastAsia="仿宋" w:cs="仿宋"/>
          <w:b/>
          <w:bCs/>
          <w:sz w:val="32"/>
          <w:szCs w:val="32"/>
        </w:rPr>
        <w:t>评价结论及绩效分析</w:t>
      </w:r>
    </w:p>
    <w:p>
      <w:pPr>
        <w:numPr>
          <w:ilvl w:val="0"/>
          <w:numId w:val="0"/>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2019年信访局严格按照年初预算在规定的时间节点，结合工作实际需要合理安排使用各项经费，既保证了经费科学合理使用，同时又控制住了不必要的经费支出，确保2019年区信访局围绕全区中心工作，认真履职，统筹兼顾，推动政府各项工作的良好运作。</w:t>
      </w:r>
    </w:p>
    <w:p>
      <w:pPr>
        <w:numPr>
          <w:ilvl w:val="0"/>
          <w:numId w:val="0"/>
        </w:numPr>
        <w:spacing w:line="52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三、经验、问题和建议</w:t>
      </w:r>
    </w:p>
    <w:p>
      <w:pPr>
        <w:spacing w:line="520" w:lineRule="exact"/>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（一）</w:t>
      </w:r>
      <w:r>
        <w:rPr>
          <w:rFonts w:hint="eastAsia" w:ascii="仿宋" w:hAnsi="仿宋" w:eastAsia="仿宋" w:cs="仿宋"/>
          <w:sz w:val="32"/>
          <w:szCs w:val="32"/>
        </w:rPr>
        <w:t>经验</w:t>
      </w:r>
    </w:p>
    <w:p>
      <w:pPr>
        <w:spacing w:line="520" w:lineRule="exact"/>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区信访局建立健全“三重一大”和资金使用管理制度，所有支出严格按照年初预算进行支出，未出现错漏等情况，解决了信访工作保障问题，提高了人员工作积极性及工作效率。</w:t>
      </w:r>
    </w:p>
    <w:p>
      <w:pPr>
        <w:numPr>
          <w:ilvl w:val="0"/>
          <w:numId w:val="5"/>
        </w:numPr>
        <w:spacing w:line="520" w:lineRule="exact"/>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存在的问题</w:t>
      </w:r>
    </w:p>
    <w:p>
      <w:pPr>
        <w:numPr>
          <w:ilvl w:val="0"/>
          <w:numId w:val="0"/>
        </w:numPr>
        <w:spacing w:line="520" w:lineRule="exact"/>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在及时、准确掌握财政业务政策方面有待提高。</w:t>
      </w:r>
    </w:p>
    <w:p>
      <w:pPr>
        <w:numPr>
          <w:ilvl w:val="0"/>
          <w:numId w:val="5"/>
        </w:num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改进措施及建议</w:t>
      </w:r>
    </w:p>
    <w:p>
      <w:pPr>
        <w:numPr>
          <w:ilvl w:val="0"/>
          <w:numId w:val="0"/>
        </w:numPr>
        <w:spacing w:line="520" w:lineRule="exact"/>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1.加强编制预算的前期调研工作，扎实做好项目预算的准备工作。</w:t>
      </w:r>
    </w:p>
    <w:p>
      <w:pPr>
        <w:numPr>
          <w:ilvl w:val="0"/>
          <w:numId w:val="0"/>
        </w:numPr>
        <w:spacing w:line="520" w:lineRule="exact"/>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2.建议区财政局加大对相关工作人员的业务培训，提高工作人员的综合素质。</w:t>
      </w:r>
    </w:p>
    <w:p>
      <w:pPr>
        <w:numPr>
          <w:ilvl w:val="0"/>
          <w:numId w:val="0"/>
        </w:numPr>
        <w:spacing w:line="520" w:lineRule="exact"/>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3.严格预算工作绩效时点，确保实现资金按计划支出并实现资金效益的最大化。</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39</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B36454"/>
    <w:multiLevelType w:val="singleLevel"/>
    <w:tmpl w:val="5EB36454"/>
    <w:lvl w:ilvl="0" w:tentative="0">
      <w:start w:val="1"/>
      <w:numFmt w:val="chineseCounting"/>
      <w:suff w:val="nothing"/>
      <w:lvlText w:val="%1、"/>
      <w:lvlJc w:val="left"/>
    </w:lvl>
  </w:abstractNum>
  <w:abstractNum w:abstractNumId="1">
    <w:nsid w:val="5EB36564"/>
    <w:multiLevelType w:val="singleLevel"/>
    <w:tmpl w:val="5EB36564"/>
    <w:lvl w:ilvl="0" w:tentative="0">
      <w:start w:val="1"/>
      <w:numFmt w:val="chineseCounting"/>
      <w:suff w:val="nothing"/>
      <w:lvlText w:val="（%1）"/>
      <w:lvlJc w:val="left"/>
    </w:lvl>
  </w:abstractNum>
  <w:abstractNum w:abstractNumId="2">
    <w:nsid w:val="5EB378A2"/>
    <w:multiLevelType w:val="singleLevel"/>
    <w:tmpl w:val="5EB378A2"/>
    <w:lvl w:ilvl="0" w:tentative="0">
      <w:start w:val="4"/>
      <w:numFmt w:val="chineseCounting"/>
      <w:suff w:val="nothing"/>
      <w:lvlText w:val="（%1）"/>
      <w:lvlJc w:val="left"/>
    </w:lvl>
  </w:abstractNum>
  <w:abstractNum w:abstractNumId="3">
    <w:nsid w:val="5EB37FF0"/>
    <w:multiLevelType w:val="singleLevel"/>
    <w:tmpl w:val="5EB37FF0"/>
    <w:lvl w:ilvl="0" w:tentative="0">
      <w:start w:val="2"/>
      <w:numFmt w:val="chineseCounting"/>
      <w:suff w:val="nothing"/>
      <w:lvlText w:val="%1、"/>
      <w:lvlJc w:val="left"/>
    </w:lvl>
  </w:abstractNum>
  <w:abstractNum w:abstractNumId="4">
    <w:nsid w:val="5EB38199"/>
    <w:multiLevelType w:val="singleLevel"/>
    <w:tmpl w:val="5EB38199"/>
    <w:lvl w:ilvl="0" w:tentative="0">
      <w:start w:val="2"/>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A048D8"/>
    <w:rsid w:val="02F74A88"/>
    <w:rsid w:val="334422C8"/>
    <w:rsid w:val="5D4536DA"/>
    <w:rsid w:val="62EB0E02"/>
    <w:rsid w:val="65773490"/>
    <w:rsid w:val="7BA048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kern w:val="0"/>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customStyle="1" w:styleId="7">
    <w:name w:val="正文 A"/>
    <w:qFormat/>
    <w:uiPriority w:val="99"/>
    <w:pPr>
      <w:spacing w:after="200" w:line="276" w:lineRule="auto"/>
    </w:pPr>
    <w:rPr>
      <w:rFonts w:cs="Calibri" w:asciiTheme="minorHAnsi" w:hAnsiTheme="minorHAnsi" w:eastAsiaTheme="minorEastAsia"/>
      <w:color w:val="000000"/>
      <w:sz w:val="22"/>
      <w:szCs w:val="22"/>
      <w:u w:val="none" w:color="000000"/>
      <w:lang w:val="en-US" w:eastAsia="zh-CN" w:bidi="ar-SA"/>
    </w:rPr>
  </w:style>
  <w:style w:type="paragraph" w:customStyle="1" w:styleId="8">
    <w:name w:val="TOC 标题1"/>
    <w:basedOn w:val="2"/>
    <w:next w:val="1"/>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2020-05-07T01:04:00Z</dcterms:created>
  <dc:creator>许太然</dc:creator>
  <cp:lastModifiedBy>dell</cp:lastModifiedBy>
  <cp:lastPrinted>2020-05-07T03:35:00Z</cp:lastPrinted>
  <dcterms:modified xsi:type="dcterms:W3CDTF">2020-09-29T03:01:26Z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