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195" w:afterAutospacing="0" w:line="239" w:lineRule="atLeast"/>
        <w:ind w:left="0" w:right="0" w:firstLine="0"/>
        <w:jc w:val="both"/>
        <w:rPr>
          <w:rFonts w:ascii="sans-serif" w:hAnsi="sans-serif" w:eastAsia="sans-serif" w:cs="sans-serif"/>
          <w:i w:val="0"/>
          <w:caps w:val="0"/>
          <w:color w:val="000000"/>
          <w:spacing w:val="0"/>
          <w:sz w:val="21"/>
          <w:szCs w:val="21"/>
        </w:rPr>
      </w:pPr>
      <w:r>
        <w:rPr>
          <w:rStyle w:val="5"/>
          <w:rFonts w:ascii="微软雅黑" w:hAnsi="微软雅黑" w:eastAsia="微软雅黑" w:cs="微软雅黑"/>
          <w:i w:val="0"/>
          <w:caps w:val="0"/>
          <w:color w:val="000000"/>
          <w:spacing w:val="0"/>
          <w:sz w:val="36"/>
          <w:szCs w:val="36"/>
        </w:rPr>
        <w:t>监督索引号</w:t>
      </w:r>
      <w:r>
        <w:rPr>
          <w:rStyle w:val="5"/>
          <w:rFonts w:ascii="Arial" w:hAnsi="Arial" w:eastAsia="sans-serif" w:cs="Arial"/>
          <w:i w:val="0"/>
          <w:caps w:val="0"/>
          <w:color w:val="000000"/>
          <w:spacing w:val="0"/>
          <w:sz w:val="36"/>
          <w:szCs w:val="36"/>
        </w:rPr>
        <w:t>53010300135700000</w:t>
      </w:r>
    </w:p>
    <w:p>
      <w:pPr>
        <w:pStyle w:val="2"/>
        <w:keepNext w:val="0"/>
        <w:keepLines w:val="0"/>
        <w:widowControl/>
        <w:suppressLineNumbers w:val="0"/>
        <w:spacing w:before="0" w:beforeAutospacing="0" w:after="195" w:afterAutospacing="0" w:line="239" w:lineRule="atLeast"/>
        <w:ind w:left="0" w:right="0" w:firstLine="0"/>
        <w:jc w:val="both"/>
        <w:rPr>
          <w:rFonts w:hint="default" w:ascii="sans-serif" w:hAnsi="sans-serif" w:eastAsia="sans-serif" w:cs="sans-serif"/>
          <w:i w:val="0"/>
          <w:caps w:val="0"/>
          <w:color w:val="000000"/>
          <w:spacing w:val="0"/>
          <w:sz w:val="21"/>
          <w:szCs w:val="21"/>
        </w:rPr>
      </w:pPr>
    </w:p>
    <w:p>
      <w:pPr>
        <w:pStyle w:val="2"/>
        <w:keepNext w:val="0"/>
        <w:keepLines w:val="0"/>
        <w:widowControl/>
        <w:suppressLineNumbers w:val="0"/>
        <w:spacing w:before="0" w:beforeAutospacing="0" w:after="195" w:afterAutospacing="0" w:line="239" w:lineRule="atLeast"/>
        <w:ind w:left="0" w:right="0" w:firstLine="0"/>
        <w:jc w:val="both"/>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盘龙区文化和旅游部门2020年部门预算编制</w:t>
      </w:r>
    </w:p>
    <w:p>
      <w:pPr>
        <w:pStyle w:val="2"/>
        <w:keepNext w:val="0"/>
        <w:keepLines w:val="0"/>
        <w:widowControl/>
        <w:suppressLineNumbers w:val="0"/>
        <w:spacing w:before="0" w:beforeAutospacing="0" w:after="195" w:afterAutospacing="0" w:line="239" w:lineRule="atLeast"/>
        <w:ind w:left="0" w:right="0" w:firstLine="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第一部分 盘龙区文化旅游局2020年部门预算编制说明</w:t>
      </w:r>
    </w:p>
    <w:p>
      <w:pPr>
        <w:pStyle w:val="2"/>
        <w:keepNext w:val="0"/>
        <w:keepLines w:val="0"/>
        <w:widowControl/>
        <w:suppressLineNumbers w:val="0"/>
        <w:spacing w:before="0" w:beforeAutospacing="0" w:after="195" w:afterAutospacing="0" w:line="239" w:lineRule="atLeast"/>
        <w:ind w:left="0" w:right="0" w:firstLine="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第二部分 盘龙区文化旅游局2020年部门预算表</w:t>
      </w:r>
    </w:p>
    <w:p>
      <w:pPr>
        <w:pStyle w:val="2"/>
        <w:keepNext w:val="0"/>
        <w:keepLines w:val="0"/>
        <w:widowControl/>
        <w:suppressLineNumbers w:val="0"/>
        <w:spacing w:before="0" w:beforeAutospacing="0" w:after="195" w:afterAutospacing="0" w:line="239" w:lineRule="atLeast"/>
        <w:ind w:left="0" w:right="0" w:firstLine="0"/>
        <w:jc w:val="center"/>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目录</w:t>
      </w:r>
    </w:p>
    <w:p>
      <w:pPr>
        <w:pStyle w:val="2"/>
        <w:keepNext w:val="0"/>
        <w:keepLines w:val="0"/>
        <w:widowControl/>
        <w:suppressLineNumbers w:val="0"/>
        <w:spacing w:before="0" w:beforeAutospacing="0" w:after="195" w:afterAutospacing="0" w:line="239" w:lineRule="atLeast"/>
        <w:ind w:left="0" w:right="0" w:firstLine="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一、部门财务收支总体情况表</w:t>
      </w:r>
    </w:p>
    <w:p>
      <w:pPr>
        <w:pStyle w:val="2"/>
        <w:keepNext w:val="0"/>
        <w:keepLines w:val="0"/>
        <w:widowControl/>
        <w:suppressLineNumbers w:val="0"/>
        <w:spacing w:before="0" w:beforeAutospacing="0" w:after="195" w:afterAutospacing="0" w:line="239" w:lineRule="atLeast"/>
        <w:ind w:left="0" w:right="0" w:firstLine="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二、部门收入总体情况表</w:t>
      </w:r>
    </w:p>
    <w:p>
      <w:pPr>
        <w:pStyle w:val="2"/>
        <w:keepNext w:val="0"/>
        <w:keepLines w:val="0"/>
        <w:widowControl/>
        <w:suppressLineNumbers w:val="0"/>
        <w:spacing w:before="0" w:beforeAutospacing="0" w:after="195" w:afterAutospacing="0" w:line="239" w:lineRule="atLeast"/>
        <w:ind w:left="0" w:right="0" w:firstLine="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三、部门支出总体情况表</w:t>
      </w:r>
    </w:p>
    <w:p>
      <w:pPr>
        <w:pStyle w:val="2"/>
        <w:keepNext w:val="0"/>
        <w:keepLines w:val="0"/>
        <w:widowControl/>
        <w:suppressLineNumbers w:val="0"/>
        <w:spacing w:before="0" w:beforeAutospacing="0" w:after="195" w:afterAutospacing="0" w:line="239" w:lineRule="atLeast"/>
        <w:ind w:left="0" w:right="0" w:firstLine="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四、部门财政拨款收支总体情况表</w:t>
      </w:r>
    </w:p>
    <w:p>
      <w:pPr>
        <w:pStyle w:val="2"/>
        <w:keepNext w:val="0"/>
        <w:keepLines w:val="0"/>
        <w:widowControl/>
        <w:suppressLineNumbers w:val="0"/>
        <w:spacing w:before="0" w:beforeAutospacing="0" w:after="195" w:afterAutospacing="0" w:line="239" w:lineRule="atLeast"/>
        <w:ind w:left="0" w:right="0" w:firstLine="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五、部门一般公共预算本级财力安排支出情况表</w:t>
      </w:r>
    </w:p>
    <w:p>
      <w:pPr>
        <w:pStyle w:val="2"/>
        <w:keepNext w:val="0"/>
        <w:keepLines w:val="0"/>
        <w:widowControl/>
        <w:suppressLineNumbers w:val="0"/>
        <w:spacing w:before="0" w:beforeAutospacing="0" w:after="195" w:afterAutospacing="0" w:line="239" w:lineRule="atLeast"/>
        <w:ind w:left="0" w:right="0" w:firstLine="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六、部门基本支出情况表</w:t>
      </w:r>
    </w:p>
    <w:p>
      <w:pPr>
        <w:pStyle w:val="2"/>
        <w:keepNext w:val="0"/>
        <w:keepLines w:val="0"/>
        <w:widowControl/>
        <w:suppressLineNumbers w:val="0"/>
        <w:spacing w:before="0" w:beforeAutospacing="0" w:after="195" w:afterAutospacing="0" w:line="239" w:lineRule="atLeast"/>
        <w:ind w:left="0" w:right="0" w:firstLine="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七、部门政府性基金预算支出情况表</w:t>
      </w:r>
    </w:p>
    <w:p>
      <w:pPr>
        <w:pStyle w:val="2"/>
        <w:keepNext w:val="0"/>
        <w:keepLines w:val="0"/>
        <w:widowControl/>
        <w:suppressLineNumbers w:val="0"/>
        <w:spacing w:before="0" w:beforeAutospacing="0" w:after="195" w:afterAutospacing="0" w:line="239" w:lineRule="atLeast"/>
        <w:ind w:left="0" w:right="0" w:firstLine="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八、财政拨款支出明细表（按经济科目分类）</w:t>
      </w:r>
    </w:p>
    <w:p>
      <w:pPr>
        <w:pStyle w:val="2"/>
        <w:keepNext w:val="0"/>
        <w:keepLines w:val="0"/>
        <w:widowControl/>
        <w:suppressLineNumbers w:val="0"/>
        <w:spacing w:before="0" w:beforeAutospacing="0" w:after="195" w:afterAutospacing="0" w:line="239" w:lineRule="atLeast"/>
        <w:ind w:left="0" w:right="0" w:firstLine="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九、部门一般公共预算“三公”经费支出情况表</w:t>
      </w:r>
    </w:p>
    <w:p>
      <w:pPr>
        <w:pStyle w:val="2"/>
        <w:keepNext w:val="0"/>
        <w:keepLines w:val="0"/>
        <w:widowControl/>
        <w:suppressLineNumbers w:val="0"/>
        <w:spacing w:before="0" w:beforeAutospacing="0" w:after="195" w:afterAutospacing="0" w:line="239" w:lineRule="atLeast"/>
        <w:ind w:left="0" w:right="0" w:firstLine="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十、区本级项目支出绩效目标表-1</w:t>
      </w:r>
    </w:p>
    <w:p>
      <w:pPr>
        <w:pStyle w:val="2"/>
        <w:keepNext w:val="0"/>
        <w:keepLines w:val="0"/>
        <w:widowControl/>
        <w:suppressLineNumbers w:val="0"/>
        <w:spacing w:before="0" w:beforeAutospacing="0" w:after="195" w:afterAutospacing="0" w:line="239" w:lineRule="atLeast"/>
        <w:ind w:left="0" w:right="0" w:firstLine="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十一、区本级项目支出绩效目标表-2</w:t>
      </w:r>
    </w:p>
    <w:p>
      <w:pPr>
        <w:pStyle w:val="2"/>
        <w:keepNext w:val="0"/>
        <w:keepLines w:val="0"/>
        <w:widowControl/>
        <w:suppressLineNumbers w:val="0"/>
        <w:spacing w:before="0" w:beforeAutospacing="0" w:after="195" w:afterAutospacing="0" w:line="239" w:lineRule="atLeast"/>
        <w:ind w:left="0" w:right="0" w:firstLine="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十二、区对下转移支付绩效目标表</w:t>
      </w:r>
    </w:p>
    <w:p>
      <w:pPr>
        <w:pStyle w:val="2"/>
        <w:keepNext w:val="0"/>
        <w:keepLines w:val="0"/>
        <w:widowControl/>
        <w:suppressLineNumbers w:val="0"/>
        <w:spacing w:before="0" w:beforeAutospacing="0" w:after="195" w:afterAutospacing="0" w:line="239" w:lineRule="atLeast"/>
        <w:ind w:left="0" w:right="0" w:firstLine="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十三、部门政府采购情况表</w:t>
      </w:r>
    </w:p>
    <w:p>
      <w:pPr>
        <w:pStyle w:val="2"/>
        <w:keepNext w:val="0"/>
        <w:keepLines w:val="0"/>
        <w:widowControl/>
        <w:suppressLineNumbers w:val="0"/>
        <w:spacing w:before="0" w:beforeAutospacing="0" w:after="195" w:afterAutospacing="0" w:line="239" w:lineRule="atLeast"/>
        <w:ind w:left="0" w:right="0" w:firstLine="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十四、部门政府购买服务预算表</w:t>
      </w:r>
    </w:p>
    <w:p>
      <w:pPr>
        <w:pStyle w:val="2"/>
        <w:keepNext w:val="0"/>
        <w:keepLines w:val="0"/>
        <w:widowControl/>
        <w:suppressLineNumbers w:val="0"/>
        <w:spacing w:before="0" w:beforeAutospacing="0" w:after="195" w:afterAutospacing="0" w:line="239" w:lineRule="atLeast"/>
        <w:ind w:left="0" w:right="0" w:firstLine="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十五、部门整体支出绩效目标表</w:t>
      </w:r>
    </w:p>
    <w:p>
      <w:pPr>
        <w:pStyle w:val="2"/>
        <w:keepNext w:val="0"/>
        <w:keepLines w:val="0"/>
        <w:widowControl/>
        <w:suppressLineNumbers w:val="0"/>
        <w:spacing w:before="0" w:beforeAutospacing="0" w:after="195" w:afterAutospacing="0" w:line="239" w:lineRule="atLeast"/>
        <w:ind w:left="0" w:right="0" w:firstLine="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十六、部门基本信息表</w:t>
      </w:r>
    </w:p>
    <w:p>
      <w:pPr>
        <w:pStyle w:val="2"/>
        <w:keepNext w:val="0"/>
        <w:keepLines w:val="0"/>
        <w:widowControl/>
        <w:suppressLineNumbers w:val="0"/>
        <w:spacing w:before="0" w:beforeAutospacing="0" w:after="195" w:afterAutospacing="0" w:line="239" w:lineRule="atLeast"/>
        <w:ind w:left="0" w:right="0" w:firstLine="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十七、行政事业单位资产情况表</w:t>
      </w:r>
    </w:p>
    <w:p>
      <w:pPr>
        <w:pStyle w:val="2"/>
        <w:keepNext w:val="0"/>
        <w:keepLines w:val="0"/>
        <w:widowControl/>
        <w:suppressLineNumbers w:val="0"/>
        <w:spacing w:before="0" w:beforeAutospacing="0" w:after="195" w:afterAutospacing="0" w:line="239" w:lineRule="atLeast"/>
        <w:ind w:left="0" w:right="0" w:firstLine="45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一、基本职能及主要工作</w:t>
      </w:r>
    </w:p>
    <w:p>
      <w:pPr>
        <w:pStyle w:val="2"/>
        <w:keepNext w:val="0"/>
        <w:keepLines w:val="0"/>
        <w:widowControl/>
        <w:suppressLineNumbers w:val="0"/>
        <w:spacing w:before="0" w:beforeAutospacing="0" w:after="195" w:afterAutospacing="0" w:line="239" w:lineRule="atLeast"/>
        <w:ind w:left="0" w:right="0" w:firstLine="3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（一）部门主要职责</w:t>
      </w:r>
    </w:p>
    <w:p>
      <w:pPr>
        <w:pStyle w:val="2"/>
        <w:keepNext w:val="0"/>
        <w:keepLines w:val="0"/>
        <w:widowControl/>
        <w:suppressLineNumbers w:val="0"/>
        <w:spacing w:before="0" w:beforeAutospacing="0" w:after="0" w:afterAutospacing="0" w:line="600" w:lineRule="atLeast"/>
        <w:ind w:left="0" w:right="0" w:firstLine="645"/>
        <w:jc w:val="both"/>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（1）贯彻执行国家、省、市文化和旅游工作的方针政策，研究拟订全区文化和旅游政策措施。</w:t>
      </w:r>
    </w:p>
    <w:p>
      <w:pPr>
        <w:pStyle w:val="2"/>
        <w:keepNext w:val="0"/>
        <w:keepLines w:val="0"/>
        <w:widowControl/>
        <w:suppressLineNumbers w:val="0"/>
        <w:spacing w:before="0" w:beforeAutospacing="0" w:after="0" w:afterAutospacing="0" w:line="600" w:lineRule="atLeast"/>
        <w:ind w:left="0" w:right="0" w:firstLine="645"/>
        <w:jc w:val="both"/>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（2）统筹规划全区文化事业、文化产业和旅游业发展，拟订发展规划并组织实施，推进文化和旅游融合发展，推进文化和旅游体制机制改革。</w:t>
      </w:r>
    </w:p>
    <w:p>
      <w:pPr>
        <w:pStyle w:val="2"/>
        <w:keepNext w:val="0"/>
        <w:keepLines w:val="0"/>
        <w:widowControl/>
        <w:suppressLineNumbers w:val="0"/>
        <w:spacing w:before="0" w:beforeAutospacing="0" w:after="0" w:afterAutospacing="0" w:line="600" w:lineRule="atLeast"/>
        <w:ind w:left="0" w:right="0" w:firstLine="645"/>
        <w:jc w:val="both"/>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3）组织、协调全区性重大文化艺术活动，负责全区重点文化设施建设，组织全区旅游整体形象推广，促进全区文化产业和旅游产业对外合作和国际、国内市场推广，制定旅游市场开发战略并组织实施，推进全域旅游。</w:t>
      </w:r>
    </w:p>
    <w:p>
      <w:pPr>
        <w:pStyle w:val="2"/>
        <w:keepNext w:val="0"/>
        <w:keepLines w:val="0"/>
        <w:widowControl/>
        <w:suppressLineNumbers w:val="0"/>
        <w:spacing w:before="0" w:beforeAutospacing="0" w:after="0" w:afterAutospacing="0" w:line="600" w:lineRule="atLeast"/>
        <w:ind w:left="0" w:right="0" w:firstLine="645"/>
        <w:jc w:val="both"/>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（4）指导、管理文艺事业，指导艺术创作生产，扶持体现社会主义核心价值观、具有导向性代表性示范性的文艺作品，推动各门类艺术、各艺术品种发展。</w:t>
      </w:r>
    </w:p>
    <w:p>
      <w:pPr>
        <w:pStyle w:val="2"/>
        <w:keepNext w:val="0"/>
        <w:keepLines w:val="0"/>
        <w:widowControl/>
        <w:suppressLineNumbers w:val="0"/>
        <w:spacing w:before="0" w:beforeAutospacing="0" w:after="0" w:afterAutospacing="0" w:line="600" w:lineRule="atLeast"/>
        <w:ind w:left="0" w:right="0" w:firstLine="645"/>
        <w:jc w:val="both"/>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（5）负责公共文化事业发展，推进全区公共文化服务体系建设和旅游公共服务建设，深入实施文化惠民工程，统筹推进基本公共文化服务标准化、均等化。</w:t>
      </w:r>
    </w:p>
    <w:p>
      <w:pPr>
        <w:pStyle w:val="2"/>
        <w:keepNext w:val="0"/>
        <w:keepLines w:val="0"/>
        <w:widowControl/>
        <w:suppressLineNumbers w:val="0"/>
        <w:spacing w:before="0" w:beforeAutospacing="0" w:after="0" w:afterAutospacing="0" w:line="600" w:lineRule="atLeast"/>
        <w:ind w:left="0" w:right="0" w:firstLine="645"/>
        <w:jc w:val="both"/>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（6）指导、推进文化和旅游科技创新发展，推进文化和旅游行业信息化、标准化建设，负责全区智慧旅游建设。</w:t>
      </w:r>
    </w:p>
    <w:p>
      <w:pPr>
        <w:pStyle w:val="2"/>
        <w:keepNext w:val="0"/>
        <w:keepLines w:val="0"/>
        <w:widowControl/>
        <w:suppressLineNumbers w:val="0"/>
        <w:spacing w:before="0" w:beforeAutospacing="0" w:after="0" w:afterAutospacing="0" w:line="600" w:lineRule="atLeast"/>
        <w:ind w:left="0" w:right="0" w:firstLine="645"/>
        <w:jc w:val="both"/>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（7）负责非物质文化遗产保护工作，推动非物质文化遗产的保护、传承、普及、弘扬和振兴。</w:t>
      </w:r>
    </w:p>
    <w:p>
      <w:pPr>
        <w:pStyle w:val="2"/>
        <w:keepNext w:val="0"/>
        <w:keepLines w:val="0"/>
        <w:widowControl/>
        <w:suppressLineNumbers w:val="0"/>
        <w:spacing w:before="0" w:beforeAutospacing="0" w:after="0" w:afterAutospacing="0" w:line="600" w:lineRule="atLeast"/>
        <w:ind w:left="0" w:right="0" w:firstLine="645"/>
        <w:jc w:val="both"/>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（8）拟订文物、博物馆事业发展规划并组织实施，管理、指导文物、博物工作。</w:t>
      </w:r>
    </w:p>
    <w:p>
      <w:pPr>
        <w:pStyle w:val="2"/>
        <w:keepNext w:val="0"/>
        <w:keepLines w:val="0"/>
        <w:widowControl/>
        <w:suppressLineNumbers w:val="0"/>
        <w:spacing w:before="0" w:beforeAutospacing="0" w:after="0" w:afterAutospacing="0" w:line="600" w:lineRule="atLeast"/>
        <w:ind w:left="0" w:right="0" w:firstLine="645"/>
        <w:jc w:val="both"/>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（9）统筹规划文化产业和旅游产业，组织实施文化和旅游资源普查、挖掘、保护和利用工作，促进</w:t>
      </w:r>
      <w:r>
        <w:rPr>
          <w:rFonts w:hint="eastAsia" w:ascii="仿宋" w:hAnsi="仿宋" w:eastAsia="仿宋" w:cs="仿宋"/>
          <w:i w:val="0"/>
          <w:caps w:val="0"/>
          <w:color w:val="000000"/>
          <w:spacing w:val="-15"/>
          <w:sz w:val="28"/>
          <w:szCs w:val="28"/>
        </w:rPr>
        <w:t>文化产业和旅游产业发展。</w:t>
      </w:r>
    </w:p>
    <w:p>
      <w:pPr>
        <w:pStyle w:val="2"/>
        <w:keepNext w:val="0"/>
        <w:keepLines w:val="0"/>
        <w:widowControl/>
        <w:suppressLineNumbers w:val="0"/>
        <w:spacing w:before="0" w:beforeAutospacing="0" w:after="0" w:afterAutospacing="0" w:line="600" w:lineRule="atLeast"/>
        <w:ind w:left="0" w:right="0" w:firstLine="645"/>
        <w:jc w:val="both"/>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（10）指导文化和旅游市场发展，对文化和旅游市场经营进行行业监管，推进文化和旅游行业信用体系建设，依法规范文化和旅游市场。</w:t>
      </w:r>
    </w:p>
    <w:p>
      <w:pPr>
        <w:pStyle w:val="2"/>
        <w:keepNext w:val="0"/>
        <w:keepLines w:val="0"/>
        <w:widowControl/>
        <w:suppressLineNumbers w:val="0"/>
        <w:spacing w:before="0" w:beforeAutospacing="0" w:after="0" w:afterAutospacing="0" w:line="600" w:lineRule="atLeast"/>
        <w:ind w:left="0" w:right="0" w:firstLine="645"/>
        <w:jc w:val="both"/>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（11）指导全区文化和旅游综合行政执法工作，组织查处文化、文物、出版、电影、旅游等市场的违法行为，维护市场秩序，负责本行业领域的安全生产监管工作。</w:t>
      </w:r>
    </w:p>
    <w:p>
      <w:pPr>
        <w:pStyle w:val="2"/>
        <w:keepNext w:val="0"/>
        <w:keepLines w:val="0"/>
        <w:widowControl/>
        <w:suppressLineNumbers w:val="0"/>
        <w:spacing w:before="0" w:beforeAutospacing="0" w:after="0" w:afterAutospacing="0" w:line="600" w:lineRule="atLeast"/>
        <w:ind w:left="0" w:right="0" w:firstLine="645"/>
        <w:jc w:val="both"/>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（12）负责全区文化艺术和旅游人才队伍建设，加强中青年文化艺术人才和少数民族文化艺术人才培养，开展文化艺术及旅游人才技能培训。</w:t>
      </w:r>
    </w:p>
    <w:p>
      <w:pPr>
        <w:pStyle w:val="2"/>
        <w:keepNext w:val="0"/>
        <w:keepLines w:val="0"/>
        <w:widowControl/>
        <w:suppressLineNumbers w:val="0"/>
        <w:spacing w:before="0" w:beforeAutospacing="0" w:after="0" w:afterAutospacing="0" w:line="600" w:lineRule="atLeast"/>
        <w:ind w:left="0" w:right="0" w:firstLine="645"/>
        <w:jc w:val="both"/>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（13）完成区委、区政府和上级部门交办的其他任务。</w:t>
      </w:r>
    </w:p>
    <w:p>
      <w:pPr>
        <w:pStyle w:val="2"/>
        <w:keepNext w:val="0"/>
        <w:keepLines w:val="0"/>
        <w:widowControl/>
        <w:suppressLineNumbers w:val="0"/>
        <w:spacing w:before="0" w:beforeAutospacing="0" w:after="195" w:afterAutospacing="0" w:line="239" w:lineRule="atLeast"/>
        <w:ind w:left="0" w:right="0" w:firstLine="3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（二）机构设置情况</w:t>
      </w:r>
    </w:p>
    <w:p>
      <w:pPr>
        <w:pStyle w:val="2"/>
        <w:keepNext w:val="0"/>
        <w:keepLines w:val="0"/>
        <w:widowControl/>
        <w:suppressLineNumbers w:val="0"/>
        <w:spacing w:before="0" w:beforeAutospacing="0" w:after="0" w:afterAutospacing="0" w:line="600" w:lineRule="atLeast"/>
        <w:ind w:left="0" w:right="0" w:firstLine="645"/>
        <w:jc w:val="both"/>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1）办公室。负责机关日常运转工作。组织协调局机关和所属事业单位业务，督促重大事项的落实。承担文电、会务、档案、信息、机要保密、信访、综合考评、劳资人事、干部管理、后勤保障、人大代表建议及政协提案统筹办理工作。负责局机关党群和党务工作。</w:t>
      </w:r>
    </w:p>
    <w:p>
      <w:pPr>
        <w:pStyle w:val="2"/>
        <w:keepNext w:val="0"/>
        <w:keepLines w:val="0"/>
        <w:widowControl/>
        <w:suppressLineNumbers w:val="0"/>
        <w:spacing w:before="0" w:beforeAutospacing="0" w:after="0" w:afterAutospacing="0" w:line="600" w:lineRule="atLeast"/>
        <w:ind w:left="0" w:right="0" w:firstLine="645"/>
        <w:jc w:val="both"/>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2）法规宣传科。宣传贯彻文化和旅游法律法规、政府规章和政策，配合重要政策调研工作。承担文化和旅游领域体制机制深化改革任务。开展法律法规宣传教育。承担机关行政诉讼工作。承担机关重大行政决策、规范性文件、重大行政执法决定的合法性审查和法制审核工作。拟订全区文化和旅游宣传推广政策和发展规划并组织实施。统筹全区文化和旅游领域宣传推广工作。负责统筹协调开展大型文化和旅游活动，研究培育全区特色文化和旅游活动新品牌。承担依法行政、新闻宣传、政务公开、综治维稳、法制建设等工作。完成领导交办的其他各项任务。</w:t>
      </w:r>
    </w:p>
    <w:p>
      <w:pPr>
        <w:pStyle w:val="2"/>
        <w:keepNext w:val="0"/>
        <w:keepLines w:val="0"/>
        <w:widowControl/>
        <w:suppressLineNumbers w:val="0"/>
        <w:spacing w:before="0" w:beforeAutospacing="0" w:after="0" w:afterAutospacing="0" w:line="600" w:lineRule="atLeast"/>
        <w:ind w:left="0" w:right="0" w:firstLine="645"/>
        <w:jc w:val="both"/>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3）财务科。负责部门预算和有关财政资金管理工作。参与拟订经费筹集、使用和管理的办法和制度。监督各项经费的投入和使用情况。负责局机关财务、资产管理，指导、监督所属各事业单位财务、资产管理工作。承担机关和直属单位内部审计、政府采购、内控等工作。完成领导交办的其他各项任务。</w:t>
      </w:r>
    </w:p>
    <w:p>
      <w:pPr>
        <w:pStyle w:val="2"/>
        <w:keepNext w:val="0"/>
        <w:keepLines w:val="0"/>
        <w:widowControl/>
        <w:suppressLineNumbers w:val="0"/>
        <w:spacing w:before="0" w:beforeAutospacing="0" w:after="0" w:afterAutospacing="0" w:line="600" w:lineRule="atLeast"/>
        <w:ind w:left="0" w:right="0" w:firstLine="645"/>
        <w:jc w:val="both"/>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4）公共文化科。贯彻落实上级有关文化方针政策，承担全区文化公共服务的指导、协调和推动工作。协调、推进文化公共设施建设。拟订文化公共服务标准并监督实施。深入实施文化惠民工程，统筹推进基本公共文化服务标准化、均等化。指导图书馆、文化馆事业和基层综合性文化服务中心建设。拟订非物质文化遗产保护、文物、博物馆事业发展规划并组织实施，管理、指导非物质文化遗产保护、文物、博物工作。扶持体现社会主义核心价值观、具有导向性代表性示范性的文艺作品创作和生产。拟订文艺人才队伍建设规划并组织实施。完成领导交办的其他各项任务。</w:t>
      </w:r>
    </w:p>
    <w:p>
      <w:pPr>
        <w:pStyle w:val="2"/>
        <w:keepNext w:val="0"/>
        <w:keepLines w:val="0"/>
        <w:widowControl/>
        <w:suppressLineNumbers w:val="0"/>
        <w:spacing w:before="0" w:beforeAutospacing="0" w:after="0" w:afterAutospacing="0" w:line="600" w:lineRule="atLeast"/>
        <w:ind w:left="0" w:right="0" w:firstLine="645"/>
        <w:jc w:val="both"/>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5）旅游发展科。贯彻落实上级有关旅游方针政策，承担全区旅游公共服务的指导、协调和推动工作。协调、推进旅游公共设施建设。负责全区旅游大数据、综合服务平台、综合管理平台建设。组织开展智慧旅游工作。承担旅游资源开发和保护指导、推进全域旅游。负责重点旅游区域、目的地、旅游线路的规划和乡村旅游、工农业旅游、旅游厕所革命等相关工作。承担旅游经济运行监测、假日旅游市场监管工作，指导生态旅游发展和旅游扶贫工作。完成领导交办的其他各项任务。</w:t>
      </w:r>
    </w:p>
    <w:p>
      <w:pPr>
        <w:pStyle w:val="2"/>
        <w:keepNext w:val="0"/>
        <w:keepLines w:val="0"/>
        <w:widowControl/>
        <w:suppressLineNumbers w:val="0"/>
        <w:spacing w:before="0" w:beforeAutospacing="0" w:after="0" w:afterAutospacing="0" w:line="600" w:lineRule="atLeast"/>
        <w:ind w:left="0" w:right="0" w:firstLine="645"/>
        <w:jc w:val="both"/>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6）产业规划科。拟订全区文化和旅游产业政策和发展专项规划并组织实施。承担文化、旅游固定资产投资和招商引资工作。促进文化、旅游产业融合发展。指导全区文化和旅游重点项目建设。拟订全区文化和旅游交流合作计划并组织实施。承担文化和旅游资源普查、规划工作。指导文化和旅游产品创新及开发体系建设。负责全区文化和旅游发展数据统计、分析工作。完成领导交办的其他各项任务。</w:t>
      </w:r>
    </w:p>
    <w:p>
      <w:pPr>
        <w:pStyle w:val="2"/>
        <w:keepNext w:val="0"/>
        <w:keepLines w:val="0"/>
        <w:widowControl/>
        <w:suppressLineNumbers w:val="0"/>
        <w:spacing w:before="0" w:beforeAutospacing="0" w:after="0" w:afterAutospacing="0" w:line="600" w:lineRule="atLeast"/>
        <w:ind w:left="0" w:right="0" w:firstLine="645"/>
        <w:jc w:val="both"/>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7）市场管理科（加挂行政审批科牌子）。对文化和旅游市场经营进行行业监管。监管文化和旅游市场服务质量，指导服务质量提升。承担文化和旅游行业信用体系建设工作。贯彻落实文化和旅游市场经营场所、设施、服务、产品等标准并组织实施。指导文化和旅游行业社会组织体系建设，推动行业协会开展自律管理。指导全区文化和旅游综合行政执法工作，组织查处文化、文物、旅游等市场的违法行为，维护市场秩序。承担行业安全综合协调和监督管理。负责行政审批工作，统筹协调“放管服”改革工作。完成领导交办的其他各项任务。</w:t>
      </w:r>
    </w:p>
    <w:p>
      <w:pPr>
        <w:pStyle w:val="2"/>
        <w:keepNext w:val="0"/>
        <w:keepLines w:val="0"/>
        <w:widowControl/>
        <w:suppressLineNumbers w:val="0"/>
        <w:spacing w:before="0" w:beforeAutospacing="0" w:after="195" w:afterAutospacing="0" w:line="239" w:lineRule="atLeast"/>
        <w:ind w:left="0" w:right="0" w:firstLine="3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（三）重点工作概述</w:t>
      </w:r>
    </w:p>
    <w:p>
      <w:pPr>
        <w:pStyle w:val="2"/>
        <w:keepNext w:val="0"/>
        <w:keepLines w:val="0"/>
        <w:widowControl/>
        <w:suppressLineNumbers w:val="0"/>
        <w:spacing w:before="0" w:beforeAutospacing="0" w:after="195" w:afterAutospacing="0" w:line="525" w:lineRule="atLeast"/>
        <w:ind w:left="0" w:right="0" w:firstLine="315"/>
        <w:jc w:val="both"/>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1、启动基础设施完善规划。将区级综合文体活动中心建设列入工作重要议事日程，提前谋划和规划，加强统筹协调，争取在“十三五”期间完成北市区区级综合文体活动中心（含“五馆”）规划立项。 “十四五”完成规模适当、功能齐全、布局合理，集文化、体育活动场所于一体的区级综合文体活动中心（含“五馆”）建设，切实改变盘龙区“五馆”建设滞后的问题。</w:t>
      </w:r>
    </w:p>
    <w:p>
      <w:pPr>
        <w:pStyle w:val="2"/>
        <w:keepNext w:val="0"/>
        <w:keepLines w:val="0"/>
        <w:widowControl/>
        <w:suppressLineNumbers w:val="0"/>
        <w:spacing w:before="0" w:beforeAutospacing="0" w:after="195" w:afterAutospacing="0" w:line="525" w:lineRule="atLeast"/>
        <w:ind w:left="0" w:right="0" w:firstLine="315"/>
        <w:jc w:val="both"/>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2、狠抓文化站室达标建设。市委、市政府每年把基层综合性文化服务中心达标建设列入年度主要工作目标进行督办“军令状”，全力抓好“十三五”文化站室达标建设势在必行。将根据《关于加快构建现代公共文化服务体系的意见》（[2015]中办发2号）和省、市《意见》，以及省、市《基层综合性文化服务中心建设实施方案》等文件精神，以街道为实施主体，主动与发改、规划、城改、财政、民政、环保等相关街道沟通对接，及时向区委区政府报告工作进展和困难，力争在2020年前完成全部达标。</w:t>
      </w:r>
    </w:p>
    <w:p>
      <w:pPr>
        <w:pStyle w:val="2"/>
        <w:keepNext w:val="0"/>
        <w:keepLines w:val="0"/>
        <w:widowControl/>
        <w:suppressLineNumbers w:val="0"/>
        <w:spacing w:before="0" w:beforeAutospacing="0" w:after="195" w:afterAutospacing="0" w:line="525" w:lineRule="atLeast"/>
        <w:ind w:left="0" w:right="0" w:firstLine="315"/>
        <w:jc w:val="both"/>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3、实施24小时城市书房试点建设。开展城市书房示范店建设3个（150-300㎡）、小型个性化智能书房5个（30-50㎡）；对已建成的5个街道分馆进行提档升级，对盘龙辖区较成熟的25个社区农家书屋进行提档升级。打造一批文化精神地标，为广大市民点亮一盏阅读之灯，提升盘龙区文化内涵，营造书香盘龙的氛围，引领昆明文化新风尚。</w:t>
      </w:r>
    </w:p>
    <w:p>
      <w:pPr>
        <w:pStyle w:val="2"/>
        <w:keepNext w:val="0"/>
        <w:keepLines w:val="0"/>
        <w:widowControl/>
        <w:suppressLineNumbers w:val="0"/>
        <w:spacing w:before="0" w:beforeAutospacing="0" w:after="195" w:afterAutospacing="0" w:line="600" w:lineRule="atLeast"/>
        <w:ind w:left="0" w:right="0" w:firstLine="315"/>
        <w:jc w:val="both"/>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4、加快盘龙区旅游产业转型升级。充分借助“一部手机游云南”平台，健全旅游服务的标准体系、监管体系、诚信体系、投诉体系，建立企业信誉等级评价、重大信息公告、消费投诉信息和违规记录公示制度；严厉打击扰乱旅游市场秩序的违法违规行为，切实维护旅游者合法权益；有效促进旅游产业发展，打造全域旅游，突出盘龙亮点，加快实现盘龙区旅游转型升级。</w:t>
      </w:r>
    </w:p>
    <w:p>
      <w:pPr>
        <w:pStyle w:val="2"/>
        <w:keepNext w:val="0"/>
        <w:keepLines w:val="0"/>
        <w:widowControl/>
        <w:suppressLineNumbers w:val="0"/>
        <w:spacing w:before="0" w:beforeAutospacing="0" w:after="195" w:afterAutospacing="0" w:line="600" w:lineRule="atLeast"/>
        <w:ind w:left="0" w:right="0" w:firstLine="315"/>
        <w:jc w:val="both"/>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5、加快夜间经济示范点打造。进一步对有夜间经济发展条件的区域实施环境提升和亮化改造，加快完善交通等基础配套条件，着力加强管理的针对性，规划和打造能体现盘龙文化、丰富都市生活、形成城市品牌、有效扩大消费的夜间经济载体，推动商业设施、旅游景区、夜间经济街区“点、线、面”相结合，合理延伸昼间经济形态，加快提升夜间经济活力和规模，不断满足人民日益增长的美好生活需要。</w:t>
      </w:r>
    </w:p>
    <w:p>
      <w:pPr>
        <w:pStyle w:val="2"/>
        <w:keepNext w:val="0"/>
        <w:keepLines w:val="0"/>
        <w:widowControl/>
        <w:suppressLineNumbers w:val="0"/>
        <w:spacing w:before="0" w:beforeAutospacing="0" w:after="195" w:afterAutospacing="0" w:line="600" w:lineRule="atLeast"/>
        <w:ind w:left="0" w:right="0" w:firstLine="315"/>
        <w:jc w:val="both"/>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6、加快推进盘龙区城市绿道建设。结合盘龙区实际情况，按照近期、中期、远期三段式分期规划实施模式，营造结构合理、衔接有序、连通便捷，类型多样的绿道网络。以自然生态景观为主线，优化整合区域自然生态格局与生态资源，保护区域生态资源的完整性；以人文游览为主线，串联承载城市历史文脉，弘扬城市人文精神，激发城市空间活力；以慢行系统为主线，为城市居民提供游憩、娱乐的绿色开敞空间，改善城市人居环境，引领绿色健康的生活方式。将绿道系统打造成盘龙区绿色发展的新载体，以绿色廊道保护和串联生态环境、人文景观、自然景观和地方风貌，同时，推动盘龙区城市发展方式和生活方式的转变，增加人口集聚力和吸引力，提高绿道周边土地的复合功能和综合价值。依托盘龙江、金汁河、东干渠-东三环，结合城中村改造项目争取启动盘龙区绿道建设近期项目建设。</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二、预算单位基本情况</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我部门编制2020年部门预算单位共5个,分别是盘龙区文化和旅游局、盘龙区文化和旅游综合执法大队、昆明少年儿童图书馆、盘龙区文化馆、盘龙区文管所。其中：财政全供给单位5个；部分供给单位0个；特殊供给单位0个；</w:t>
      </w:r>
      <w:bookmarkStart w:id="1" w:name="_GoBack"/>
      <w:bookmarkEnd w:id="1"/>
      <w:r>
        <w:rPr>
          <w:rFonts w:hint="eastAsia" w:ascii="仿宋" w:hAnsi="仿宋" w:eastAsia="仿宋" w:cs="仿宋"/>
          <w:i w:val="0"/>
          <w:caps w:val="0"/>
          <w:color w:val="000000"/>
          <w:spacing w:val="0"/>
          <w:sz w:val="28"/>
          <w:szCs w:val="28"/>
        </w:rPr>
        <w:t>自收自支单位0个。财政全供给单位中行政单位1个；参公管理事业单位1个；非参公管理事业单位3个。截止2019年11月统计，部门基本情况如下：</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在职人员编制82人，其中：行政编制 35人，事业编制40人。在职实有65人，其中：财政全供养 65人，财政部分供养0人，非财政供养0人。</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离退休人员 44人，其中：离休 0人，退休 44人。</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车辆编制2辆，实有车辆2辆。</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三、预算单位收入情况</w:t>
      </w:r>
    </w:p>
    <w:p>
      <w:pPr>
        <w:pStyle w:val="2"/>
        <w:keepNext w:val="0"/>
        <w:keepLines w:val="0"/>
        <w:widowControl/>
        <w:suppressLineNumbers w:val="0"/>
        <w:spacing w:before="0" w:beforeAutospacing="0" w:after="195" w:afterAutospacing="0" w:line="239" w:lineRule="atLeast"/>
        <w:ind w:left="0" w:right="0" w:firstLine="45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（一）部门财务收入情况</w:t>
      </w:r>
    </w:p>
    <w:p>
      <w:pPr>
        <w:pStyle w:val="2"/>
        <w:keepNext w:val="0"/>
        <w:keepLines w:val="0"/>
        <w:widowControl/>
        <w:suppressLineNumbers w:val="0"/>
        <w:spacing w:before="0" w:beforeAutospacing="0" w:after="195" w:afterAutospacing="0" w:line="239" w:lineRule="atLeast"/>
        <w:ind w:left="0" w:right="0" w:firstLine="75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2020年部门财务总收入 3370万元，其中：一般公共预算财政拨款3370万元，政府性基金预算财政拨款0万元，国有资本经营预算财政拨款0万元，事业收入0万元，事业单位经营收入0万元，其他收入0万元，上年结转0万元。</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与上年对比减少677万元，主要原因分析是2019年机改体育划出我局，相应人员经费、项目经费也随之划出。</w:t>
      </w:r>
    </w:p>
    <w:p>
      <w:pPr>
        <w:pStyle w:val="2"/>
        <w:keepNext w:val="0"/>
        <w:keepLines w:val="0"/>
        <w:widowControl/>
        <w:suppressLineNumbers w:val="0"/>
        <w:spacing w:before="0" w:beforeAutospacing="0" w:after="195" w:afterAutospacing="0" w:line="239" w:lineRule="atLeast"/>
        <w:ind w:left="0" w:right="0" w:firstLine="45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（二）财政拨款收入情况</w:t>
      </w:r>
    </w:p>
    <w:p>
      <w:pPr>
        <w:pStyle w:val="2"/>
        <w:keepNext w:val="0"/>
        <w:keepLines w:val="0"/>
        <w:widowControl/>
        <w:suppressLineNumbers w:val="0"/>
        <w:spacing w:before="0" w:beforeAutospacing="0" w:after="195" w:afterAutospacing="0" w:line="239" w:lineRule="atLeast"/>
        <w:ind w:left="0" w:right="0" w:firstLine="75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2020年部门财政拨款收入 3370万元，其中:本年收入3370万元，上年结转收入0万元。本年收入中，一般公共预算财政拨款3370万元</w:t>
      </w:r>
      <w:r>
        <w:rPr>
          <w:rFonts w:hint="eastAsia" w:ascii="仿宋" w:hAnsi="仿宋" w:eastAsia="仿宋" w:cs="仿宋"/>
          <w:i w:val="0"/>
          <w:caps w:val="0"/>
          <w:color w:val="000000"/>
          <w:spacing w:val="0"/>
          <w:sz w:val="28"/>
          <w:szCs w:val="28"/>
          <w:lang w:eastAsia="zh-CN"/>
        </w:rPr>
        <w:t>，</w:t>
      </w:r>
      <w:r>
        <w:rPr>
          <w:rFonts w:hint="eastAsia" w:ascii="仿宋" w:hAnsi="仿宋" w:eastAsia="仿宋" w:cs="仿宋"/>
          <w:i w:val="0"/>
          <w:caps w:val="0"/>
          <w:color w:val="000000"/>
          <w:spacing w:val="0"/>
          <w:sz w:val="28"/>
          <w:szCs w:val="28"/>
        </w:rPr>
        <w:t>本级财力3370万元，专项收入0万元，执法办案补助0万元，收费成本补偿0万元，财政专户管理的收入0万元，国有资源（资产）有偿使用收入0万元），政府性基金财政拨款0万元，国有资本经营预算财政拨款0万元。</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与上年对比减少677万元，主要原因分析是2019年机改体育划出我局，相应人员经费、项目经费也随之划出。</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四、预算单位支出情况</w:t>
      </w:r>
    </w:p>
    <w:p>
      <w:pPr>
        <w:pStyle w:val="2"/>
        <w:keepNext w:val="0"/>
        <w:keepLines w:val="0"/>
        <w:widowControl/>
        <w:suppressLineNumbers w:val="0"/>
        <w:spacing w:before="0" w:beforeAutospacing="0" w:after="195" w:afterAutospacing="0" w:line="239" w:lineRule="atLeast"/>
        <w:ind w:right="0" w:firstLine="560" w:firstLineChars="2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2020年部门预算总支出 3370万元。财政拨款安排支出 3370万元，其中：基本支出1331万元，与上年对比减少612万元，主要原因分析是2019年机改体育职能划出；项目支出2039万元，与上年对比减少101万元，主要原因分析是机改体育划出，所涉项目经费一并划出。</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功能科目分组，科技成果转18万元，用于大楼网络维护及上网费。文化和旅游支出 3018万元，主要用于文化旅游业务活动，及在职退休人员经费。社会和保障支出127万元、主要用于全系统人员社会保障支出，卫生健康122万元主要用于系统职工医疗保险支出，住房公积金99.5万元用于保障职工住房补贴开支。</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（一）财政拨款安排支出按功能科目分类情况</w:t>
      </w:r>
    </w:p>
    <w:p>
      <w:pPr>
        <w:pStyle w:val="2"/>
        <w:keepNext w:val="0"/>
        <w:keepLines w:val="0"/>
        <w:widowControl/>
        <w:suppressLineNumbers w:val="0"/>
        <w:spacing w:before="0" w:beforeAutospacing="0" w:after="195" w:afterAutospacing="0" w:line="239" w:lineRule="atLeast"/>
        <w:ind w:right="0" w:firstLine="560" w:firstLineChars="2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支出分别列“五大类。</w:t>
      </w:r>
    </w:p>
    <w:p>
      <w:pPr>
        <w:pStyle w:val="2"/>
        <w:keepNext w:val="0"/>
        <w:keepLines w:val="0"/>
        <w:widowControl/>
        <w:suppressLineNumbers w:val="0"/>
        <w:spacing w:before="0" w:beforeAutospacing="0" w:after="195" w:afterAutospacing="0" w:line="239" w:lineRule="atLeast"/>
        <w:ind w:left="0" w:right="0" w:firstLine="600"/>
        <w:rPr>
          <w:rFonts w:hint="default" w:ascii="仿宋" w:hAnsi="仿宋" w:eastAsia="仿宋" w:cs="仿宋"/>
          <w:i w:val="0"/>
          <w:caps w:val="0"/>
          <w:color w:val="000000"/>
          <w:spacing w:val="0"/>
          <w:sz w:val="28"/>
          <w:szCs w:val="28"/>
          <w:lang w:val="en-US" w:eastAsia="zh-CN"/>
        </w:rPr>
      </w:pPr>
      <w:r>
        <w:rPr>
          <w:rFonts w:hint="eastAsia" w:ascii="仿宋" w:hAnsi="仿宋" w:eastAsia="仿宋" w:cs="仿宋"/>
          <w:i w:val="0"/>
          <w:caps w:val="0"/>
          <w:color w:val="000000"/>
          <w:spacing w:val="0"/>
          <w:sz w:val="28"/>
          <w:szCs w:val="28"/>
        </w:rPr>
        <w:t>206类科技成果18万元，用于大楼网络维护及上网费。</w:t>
      </w:r>
      <w:r>
        <w:rPr>
          <w:rFonts w:hint="eastAsia" w:ascii="仿宋" w:hAnsi="仿宋" w:eastAsia="仿宋" w:cs="仿宋"/>
          <w:i w:val="0"/>
          <w:caps w:val="0"/>
          <w:color w:val="000000"/>
          <w:spacing w:val="0"/>
          <w:sz w:val="28"/>
          <w:szCs w:val="28"/>
          <w:lang w:val="en-US" w:eastAsia="zh-CN"/>
        </w:rPr>
        <w:t>主要针对网络宽带及相关网线设备的维护，及电信网络费。</w:t>
      </w:r>
    </w:p>
    <w:p>
      <w:pPr>
        <w:pStyle w:val="2"/>
        <w:keepNext w:val="0"/>
        <w:keepLines w:val="0"/>
        <w:widowControl/>
        <w:suppressLineNumbers w:val="0"/>
        <w:spacing w:before="0" w:beforeAutospacing="0" w:after="195" w:afterAutospacing="0" w:line="239" w:lineRule="atLeast"/>
        <w:ind w:left="0" w:right="0" w:firstLine="600"/>
        <w:rPr>
          <w:rFonts w:hint="default" w:ascii="仿宋" w:hAnsi="仿宋" w:eastAsia="仿宋" w:cs="仿宋"/>
          <w:i w:val="0"/>
          <w:caps w:val="0"/>
          <w:color w:val="000000"/>
          <w:spacing w:val="0"/>
          <w:sz w:val="28"/>
          <w:szCs w:val="28"/>
          <w:lang w:val="en-US" w:eastAsia="zh-CN"/>
        </w:rPr>
      </w:pPr>
      <w:r>
        <w:rPr>
          <w:rFonts w:hint="eastAsia" w:ascii="仿宋" w:hAnsi="仿宋" w:eastAsia="仿宋" w:cs="仿宋"/>
          <w:i w:val="0"/>
          <w:caps w:val="0"/>
          <w:color w:val="000000"/>
          <w:spacing w:val="0"/>
          <w:sz w:val="28"/>
          <w:szCs w:val="28"/>
        </w:rPr>
        <w:t>207类文化旅游3018万元，用于文化与旅游的业务工作及人员经费</w:t>
      </w:r>
      <w:r>
        <w:rPr>
          <w:rFonts w:hint="eastAsia" w:ascii="仿宋" w:hAnsi="仿宋" w:eastAsia="仿宋" w:cs="仿宋"/>
          <w:i w:val="0"/>
          <w:caps w:val="0"/>
          <w:color w:val="000000"/>
          <w:spacing w:val="0"/>
          <w:sz w:val="28"/>
          <w:szCs w:val="28"/>
          <w:lang w:eastAsia="zh-CN"/>
        </w:rPr>
        <w:t>。</w:t>
      </w:r>
    </w:p>
    <w:p>
      <w:pPr>
        <w:pStyle w:val="2"/>
        <w:keepNext w:val="0"/>
        <w:keepLines w:val="0"/>
        <w:widowControl/>
        <w:suppressLineNumbers w:val="0"/>
        <w:spacing w:before="0" w:beforeAutospacing="0" w:after="195" w:afterAutospacing="0" w:line="239" w:lineRule="atLeast"/>
        <w:ind w:left="0" w:right="0" w:firstLine="600"/>
        <w:rPr>
          <w:rFonts w:hint="default" w:ascii="仿宋" w:hAnsi="仿宋" w:eastAsia="仿宋" w:cs="仿宋"/>
          <w:i w:val="0"/>
          <w:caps w:val="0"/>
          <w:color w:val="000000"/>
          <w:spacing w:val="0"/>
          <w:sz w:val="28"/>
          <w:szCs w:val="28"/>
          <w:lang w:val="en-US" w:eastAsia="zh-CN"/>
        </w:rPr>
      </w:pPr>
      <w:r>
        <w:rPr>
          <w:rFonts w:hint="eastAsia" w:ascii="仿宋" w:hAnsi="仿宋" w:eastAsia="仿宋" w:cs="仿宋"/>
          <w:i w:val="0"/>
          <w:caps w:val="0"/>
          <w:color w:val="000000"/>
          <w:spacing w:val="0"/>
          <w:sz w:val="28"/>
          <w:szCs w:val="28"/>
        </w:rPr>
        <w:t>208类社会保障支出127万元，用于职工社会保障支出。</w:t>
      </w:r>
      <w:r>
        <w:rPr>
          <w:rFonts w:hint="eastAsia" w:ascii="仿宋" w:hAnsi="仿宋" w:eastAsia="仿宋" w:cs="仿宋"/>
          <w:i w:val="0"/>
          <w:caps w:val="0"/>
          <w:color w:val="000000"/>
          <w:spacing w:val="0"/>
          <w:sz w:val="28"/>
          <w:szCs w:val="28"/>
          <w:lang w:val="en-US" w:eastAsia="zh-CN"/>
        </w:rPr>
        <w:t>养老保险、职业年金和失业保险等支出。</w:t>
      </w:r>
    </w:p>
    <w:p>
      <w:pPr>
        <w:pStyle w:val="2"/>
        <w:keepNext w:val="0"/>
        <w:keepLines w:val="0"/>
        <w:widowControl/>
        <w:suppressLineNumbers w:val="0"/>
        <w:spacing w:before="0" w:beforeAutospacing="0" w:after="195" w:afterAutospacing="0" w:line="239" w:lineRule="atLeast"/>
        <w:ind w:left="0" w:right="0" w:firstLine="600"/>
        <w:rPr>
          <w:rFonts w:hint="default" w:ascii="仿宋" w:hAnsi="仿宋" w:eastAsia="仿宋" w:cs="仿宋"/>
          <w:i w:val="0"/>
          <w:caps w:val="0"/>
          <w:color w:val="000000"/>
          <w:spacing w:val="0"/>
          <w:sz w:val="28"/>
          <w:szCs w:val="28"/>
          <w:lang w:val="en-US" w:eastAsia="zh-CN"/>
        </w:rPr>
      </w:pPr>
      <w:r>
        <w:rPr>
          <w:rFonts w:hint="eastAsia" w:ascii="仿宋" w:hAnsi="仿宋" w:eastAsia="仿宋" w:cs="仿宋"/>
          <w:i w:val="0"/>
          <w:caps w:val="0"/>
          <w:color w:val="000000"/>
          <w:spacing w:val="0"/>
          <w:sz w:val="28"/>
          <w:szCs w:val="28"/>
        </w:rPr>
        <w:t>210类医疗保障支出122万元，用于职工医疗保障支出</w:t>
      </w:r>
      <w:r>
        <w:rPr>
          <w:rFonts w:hint="eastAsia" w:ascii="仿宋" w:hAnsi="仿宋" w:eastAsia="仿宋" w:cs="仿宋"/>
          <w:i w:val="0"/>
          <w:caps w:val="0"/>
          <w:color w:val="000000"/>
          <w:spacing w:val="0"/>
          <w:sz w:val="28"/>
          <w:szCs w:val="28"/>
          <w:lang w:eastAsia="zh-CN"/>
        </w:rPr>
        <w:t>。</w:t>
      </w:r>
      <w:r>
        <w:rPr>
          <w:rFonts w:hint="eastAsia" w:ascii="仿宋" w:hAnsi="仿宋" w:eastAsia="仿宋" w:cs="仿宋"/>
          <w:i w:val="0"/>
          <w:caps w:val="0"/>
          <w:color w:val="000000"/>
          <w:spacing w:val="0"/>
          <w:sz w:val="28"/>
          <w:szCs w:val="28"/>
          <w:lang w:val="en-US" w:eastAsia="zh-CN"/>
        </w:rPr>
        <w:t>公务员医疗补助，基本医疗保险，重特病医疗保险等。</w:t>
      </w:r>
    </w:p>
    <w:p>
      <w:pPr>
        <w:pStyle w:val="2"/>
        <w:keepNext w:val="0"/>
        <w:keepLines w:val="0"/>
        <w:widowControl/>
        <w:suppressLineNumbers w:val="0"/>
        <w:spacing w:before="0" w:beforeAutospacing="0" w:after="195" w:afterAutospacing="0" w:line="239" w:lineRule="atLeast"/>
        <w:ind w:left="0" w:right="0" w:firstLine="600"/>
        <w:rPr>
          <w:rFonts w:hint="default" w:ascii="仿宋" w:hAnsi="仿宋" w:eastAsia="仿宋" w:cs="仿宋"/>
          <w:i w:val="0"/>
          <w:caps w:val="0"/>
          <w:color w:val="000000"/>
          <w:spacing w:val="0"/>
          <w:sz w:val="28"/>
          <w:szCs w:val="28"/>
          <w:lang w:val="en-US" w:eastAsia="zh-CN"/>
        </w:rPr>
      </w:pPr>
      <w:r>
        <w:rPr>
          <w:rFonts w:hint="eastAsia" w:ascii="仿宋" w:hAnsi="仿宋" w:eastAsia="仿宋" w:cs="仿宋"/>
          <w:i w:val="0"/>
          <w:caps w:val="0"/>
          <w:color w:val="000000"/>
          <w:spacing w:val="0"/>
          <w:sz w:val="28"/>
          <w:szCs w:val="28"/>
        </w:rPr>
        <w:t>221住房公积金99.5万元用于职工住房补助支出</w:t>
      </w:r>
      <w:r>
        <w:rPr>
          <w:rFonts w:hint="eastAsia" w:ascii="仿宋" w:hAnsi="仿宋" w:eastAsia="仿宋" w:cs="仿宋"/>
          <w:i w:val="0"/>
          <w:caps w:val="0"/>
          <w:color w:val="000000"/>
          <w:spacing w:val="0"/>
          <w:sz w:val="28"/>
          <w:szCs w:val="28"/>
          <w:lang w:eastAsia="zh-CN"/>
        </w:rPr>
        <w:t>。</w:t>
      </w:r>
      <w:r>
        <w:rPr>
          <w:rFonts w:hint="eastAsia" w:ascii="仿宋" w:hAnsi="仿宋" w:eastAsia="仿宋" w:cs="仿宋"/>
          <w:i w:val="0"/>
          <w:caps w:val="0"/>
          <w:color w:val="000000"/>
          <w:spacing w:val="0"/>
          <w:sz w:val="28"/>
          <w:szCs w:val="28"/>
          <w:lang w:val="en-US" w:eastAsia="zh-CN"/>
        </w:rPr>
        <w:t>主要指职工公积金单位应缴部分等。</w:t>
      </w:r>
    </w:p>
    <w:p>
      <w:pPr>
        <w:pStyle w:val="2"/>
        <w:keepNext w:val="0"/>
        <w:keepLines w:val="0"/>
        <w:widowControl/>
        <w:suppressLineNumbers w:val="0"/>
        <w:spacing w:before="0" w:beforeAutospacing="0" w:after="195" w:afterAutospacing="0" w:line="239" w:lineRule="atLeast"/>
        <w:ind w:left="0" w:right="0" w:firstLine="45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（二）本级财力支出按经济科目分类情况</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经济分类科目分组（其中：基本支出1331万元，项目支出2039万元）。</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五、区对下专项转移支付情况</w:t>
      </w:r>
    </w:p>
    <w:p>
      <w:pPr>
        <w:pStyle w:val="2"/>
        <w:keepNext w:val="0"/>
        <w:keepLines w:val="0"/>
        <w:widowControl/>
        <w:suppressLineNumbers w:val="0"/>
        <w:spacing w:before="0" w:beforeAutospacing="0" w:after="195" w:afterAutospacing="0" w:line="239" w:lineRule="atLeast"/>
        <w:ind w:left="0" w:right="0" w:firstLine="450"/>
        <w:rPr>
          <w:rFonts w:hint="eastAsia" w:ascii="仿宋" w:hAnsi="仿宋" w:eastAsia="仿宋" w:cs="仿宋"/>
          <w:i w:val="0"/>
          <w:caps w:val="0"/>
          <w:color w:val="000000"/>
          <w:spacing w:val="0"/>
          <w:sz w:val="28"/>
          <w:szCs w:val="28"/>
          <w:lang w:val="en-US" w:eastAsia="zh-CN"/>
        </w:rPr>
      </w:pPr>
      <w:r>
        <w:rPr>
          <w:rFonts w:hint="eastAsia" w:ascii="仿宋" w:hAnsi="仿宋" w:eastAsia="仿宋" w:cs="仿宋"/>
          <w:i w:val="0"/>
          <w:caps w:val="0"/>
          <w:color w:val="000000"/>
          <w:spacing w:val="0"/>
          <w:sz w:val="28"/>
          <w:szCs w:val="28"/>
          <w:lang w:val="en-US" w:eastAsia="zh-CN"/>
        </w:rPr>
        <w:t>今年我区未有对下转移支付款项。</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六、政府采购预算情况</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2020年盘龙区文化和旅游局部门无政府采购预算</w:t>
      </w:r>
      <w:r>
        <w:rPr>
          <w:rFonts w:hint="eastAsia" w:ascii="仿宋" w:hAnsi="仿宋" w:eastAsia="仿宋" w:cs="仿宋"/>
          <w:i w:val="0"/>
          <w:caps w:val="0"/>
          <w:color w:val="0000FF"/>
          <w:spacing w:val="0"/>
          <w:sz w:val="28"/>
          <w:szCs w:val="28"/>
        </w:rPr>
        <w:t>。</w:t>
      </w:r>
    </w:p>
    <w:p>
      <w:pPr>
        <w:pStyle w:val="2"/>
        <w:keepNext w:val="0"/>
        <w:keepLines w:val="0"/>
        <w:widowControl/>
        <w:suppressLineNumbers w:val="0"/>
        <w:spacing w:before="0" w:beforeAutospacing="0" w:after="195" w:afterAutospacing="0" w:line="239" w:lineRule="atLeast"/>
        <w:ind w:left="0" w:right="0" w:firstLine="600"/>
        <w:jc w:val="both"/>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七、部门“三公”经费增减变化情况及原因说明</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lang w:val="en-US"/>
        </w:rPr>
      </w:pPr>
      <w:r>
        <w:rPr>
          <w:rFonts w:hint="eastAsia" w:ascii="仿宋" w:hAnsi="仿宋" w:eastAsia="仿宋" w:cs="仿宋"/>
          <w:i w:val="0"/>
          <w:caps w:val="0"/>
          <w:color w:val="000000"/>
          <w:spacing w:val="0"/>
          <w:sz w:val="28"/>
          <w:szCs w:val="28"/>
        </w:rPr>
        <w:t>盘龙区文化和旅游局部门2020年一般公共预算财政拨款“三公”经费预算合计9.15万，</w:t>
      </w:r>
      <w:r>
        <w:rPr>
          <w:rFonts w:hint="eastAsia" w:ascii="仿宋" w:hAnsi="仿宋" w:eastAsia="仿宋" w:cs="仿宋"/>
          <w:i w:val="0"/>
          <w:caps w:val="0"/>
          <w:color w:val="000000"/>
          <w:spacing w:val="0"/>
          <w:sz w:val="28"/>
          <w:szCs w:val="28"/>
          <w:lang w:val="en-US" w:eastAsia="zh-CN"/>
        </w:rPr>
        <w:t>与上年持平主要是我系统公务用车预算支出</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（一）因公出国（境）费</w:t>
      </w:r>
    </w:p>
    <w:p>
      <w:pPr>
        <w:pStyle w:val="2"/>
        <w:keepNext w:val="0"/>
        <w:keepLines w:val="0"/>
        <w:widowControl/>
        <w:suppressLineNumbers w:val="0"/>
        <w:spacing w:before="0" w:beforeAutospacing="0" w:after="195" w:afterAutospacing="0" w:line="239" w:lineRule="atLeast"/>
        <w:ind w:right="0"/>
        <w:rPr>
          <w:rFonts w:hint="eastAsia" w:ascii="仿宋" w:hAnsi="仿宋" w:eastAsia="仿宋" w:cs="仿宋"/>
          <w:i w:val="0"/>
          <w:caps w:val="0"/>
          <w:color w:val="000000"/>
          <w:spacing w:val="0"/>
          <w:sz w:val="28"/>
          <w:szCs w:val="28"/>
          <w:lang w:val="en-US" w:eastAsia="zh-CN"/>
        </w:rPr>
      </w:pPr>
      <w:r>
        <w:rPr>
          <w:rFonts w:hint="eastAsia" w:ascii="仿宋" w:hAnsi="仿宋" w:eastAsia="仿宋" w:cs="仿宋"/>
          <w:i w:val="0"/>
          <w:caps w:val="0"/>
          <w:color w:val="000000"/>
          <w:spacing w:val="0"/>
          <w:sz w:val="28"/>
          <w:szCs w:val="28"/>
          <w:lang w:val="en-US" w:eastAsia="zh-CN"/>
        </w:rPr>
        <w:t xml:space="preserve">       此项无预算</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（二）公务接待费</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盘龙区文化和旅游局部门2020年公务接待费预算为4.7万元，</w:t>
      </w:r>
      <w:r>
        <w:rPr>
          <w:rFonts w:hint="eastAsia" w:ascii="仿宋" w:hAnsi="仿宋" w:eastAsia="仿宋" w:cs="仿宋"/>
          <w:i w:val="0"/>
          <w:caps w:val="0"/>
          <w:color w:val="000000"/>
          <w:spacing w:val="0"/>
          <w:sz w:val="28"/>
          <w:szCs w:val="28"/>
          <w:lang w:val="en-US" w:eastAsia="zh-CN"/>
        </w:rPr>
        <w:t>与上年度持平。</w:t>
      </w:r>
    </w:p>
    <w:p>
      <w:pPr>
        <w:pStyle w:val="2"/>
        <w:keepNext w:val="0"/>
        <w:keepLines w:val="0"/>
        <w:widowControl/>
        <w:numPr>
          <w:ilvl w:val="0"/>
          <w:numId w:val="1"/>
        </w:numPr>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公务用车购置及运行维护费</w:t>
      </w:r>
    </w:p>
    <w:p>
      <w:pPr>
        <w:pStyle w:val="2"/>
        <w:keepNext w:val="0"/>
        <w:keepLines w:val="0"/>
        <w:widowControl/>
        <w:numPr>
          <w:ilvl w:val="0"/>
          <w:numId w:val="0"/>
        </w:numPr>
        <w:suppressLineNumbers w:val="0"/>
        <w:spacing w:before="0" w:beforeAutospacing="0" w:after="195" w:afterAutospacing="0" w:line="239" w:lineRule="atLeast"/>
        <w:ind w:left="600" w:leftChars="0" w:right="0" w:rightChars="0"/>
        <w:rPr>
          <w:rFonts w:hint="eastAsia" w:ascii="仿宋" w:hAnsi="仿宋" w:eastAsia="仿宋" w:cs="仿宋"/>
          <w:i w:val="0"/>
          <w:caps w:val="0"/>
          <w:color w:val="000000"/>
          <w:spacing w:val="0"/>
          <w:sz w:val="28"/>
          <w:szCs w:val="28"/>
          <w:lang w:val="en-US" w:eastAsia="zh-CN"/>
        </w:rPr>
      </w:pPr>
      <w:r>
        <w:rPr>
          <w:rFonts w:hint="eastAsia" w:ascii="仿宋" w:hAnsi="仿宋" w:eastAsia="仿宋" w:cs="仿宋"/>
          <w:i w:val="0"/>
          <w:caps w:val="0"/>
          <w:color w:val="000000"/>
          <w:spacing w:val="0"/>
          <w:sz w:val="28"/>
          <w:szCs w:val="28"/>
          <w:lang w:val="en-US" w:eastAsia="zh-CN"/>
        </w:rPr>
        <w:t>公务用车运行维护费4.45万元，用于执法用车预算。</w:t>
      </w:r>
    </w:p>
    <w:p>
      <w:pPr>
        <w:pStyle w:val="2"/>
        <w:keepNext w:val="0"/>
        <w:keepLines w:val="0"/>
        <w:widowControl/>
        <w:suppressLineNumbers w:val="0"/>
        <w:spacing w:before="0" w:beforeAutospacing="0" w:after="195" w:afterAutospacing="0" w:line="239" w:lineRule="atLeast"/>
        <w:ind w:right="0" w:firstLine="560" w:firstLineChars="2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八、重点项目预算绩效目标情况</w:t>
      </w:r>
    </w:p>
    <w:p>
      <w:pPr>
        <w:spacing w:line="560" w:lineRule="exact"/>
        <w:ind w:firstLine="560" w:firstLineChars="200"/>
        <w:rPr>
          <w:rFonts w:hint="eastAsia" w:ascii="仿宋" w:hAnsi="仿宋" w:eastAsia="仿宋" w:cs="仿宋"/>
          <w:kern w:val="3"/>
          <w:sz w:val="28"/>
          <w:szCs w:val="28"/>
        </w:rPr>
      </w:pPr>
      <w:r>
        <w:rPr>
          <w:rFonts w:hint="eastAsia" w:ascii="仿宋" w:hAnsi="仿宋" w:eastAsia="仿宋" w:cs="仿宋"/>
          <w:kern w:val="3"/>
          <w:sz w:val="28"/>
          <w:szCs w:val="28"/>
          <w:lang w:val="en-US" w:eastAsia="zh-CN"/>
        </w:rPr>
        <w:t>对基层公共文化资金</w:t>
      </w:r>
      <w:r>
        <w:rPr>
          <w:rFonts w:hint="eastAsia" w:ascii="仿宋" w:hAnsi="仿宋" w:eastAsia="仿宋" w:cs="仿宋"/>
          <w:kern w:val="3"/>
          <w:sz w:val="28"/>
          <w:szCs w:val="28"/>
        </w:rPr>
        <w:t>项目内容，评价指标体系按照项目决策、项目管理和项目绩效六个方面分成二十二个二级指标、三十一个三级指标，按照不同权重对项目绩效进行量化评价。每项评价指标都制定了具体的考核内容和评价标准（项目绩效评价指标体系详见附件一）。依据该体系可对该项目绩效给出一个相对客观、准确的评价。</w:t>
      </w:r>
    </w:p>
    <w:p>
      <w:pPr>
        <w:spacing w:line="560" w:lineRule="exact"/>
        <w:ind w:firstLine="560" w:firstLineChars="200"/>
        <w:rPr>
          <w:rFonts w:hint="eastAsia" w:ascii="仿宋" w:hAnsi="仿宋" w:eastAsia="仿宋" w:cs="仿宋"/>
          <w:kern w:val="3"/>
          <w:sz w:val="28"/>
          <w:szCs w:val="28"/>
        </w:rPr>
      </w:pPr>
      <w:r>
        <w:rPr>
          <w:rFonts w:hint="eastAsia" w:ascii="仿宋" w:hAnsi="仿宋" w:eastAsia="仿宋" w:cs="仿宋"/>
          <w:kern w:val="3"/>
          <w:sz w:val="28"/>
          <w:szCs w:val="28"/>
        </w:rPr>
        <w:t>3.重点绩效评价方法</w:t>
      </w:r>
    </w:p>
    <w:p>
      <w:pPr>
        <w:spacing w:line="560" w:lineRule="exact"/>
        <w:ind w:firstLine="560" w:firstLineChars="200"/>
        <w:rPr>
          <w:rFonts w:hint="eastAsia" w:ascii="仿宋" w:hAnsi="仿宋" w:eastAsia="仿宋" w:cs="仿宋"/>
          <w:kern w:val="3"/>
          <w:sz w:val="28"/>
          <w:szCs w:val="28"/>
          <w:lang w:val="en-US" w:eastAsia="zh-CN"/>
        </w:rPr>
      </w:pPr>
      <w:r>
        <w:rPr>
          <w:rFonts w:hint="eastAsia" w:ascii="仿宋" w:hAnsi="仿宋" w:eastAsia="仿宋" w:cs="仿宋"/>
          <w:kern w:val="3"/>
          <w:sz w:val="28"/>
          <w:szCs w:val="28"/>
          <w:lang w:val="en-US" w:eastAsia="zh-CN"/>
        </w:rPr>
        <w:t>采用第三方对基层公共文化资金进行绩效评价。</w:t>
      </w:r>
    </w:p>
    <w:p>
      <w:pPr>
        <w:widowControl/>
        <w:ind w:firstLine="450"/>
        <w:jc w:val="left"/>
        <w:rPr>
          <w:rFonts w:hint="eastAsia" w:ascii="仿宋" w:hAnsi="仿宋" w:eastAsia="仿宋" w:cs="仿宋"/>
          <w:color w:val="000000"/>
          <w:kern w:val="0"/>
          <w:sz w:val="28"/>
          <w:szCs w:val="28"/>
        </w:rPr>
      </w:pPr>
      <w:bookmarkStart w:id="0" w:name="_Toc48485712"/>
      <w:r>
        <w:rPr>
          <w:rFonts w:hint="eastAsia" w:ascii="仿宋" w:hAnsi="仿宋" w:eastAsia="仿宋" w:cs="仿宋"/>
          <w:color w:val="000000"/>
          <w:kern w:val="0"/>
          <w:sz w:val="28"/>
          <w:szCs w:val="28"/>
        </w:rPr>
        <w:t>（三）重点绩效评价过程</w:t>
      </w:r>
      <w:bookmarkEnd w:id="0"/>
    </w:p>
    <w:p>
      <w:pPr>
        <w:spacing w:line="560" w:lineRule="exact"/>
        <w:ind w:firstLine="560" w:firstLineChars="200"/>
        <w:rPr>
          <w:rFonts w:hint="eastAsia" w:ascii="仿宋" w:hAnsi="仿宋" w:eastAsia="仿宋" w:cs="仿宋"/>
          <w:kern w:val="3"/>
          <w:sz w:val="28"/>
          <w:szCs w:val="28"/>
        </w:rPr>
      </w:pPr>
      <w:r>
        <w:rPr>
          <w:rFonts w:hint="eastAsia" w:ascii="仿宋" w:hAnsi="仿宋" w:eastAsia="仿宋" w:cs="仿宋"/>
          <w:kern w:val="3"/>
          <w:sz w:val="28"/>
          <w:szCs w:val="28"/>
        </w:rPr>
        <w:t>1. 前期准备</w:t>
      </w:r>
    </w:p>
    <w:p>
      <w:pPr>
        <w:spacing w:line="560" w:lineRule="exact"/>
        <w:ind w:firstLine="560" w:firstLineChars="200"/>
        <w:rPr>
          <w:rFonts w:hint="eastAsia" w:ascii="仿宋" w:hAnsi="仿宋" w:eastAsia="仿宋" w:cs="仿宋"/>
          <w:kern w:val="3"/>
          <w:sz w:val="28"/>
          <w:szCs w:val="28"/>
        </w:rPr>
      </w:pPr>
      <w:r>
        <w:rPr>
          <w:rFonts w:hint="eastAsia" w:ascii="仿宋" w:hAnsi="仿宋" w:eastAsia="仿宋" w:cs="仿宋"/>
          <w:kern w:val="3"/>
          <w:sz w:val="28"/>
          <w:szCs w:val="28"/>
        </w:rPr>
        <w:t>确定评价对象、评价工作目标及评价要求，组织评价组了解项目总体情况，确定现场评价工作日。</w:t>
      </w:r>
    </w:p>
    <w:p>
      <w:pPr>
        <w:spacing w:line="560" w:lineRule="exact"/>
        <w:ind w:firstLine="560" w:firstLineChars="200"/>
        <w:rPr>
          <w:rFonts w:hint="eastAsia" w:ascii="仿宋" w:hAnsi="仿宋" w:eastAsia="仿宋" w:cs="仿宋"/>
          <w:kern w:val="3"/>
          <w:sz w:val="28"/>
          <w:szCs w:val="28"/>
        </w:rPr>
      </w:pPr>
      <w:r>
        <w:rPr>
          <w:rFonts w:hint="eastAsia" w:ascii="仿宋" w:hAnsi="仿宋" w:eastAsia="仿宋" w:cs="仿宋"/>
          <w:kern w:val="3"/>
          <w:sz w:val="28"/>
          <w:szCs w:val="28"/>
        </w:rPr>
        <w:t>2. 组织实施</w:t>
      </w:r>
    </w:p>
    <w:p>
      <w:pPr>
        <w:spacing w:line="560" w:lineRule="exact"/>
        <w:ind w:firstLine="560" w:firstLineChars="200"/>
        <w:rPr>
          <w:rFonts w:hint="eastAsia" w:ascii="仿宋" w:hAnsi="仿宋" w:eastAsia="仿宋" w:cs="仿宋"/>
          <w:kern w:val="3"/>
          <w:sz w:val="28"/>
          <w:szCs w:val="28"/>
        </w:rPr>
      </w:pPr>
      <w:r>
        <w:rPr>
          <w:rFonts w:hint="eastAsia" w:ascii="仿宋" w:hAnsi="仿宋" w:eastAsia="仿宋" w:cs="仿宋"/>
          <w:kern w:val="3"/>
          <w:sz w:val="28"/>
          <w:szCs w:val="28"/>
        </w:rPr>
        <w:t>通过召开座谈会听取项目介绍，拟定项目资料清单，由被评价单位提供项目资料；核对项目收支核算和管理、实施资料，对资料进行整理、分类和分析，设计调查问卷，制定项目重点绩效评价指标体系，运用相应的评价方法对本项目绩效情况进行综合性评价。</w:t>
      </w:r>
    </w:p>
    <w:p>
      <w:pPr>
        <w:spacing w:line="560" w:lineRule="exact"/>
        <w:ind w:firstLine="560" w:firstLineChars="200"/>
        <w:rPr>
          <w:rFonts w:hint="eastAsia" w:ascii="仿宋" w:hAnsi="仿宋" w:eastAsia="仿宋" w:cs="仿宋"/>
          <w:kern w:val="3"/>
          <w:sz w:val="28"/>
          <w:szCs w:val="28"/>
        </w:rPr>
      </w:pPr>
      <w:r>
        <w:rPr>
          <w:rFonts w:hint="eastAsia" w:ascii="仿宋" w:hAnsi="仿宋" w:eastAsia="仿宋" w:cs="仿宋"/>
          <w:kern w:val="3"/>
          <w:sz w:val="28"/>
          <w:szCs w:val="28"/>
        </w:rPr>
        <w:t>3. 分析评价</w:t>
      </w:r>
    </w:p>
    <w:p>
      <w:pPr>
        <w:spacing w:line="560" w:lineRule="exact"/>
        <w:ind w:firstLine="560" w:firstLineChars="200"/>
        <w:rPr>
          <w:rFonts w:hint="eastAsia" w:ascii="仿宋" w:hAnsi="仿宋" w:eastAsia="仿宋" w:cs="仿宋"/>
          <w:kern w:val="3"/>
          <w:sz w:val="28"/>
          <w:szCs w:val="28"/>
        </w:rPr>
      </w:pPr>
      <w:r>
        <w:rPr>
          <w:rFonts w:hint="eastAsia" w:ascii="仿宋" w:hAnsi="仿宋" w:eastAsia="仿宋" w:cs="仿宋"/>
          <w:kern w:val="3"/>
          <w:sz w:val="28"/>
          <w:szCs w:val="28"/>
        </w:rPr>
        <w:t>召开评价组会议，组织讨论，评价打分，形成评价结论，提出问题、建议和意见，撰写评价报告。</w:t>
      </w:r>
    </w:p>
    <w:p>
      <w:pPr>
        <w:pStyle w:val="2"/>
        <w:keepNext w:val="0"/>
        <w:keepLines w:val="0"/>
        <w:widowControl/>
        <w:suppressLineNumbers w:val="0"/>
        <w:spacing w:before="0" w:beforeAutospacing="0" w:after="195" w:afterAutospacing="0" w:line="585" w:lineRule="atLeast"/>
        <w:ind w:left="0" w:right="0" w:firstLine="600"/>
        <w:jc w:val="both"/>
        <w:rPr>
          <w:rFonts w:hint="eastAsia" w:ascii="仿宋" w:hAnsi="仿宋" w:eastAsia="仿宋" w:cs="仿宋"/>
          <w:i w:val="0"/>
          <w:caps w:val="0"/>
          <w:color w:val="000000"/>
          <w:spacing w:val="0"/>
          <w:sz w:val="28"/>
          <w:szCs w:val="28"/>
        </w:rPr>
      </w:pP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九、其他公开信息</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（一）专业名词解释</w:t>
      </w:r>
    </w:p>
    <w:p>
      <w:pPr>
        <w:pStyle w:val="2"/>
        <w:keepNext w:val="0"/>
        <w:keepLines w:val="0"/>
        <w:widowControl/>
        <w:suppressLineNumbers w:val="0"/>
        <w:spacing w:before="105" w:beforeAutospacing="0" w:after="105" w:afterAutospacing="0" w:line="315" w:lineRule="atLeast"/>
        <w:ind w:left="0" w:right="0" w:firstLine="75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《盘龙区非物质文化遗产名录》汇编经费是保护地方特色，形成理论与实际的编著。</w:t>
      </w:r>
    </w:p>
    <w:p>
      <w:pPr>
        <w:pStyle w:val="2"/>
        <w:keepNext w:val="0"/>
        <w:keepLines w:val="0"/>
        <w:widowControl/>
        <w:suppressLineNumbers w:val="0"/>
        <w:spacing w:before="105" w:beforeAutospacing="0" w:after="105" w:afterAutospacing="0" w:line="315" w:lineRule="atLeast"/>
        <w:ind w:left="0" w:right="0" w:firstLine="600"/>
        <w:rPr>
          <w:rFonts w:hint="eastAsia" w:ascii="仿宋" w:hAnsi="仿宋" w:eastAsia="仿宋" w:cs="仿宋"/>
          <w:i w:val="0"/>
          <w:caps w:val="0"/>
          <w:color w:val="000000"/>
          <w:spacing w:val="0"/>
          <w:sz w:val="28"/>
          <w:szCs w:val="28"/>
        </w:rPr>
      </w:pPr>
      <w:r>
        <w:rPr>
          <w:rStyle w:val="5"/>
          <w:rFonts w:hint="eastAsia" w:ascii="仿宋" w:hAnsi="仿宋" w:eastAsia="仿宋" w:cs="仿宋"/>
          <w:i w:val="0"/>
          <w:caps w:val="0"/>
          <w:color w:val="000000"/>
          <w:spacing w:val="0"/>
          <w:sz w:val="28"/>
          <w:szCs w:val="28"/>
        </w:rPr>
        <w:t>“双百”方针</w:t>
      </w:r>
      <w:r>
        <w:rPr>
          <w:rFonts w:hint="eastAsia" w:ascii="仿宋" w:hAnsi="仿宋" w:eastAsia="仿宋" w:cs="仿宋"/>
          <w:i w:val="0"/>
          <w:caps w:val="0"/>
          <w:color w:val="000000"/>
          <w:spacing w:val="0"/>
          <w:sz w:val="28"/>
          <w:szCs w:val="28"/>
        </w:rPr>
        <w:t>：“百花齐放、百家争鸣”。</w:t>
      </w:r>
    </w:p>
    <w:p>
      <w:pPr>
        <w:pStyle w:val="2"/>
        <w:keepNext w:val="0"/>
        <w:keepLines w:val="0"/>
        <w:widowControl/>
        <w:suppressLineNumbers w:val="0"/>
        <w:spacing w:before="105" w:beforeAutospacing="0" w:after="105" w:afterAutospacing="0" w:line="315"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百花齐放、百家争鸣”，具体地说就是，在文艺创作上，允许不同风格、不同流派、不同题材、不同手法的作品同时存在，自由发展；在学术理论上，提倡不同学派、不同观点互相争鸣，自由讨论。“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（二）机关运行经费安排变化情况及原因说明</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无</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（三）国有资产占用情况</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截至2019年12月31日的国有资产占有使用情况如下：</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盘龙区文化体育旅游局全系统资产总额2302万元，其中，全系统流动资产1310万元，固定资产992万元，对外投资及有价证券0万元，在建工程0万元，无形资产0万元，其他资产0万元（具体内容详见附表）。与上年相比，本年资产总额增加5万元，其中固定资产增加5万元。处置房屋建筑物0平方米，账面原值0万元；处置车辆0辆，账面原值0万元；报废报损资产0项，账面原值0万元，实现资产处置收入0万元；出租房屋0平方米，账面原值0万元，实现资产使用收入0万元。</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鉴于上述数据为快报数，相关数据需在完成2019年决算编制后才能统计汇总相关数据，因此，将在公开2019年度部门决算时一并公开部门截至2019年12月31日的国有资产占有使用情况。</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十、预算收支增减变化情况说明</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（一）基本支出预算变动的主要原因</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2020年本级财力安排盘龙区文化和旅游局部门基本支出1331万元，与上年对比减少612万元，增减变化的原因主要是：2019年机构改革体育职能划出，相应人员经费划出。</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（二）项目支出预算变动的主要原因</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2020年本级财力安排盘龙区文化和旅游局部门项目支出2039万元，与上年对比减少101万元，增减变化的原因主要是：2019年机构改革体育职能划出，相应项目经费划出。</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xml:space="preserve">                </w:t>
      </w:r>
      <w:r>
        <w:rPr>
          <w:rFonts w:hint="eastAsia" w:ascii="仿宋" w:hAnsi="仿宋" w:eastAsia="仿宋" w:cs="仿宋"/>
          <w:i w:val="0"/>
          <w:caps w:val="0"/>
          <w:color w:val="000000"/>
          <w:spacing w:val="0"/>
          <w:sz w:val="28"/>
          <w:szCs w:val="28"/>
          <w:lang w:val="en-US" w:eastAsia="zh-CN"/>
        </w:rPr>
        <w:t xml:space="preserve">         </w:t>
      </w:r>
      <w:r>
        <w:rPr>
          <w:rFonts w:hint="eastAsia" w:ascii="仿宋" w:hAnsi="仿宋" w:eastAsia="仿宋" w:cs="仿宋"/>
          <w:i w:val="0"/>
          <w:caps w:val="0"/>
          <w:color w:val="000000"/>
          <w:spacing w:val="0"/>
          <w:sz w:val="28"/>
          <w:szCs w:val="28"/>
        </w:rPr>
        <w:t>  昆明市盘龙区文化和旅游局</w:t>
      </w:r>
    </w:p>
    <w:p>
      <w:pPr>
        <w:pStyle w:val="2"/>
        <w:keepNext w:val="0"/>
        <w:keepLines w:val="0"/>
        <w:widowControl/>
        <w:suppressLineNumbers w:val="0"/>
        <w:spacing w:before="0" w:beforeAutospacing="0" w:after="195" w:afterAutospacing="0" w:line="239" w:lineRule="atLeast"/>
        <w:ind w:left="0" w:right="0" w:firstLine="600"/>
        <w:rPr>
          <w:rFonts w:hint="eastAsia" w:ascii="仿宋" w:hAnsi="仿宋" w:eastAsia="仿宋" w:cs="仿宋"/>
          <w:i w:val="0"/>
          <w:caps w:val="0"/>
          <w:color w:val="000000"/>
          <w:spacing w:val="0"/>
          <w:sz w:val="28"/>
          <w:szCs w:val="28"/>
        </w:rPr>
      </w:pPr>
      <w:r>
        <w:rPr>
          <w:rFonts w:hint="eastAsia" w:ascii="仿宋" w:hAnsi="仿宋" w:eastAsia="仿宋" w:cs="仿宋"/>
          <w:i w:val="0"/>
          <w:caps w:val="0"/>
          <w:color w:val="000000"/>
          <w:spacing w:val="0"/>
          <w:sz w:val="28"/>
          <w:szCs w:val="28"/>
        </w:rPr>
        <w:t>                   </w:t>
      </w:r>
      <w:r>
        <w:rPr>
          <w:rFonts w:hint="eastAsia" w:ascii="仿宋" w:hAnsi="仿宋" w:eastAsia="仿宋" w:cs="仿宋"/>
          <w:i w:val="0"/>
          <w:caps w:val="0"/>
          <w:color w:val="000000"/>
          <w:spacing w:val="0"/>
          <w:sz w:val="28"/>
          <w:szCs w:val="28"/>
          <w:lang w:val="en-US" w:eastAsia="zh-CN"/>
        </w:rPr>
        <w:t xml:space="preserve">          </w:t>
      </w:r>
      <w:r>
        <w:rPr>
          <w:rFonts w:hint="eastAsia" w:ascii="仿宋" w:hAnsi="仿宋" w:eastAsia="仿宋" w:cs="仿宋"/>
          <w:i w:val="0"/>
          <w:caps w:val="0"/>
          <w:color w:val="000000"/>
          <w:spacing w:val="0"/>
          <w:sz w:val="28"/>
          <w:szCs w:val="28"/>
        </w:rPr>
        <w:t> 2020年6月28日</w:t>
      </w:r>
    </w:p>
    <w:p>
      <w:pPr>
        <w:pStyle w:val="2"/>
        <w:keepNext w:val="0"/>
        <w:keepLines w:val="0"/>
        <w:widowControl/>
        <w:suppressLineNumbers w:val="0"/>
        <w:spacing w:before="0" w:beforeAutospacing="0" w:after="195" w:afterAutospacing="0" w:line="239" w:lineRule="atLeast"/>
        <w:ind w:left="0" w:right="0" w:firstLine="0"/>
        <w:jc w:val="both"/>
        <w:rPr>
          <w:rFonts w:hint="default" w:ascii="sans-serif" w:hAnsi="sans-serif" w:eastAsia="sans-serif" w:cs="sans-serif"/>
          <w:i w:val="0"/>
          <w:caps w:val="0"/>
          <w:color w:val="000000"/>
          <w:spacing w:val="0"/>
          <w:sz w:val="21"/>
          <w:szCs w:val="21"/>
        </w:rPr>
      </w:pPr>
      <w:r>
        <w:rPr>
          <w:rStyle w:val="5"/>
          <w:rFonts w:hint="eastAsia" w:ascii="微软雅黑" w:hAnsi="微软雅黑" w:eastAsia="微软雅黑" w:cs="微软雅黑"/>
          <w:i w:val="0"/>
          <w:caps w:val="0"/>
          <w:color w:val="000000"/>
          <w:spacing w:val="0"/>
          <w:sz w:val="36"/>
          <w:szCs w:val="36"/>
        </w:rPr>
        <w:t>监督索引号</w:t>
      </w:r>
      <w:r>
        <w:rPr>
          <w:rStyle w:val="5"/>
          <w:rFonts w:hint="default" w:ascii="Arial" w:hAnsi="Arial" w:eastAsia="sans-serif" w:cs="Arial"/>
          <w:i w:val="0"/>
          <w:caps w:val="0"/>
          <w:color w:val="000000"/>
          <w:spacing w:val="0"/>
          <w:sz w:val="36"/>
          <w:szCs w:val="36"/>
        </w:rPr>
        <w:t>53010300135700111</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02D4C08"/>
    <w:multiLevelType w:val="singleLevel"/>
    <w:tmpl w:val="B02D4C08"/>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28E7860"/>
    <w:rsid w:val="38D07F87"/>
    <w:rsid w:val="52277AF9"/>
    <w:rsid w:val="569265B5"/>
    <w:rsid w:val="629F1D53"/>
    <w:rsid w:val="62F223F2"/>
    <w:rsid w:val="70B61F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26</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2020-09-29T01:35:00Z</dcterms:created>
  <dc:creator>Administrator</dc:creator>
  <cp:lastModifiedBy>朝阳碧天</cp:lastModifiedBy>
  <dcterms:modified xsi:type="dcterms:W3CDTF">2020-09-29T06:59:57Z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