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before="120" w:after="120" w:line="480" w:lineRule="auto"/>
        <w:jc w:val="center"/>
        <w:rPr>
          <w:rFonts w:ascii="Times New Roman" w:hAnsi="Times New Roman" w:eastAsia="黑体"/>
          <w:b/>
          <w:bCs/>
          <w:sz w:val="52"/>
          <w:szCs w:val="52"/>
        </w:rPr>
      </w:pPr>
    </w:p>
    <w:p>
      <w:pPr>
        <w:jc w:val="center"/>
        <w:rPr>
          <w:rFonts w:ascii="黑体" w:hAnsi="黑体" w:eastAsia="黑体"/>
          <w:bCs/>
          <w:sz w:val="52"/>
          <w:szCs w:val="52"/>
        </w:rPr>
      </w:pPr>
      <w:r>
        <w:rPr>
          <w:rFonts w:hint="eastAsia" w:ascii="黑体" w:hAnsi="黑体" w:eastAsia="黑体" w:cs="黑体"/>
          <w:bCs/>
          <w:sz w:val="52"/>
          <w:szCs w:val="52"/>
        </w:rPr>
        <w:t>盘龙区</w:t>
      </w:r>
      <w:r>
        <w:rPr>
          <w:rFonts w:hint="eastAsia" w:ascii="黑体" w:hAnsi="黑体" w:eastAsia="黑体" w:cs="黑体"/>
          <w:bCs/>
          <w:sz w:val="52"/>
          <w:szCs w:val="52"/>
          <w:lang w:eastAsia="zh-CN"/>
        </w:rPr>
        <w:t>残疾人联合会</w:t>
      </w:r>
      <w:r>
        <w:rPr>
          <w:rFonts w:ascii="黑体" w:hAnsi="黑体" w:eastAsia="黑体"/>
          <w:bCs/>
          <w:sz w:val="52"/>
          <w:szCs w:val="52"/>
        </w:rPr>
        <w:t>20</w:t>
      </w:r>
      <w:r>
        <w:rPr>
          <w:rFonts w:hint="eastAsia" w:ascii="黑体" w:hAnsi="黑体" w:eastAsia="黑体"/>
          <w:bCs/>
          <w:sz w:val="52"/>
          <w:szCs w:val="52"/>
          <w:lang w:val="en-US" w:eastAsia="zh-CN"/>
        </w:rPr>
        <w:t>19</w:t>
      </w:r>
      <w:r>
        <w:rPr>
          <w:rFonts w:hint="eastAsia" w:ascii="黑体" w:hAnsi="黑体" w:eastAsia="黑体"/>
          <w:bCs/>
          <w:sz w:val="52"/>
          <w:szCs w:val="52"/>
        </w:rPr>
        <w:t>年</w:t>
      </w:r>
    </w:p>
    <w:p>
      <w:pPr>
        <w:jc w:val="center"/>
        <w:rPr>
          <w:rFonts w:ascii="黑体" w:hAnsi="黑体" w:eastAsia="黑体"/>
          <w:bCs/>
          <w:sz w:val="52"/>
          <w:szCs w:val="52"/>
        </w:rPr>
      </w:pPr>
      <w:r>
        <w:rPr>
          <w:rFonts w:hint="eastAsia" w:ascii="黑体" w:hAnsi="黑体" w:eastAsia="黑体" w:cs="黑体"/>
          <w:bCs/>
          <w:sz w:val="52"/>
          <w:szCs w:val="52"/>
        </w:rPr>
        <w:t>部门整体支出绩效自评报告</w:t>
      </w:r>
    </w:p>
    <w:p>
      <w:pPr>
        <w:spacing w:before="120" w:after="120" w:line="480" w:lineRule="auto"/>
        <w:jc w:val="center"/>
        <w:rPr>
          <w:rFonts w:ascii="Times New Roman" w:hAnsi="Times New Roman" w:eastAsia="黑体"/>
          <w:b/>
          <w:bCs/>
          <w:sz w:val="52"/>
          <w:szCs w:val="52"/>
        </w:rPr>
      </w:pPr>
    </w:p>
    <w:p>
      <w:pPr>
        <w:spacing w:before="120" w:after="120" w:line="480" w:lineRule="auto"/>
        <w:jc w:val="center"/>
        <w:rPr>
          <w:rFonts w:ascii="Times New Roman" w:hAnsi="Times New Roman"/>
          <w:b/>
          <w:bCs/>
          <w:sz w:val="44"/>
          <w:szCs w:val="44"/>
        </w:rPr>
      </w:pPr>
    </w:p>
    <w:p>
      <w:pPr>
        <w:spacing w:before="120" w:after="120" w:line="480" w:lineRule="auto"/>
        <w:jc w:val="center"/>
        <w:rPr>
          <w:rFonts w:ascii="Times New Roman" w:hAnsi="Times New Roman"/>
          <w:b/>
          <w:bCs/>
          <w:sz w:val="44"/>
          <w:szCs w:val="44"/>
        </w:rPr>
      </w:pPr>
    </w:p>
    <w:p>
      <w:pPr>
        <w:spacing w:before="120" w:after="120" w:line="480" w:lineRule="auto"/>
        <w:jc w:val="center"/>
        <w:rPr>
          <w:rFonts w:ascii="Times New Roman" w:hAnsi="Times New Roman" w:eastAsia="黑体"/>
          <w:b/>
          <w:bCs/>
          <w:sz w:val="44"/>
          <w:szCs w:val="44"/>
        </w:rPr>
      </w:pPr>
    </w:p>
    <w:p>
      <w:pPr>
        <w:adjustRightInd w:val="0"/>
        <w:snapToGrid w:val="0"/>
        <w:spacing w:line="360" w:lineRule="auto"/>
        <w:rPr>
          <w:rFonts w:ascii="Times New Roman" w:hAnsi="Times New Roman" w:eastAsia="黑体"/>
          <w:b/>
          <w:bCs/>
          <w:sz w:val="32"/>
          <w:szCs w:val="32"/>
        </w:rPr>
      </w:pPr>
      <w:r>
        <w:rPr>
          <w:rFonts w:ascii="Times New Roman" w:hAnsi="Times New Roman" w:eastAsia="黑体" w:cs="黑体"/>
          <w:b/>
          <w:bCs/>
          <w:sz w:val="32"/>
          <w:szCs w:val="32"/>
        </w:rPr>
        <mc:AlternateContent>
          <mc:Choice Requires="wps">
            <w:drawing>
              <wp:anchor distT="0" distB="0" distL="114300" distR="114300" simplePos="0" relativeHeight="251658240" behindDoc="0" locked="0" layoutInCell="1" allowOverlap="1">
                <wp:simplePos x="0" y="0"/>
                <wp:positionH relativeFrom="column">
                  <wp:posOffset>1695450</wp:posOffset>
                </wp:positionH>
                <wp:positionV relativeFrom="paragraph">
                  <wp:posOffset>211455</wp:posOffset>
                </wp:positionV>
                <wp:extent cx="3457575" cy="0"/>
                <wp:effectExtent l="0" t="0" r="0" b="0"/>
                <wp:wrapNone/>
                <wp:docPr id="1" name="直接箭头连接符 1"/>
                <wp:cNvGraphicFramePr/>
                <a:graphic xmlns:a="http://schemas.openxmlformats.org/drawingml/2006/main">
                  <a:graphicData uri="http://schemas.microsoft.com/office/word/2010/wordprocessingShape">
                    <wps:wsp>
                      <wps:cNvCnPr/>
                      <wps:spPr>
                        <a:xfrm>
                          <a:off x="0" y="0"/>
                          <a:ext cx="3457575" cy="0"/>
                        </a:xfrm>
                        <a:prstGeom prst="straightConnector1">
                          <a:avLst/>
                        </a:prstGeom>
                        <a:ln w="9525" cap="flat" cmpd="sng">
                          <a:solidFill>
                            <a:srgbClr val="000000"/>
                          </a:solidFill>
                          <a:prstDash val="solid"/>
                          <a:headEnd type="none" w="med" len="med"/>
                          <a:tailEnd type="none" w="med" len="med"/>
                        </a:ln>
                        <a:effectLst/>
                      </wps:spPr>
                      <wps:bodyPr/>
                    </wps:wsp>
                  </a:graphicData>
                </a:graphic>
              </wp:anchor>
            </w:drawing>
          </mc:Choice>
          <mc:Fallback>
            <w:pict>
              <v:shape id="_x0000_s1026" o:spid="_x0000_s1026" o:spt="32" type="#_x0000_t32" style="position:absolute;left:0pt;margin-left:133.5pt;margin-top:16.65pt;height:0pt;width:272.25pt;z-index:251658240;mso-width-relative:page;mso-height-relative:page;" filled="f" stroked="t" coordsize="21600,21600" o:gfxdata="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">
                <v:fill on="f" focussize="0,0"/>
                <v:stroke color="#000000" joinstyle="round"/>
                <v:imagedata o:title=""/>
                <o:lock v:ext="edit" aspectratio="f"/>
              </v:shape>
            </w:pict>
          </mc:Fallback>
        </mc:AlternateContent>
      </w:r>
      <w:r>
        <w:rPr>
          <w:rFonts w:hint="eastAsia" w:ascii="Times New Roman" w:hAnsi="Times New Roman" w:eastAsia="黑体" w:cs="黑体"/>
          <w:b/>
          <w:bCs/>
          <w:sz w:val="32"/>
          <w:szCs w:val="32"/>
        </w:rPr>
        <w:t>项目名称：</w:t>
      </w:r>
      <w:r>
        <w:rPr>
          <w:rFonts w:hint="eastAsia" w:ascii="Times New Roman" w:hAnsi="Times New Roman" w:eastAsia="黑体" w:cs="黑体"/>
          <w:b/>
          <w:bCs/>
          <w:sz w:val="32"/>
          <w:szCs w:val="32"/>
          <w:lang w:eastAsia="zh-CN"/>
        </w:rPr>
        <w:t>昆明市盘龙区残疾人联合会</w:t>
      </w:r>
      <w:r>
        <w:rPr>
          <w:rFonts w:hint="eastAsia" w:ascii="Times New Roman" w:hAnsi="Times New Roman" w:eastAsia="黑体" w:cs="黑体"/>
          <w:b/>
          <w:bCs/>
          <w:sz w:val="32"/>
          <w:szCs w:val="32"/>
        </w:rPr>
        <w:t>部门整体支出</w:t>
      </w:r>
    </w:p>
    <w:p>
      <w:pPr>
        <w:adjustRightInd w:val="0"/>
        <w:snapToGrid w:val="0"/>
        <w:spacing w:line="360" w:lineRule="auto"/>
        <w:rPr>
          <w:rFonts w:hint="eastAsia" w:ascii="Times New Roman" w:hAnsi="Times New Roman" w:eastAsia="黑体" w:cs="黑体"/>
          <w:b/>
          <w:bCs/>
          <w:sz w:val="32"/>
          <w:szCs w:val="32"/>
          <w:lang w:eastAsia="zh-CN"/>
        </w:rPr>
      </w:pPr>
      <w:r>
        <w:rPr>
          <w:rFonts w:ascii="Times New Roman" w:hAnsi="Times New Roman" w:eastAsia="黑体" w:cs="黑体"/>
          <w:b/>
          <w:bCs/>
          <w:sz w:val="32"/>
          <w:szCs w:val="32"/>
        </w:rPr>
        <mc:AlternateContent>
          <mc:Choice Requires="wps">
            <w:drawing>
              <wp:anchor distT="0" distB="0" distL="114300" distR="114300" simplePos="0" relativeHeight="251659264" behindDoc="0" locked="0" layoutInCell="1" allowOverlap="1">
                <wp:simplePos x="0" y="0"/>
                <wp:positionH relativeFrom="column">
                  <wp:posOffset>1695450</wp:posOffset>
                </wp:positionH>
                <wp:positionV relativeFrom="paragraph">
                  <wp:posOffset>217805</wp:posOffset>
                </wp:positionV>
                <wp:extent cx="3457575" cy="0"/>
                <wp:effectExtent l="0" t="0" r="0" b="0"/>
                <wp:wrapNone/>
                <wp:docPr id="2" name="直接箭头连接符 2"/>
                <wp:cNvGraphicFramePr/>
                <a:graphic xmlns:a="http://schemas.openxmlformats.org/drawingml/2006/main">
                  <a:graphicData uri="http://schemas.microsoft.com/office/word/2010/wordprocessingShape">
                    <wps:wsp>
                      <wps:cNvCnPr/>
                      <wps:spPr>
                        <a:xfrm>
                          <a:off x="0" y="0"/>
                          <a:ext cx="3457575" cy="0"/>
                        </a:xfrm>
                        <a:prstGeom prst="straightConnector1">
                          <a:avLst/>
                        </a:prstGeom>
                        <a:ln w="9525" cap="flat" cmpd="sng">
                          <a:solidFill>
                            <a:srgbClr val="000000"/>
                          </a:solidFill>
                          <a:prstDash val="solid"/>
                          <a:headEnd type="none" w="med" len="med"/>
                          <a:tailEnd type="none" w="med" len="med"/>
                        </a:ln>
                        <a:effectLst/>
                      </wps:spPr>
                      <wps:bodyPr/>
                    </wps:wsp>
                  </a:graphicData>
                </a:graphic>
              </wp:anchor>
            </w:drawing>
          </mc:Choice>
          <mc:Fallback>
            <w:pict>
              <v:shape id="_x0000_s1026" o:spid="_x0000_s1026" o:spt="32" type="#_x0000_t32" style="position:absolute;left:0pt;margin-left:133.5pt;margin-top:17.15pt;height:0pt;width:272.25pt;z-index:251659264;mso-width-relative:page;mso-height-relative:page;" filled="f" stroked="t" coordsize="21600,21600" o:gfxdata="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">
                <v:fill on="f" focussize="0,0"/>
                <v:stroke color="#000000" joinstyle="round"/>
                <v:imagedata o:title=""/>
                <o:lock v:ext="edit" aspectratio="f"/>
              </v:shape>
            </w:pict>
          </mc:Fallback>
        </mc:AlternateContent>
      </w:r>
      <w:r>
        <w:rPr>
          <w:rFonts w:hint="eastAsia" w:ascii="Times New Roman" w:hAnsi="Times New Roman" w:eastAsia="黑体" w:cs="黑体"/>
          <w:b/>
          <w:bCs/>
          <w:sz w:val="32"/>
          <w:szCs w:val="32"/>
        </w:rPr>
        <w:t>部门名称：</w:t>
      </w:r>
      <w:r>
        <w:rPr>
          <w:rFonts w:hint="eastAsia" w:ascii="Times New Roman" w:hAnsi="Times New Roman" w:eastAsia="黑体" w:cs="黑体"/>
          <w:b/>
          <w:bCs/>
          <w:sz w:val="32"/>
          <w:szCs w:val="32"/>
          <w:lang w:eastAsia="zh-CN"/>
        </w:rPr>
        <w:t>昆明市盘龙区残疾人联合会</w:t>
      </w:r>
    </w:p>
    <w:p>
      <w:pPr>
        <w:adjustRightInd w:val="0"/>
        <w:snapToGrid w:val="0"/>
        <w:spacing w:line="360" w:lineRule="auto"/>
        <w:rPr>
          <w:rFonts w:ascii="Times New Roman" w:hAnsi="Times New Roman" w:eastAsia="黑体"/>
          <w:b/>
          <w:bCs/>
          <w:sz w:val="32"/>
          <w:szCs w:val="32"/>
        </w:rPr>
      </w:pPr>
      <w:r>
        <w:rPr>
          <w:rFonts w:ascii="Times New Roman" w:hAnsi="Times New Roman" w:eastAsia="黑体" w:cs="黑体"/>
          <w:b/>
          <w:bCs/>
          <w:sz w:val="32"/>
          <w:szCs w:val="32"/>
        </w:rPr>
        <mc:AlternateContent>
          <mc:Choice Requires="wps">
            <w:drawing>
              <wp:anchor distT="0" distB="0" distL="114300" distR="114300" simplePos="0" relativeHeight="251660288" behindDoc="0" locked="0" layoutInCell="1" allowOverlap="1">
                <wp:simplePos x="0" y="0"/>
                <wp:positionH relativeFrom="column">
                  <wp:posOffset>1695450</wp:posOffset>
                </wp:positionH>
                <wp:positionV relativeFrom="paragraph">
                  <wp:posOffset>253365</wp:posOffset>
                </wp:positionV>
                <wp:extent cx="3457575" cy="0"/>
                <wp:effectExtent l="0" t="0" r="0" b="0"/>
                <wp:wrapNone/>
                <wp:docPr id="3" name="直接箭头连接符 3"/>
                <wp:cNvGraphicFramePr/>
                <a:graphic xmlns:a="http://schemas.openxmlformats.org/drawingml/2006/main">
                  <a:graphicData uri="http://schemas.microsoft.com/office/word/2010/wordprocessingShape">
                    <wps:wsp>
                      <wps:cNvCnPr/>
                      <wps:spPr>
                        <a:xfrm>
                          <a:off x="0" y="0"/>
                          <a:ext cx="3457575" cy="0"/>
                        </a:xfrm>
                        <a:prstGeom prst="straightConnector1">
                          <a:avLst/>
                        </a:prstGeom>
                        <a:ln w="9525" cap="flat" cmpd="sng">
                          <a:solidFill>
                            <a:srgbClr val="000000"/>
                          </a:solidFill>
                          <a:prstDash val="solid"/>
                          <a:headEnd type="none" w="med" len="med"/>
                          <a:tailEnd type="none" w="med" len="med"/>
                        </a:ln>
                        <a:effectLst/>
                      </wps:spPr>
                      <wps:bodyPr/>
                    </wps:wsp>
                  </a:graphicData>
                </a:graphic>
              </wp:anchor>
            </w:drawing>
          </mc:Choice>
          <mc:Fallback>
            <w:pict>
              <v:shape id="_x0000_s1026" o:spid="_x0000_s1026" o:spt="32" type="#_x0000_t32" style="position:absolute;left:0pt;margin-left:133.5pt;margin-top:19.95pt;height:0pt;width:272.25pt;z-index:251660288;mso-width-relative:page;mso-height-relative:page;" filled="f" stroked="t" coordsize="21600,21600" o:gfxdata="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">
                <v:fill on="f" focussize="0,0"/>
                <v:stroke color="#000000" joinstyle="round"/>
                <v:imagedata o:title=""/>
                <o:lock v:ext="edit" aspectratio="f"/>
              </v:shape>
            </w:pict>
          </mc:Fallback>
        </mc:AlternateContent>
      </w:r>
      <w:r>
        <w:rPr>
          <w:rFonts w:hint="eastAsia" w:ascii="Times New Roman" w:hAnsi="Times New Roman" w:eastAsia="黑体" w:cs="黑体"/>
          <w:b/>
          <w:bCs/>
          <w:sz w:val="32"/>
          <w:szCs w:val="32"/>
        </w:rPr>
        <w:t>评价机构：</w:t>
      </w:r>
      <w:r>
        <w:rPr>
          <w:rFonts w:hint="eastAsia" w:ascii="Times New Roman" w:hAnsi="Times New Roman" w:eastAsia="黑体" w:cs="黑体"/>
          <w:b/>
          <w:bCs/>
          <w:sz w:val="32"/>
          <w:szCs w:val="32"/>
          <w:lang w:eastAsia="zh-CN"/>
        </w:rPr>
        <w:t>昆明市盘龙区残疾人联合会</w:t>
      </w:r>
    </w:p>
    <w:p>
      <w:pPr>
        <w:spacing w:line="360" w:lineRule="auto"/>
        <w:ind w:left="1740" w:leftChars="580"/>
        <w:rPr>
          <w:rFonts w:ascii="Times New Roman" w:hAnsi="Times New Roman" w:eastAsia="黑体"/>
          <w:b/>
          <w:bCs/>
          <w:sz w:val="32"/>
          <w:szCs w:val="32"/>
        </w:rPr>
      </w:pPr>
    </w:p>
    <w:p>
      <w:pPr>
        <w:jc w:val="center"/>
        <w:rPr>
          <w:rFonts w:ascii="Times New Roman" w:hAnsi="Times New Roman" w:eastAsia="黑体" w:cs="黑体"/>
          <w:b/>
          <w:bCs/>
          <w:sz w:val="32"/>
          <w:szCs w:val="32"/>
        </w:rPr>
      </w:pPr>
      <w:r>
        <w:rPr>
          <w:rFonts w:ascii="Times New Roman" w:hAnsi="Times New Roman" w:eastAsia="黑体"/>
          <w:b/>
          <w:bCs/>
          <w:sz w:val="32"/>
          <w:szCs w:val="32"/>
        </w:rPr>
        <w:t>20</w:t>
      </w:r>
      <w:r>
        <w:rPr>
          <w:rFonts w:hint="eastAsia" w:ascii="Times New Roman" w:hAnsi="Times New Roman" w:eastAsia="黑体"/>
          <w:b/>
          <w:bCs/>
          <w:sz w:val="32"/>
          <w:szCs w:val="32"/>
          <w:lang w:val="en-US" w:eastAsia="zh-CN"/>
        </w:rPr>
        <w:t>19</w:t>
      </w:r>
      <w:r>
        <w:rPr>
          <w:rFonts w:hint="eastAsia" w:ascii="Times New Roman" w:hAnsi="Times New Roman" w:eastAsia="黑体" w:cs="黑体"/>
          <w:b/>
          <w:bCs/>
          <w:sz w:val="32"/>
          <w:szCs w:val="32"/>
        </w:rPr>
        <w:t>年</w:t>
      </w:r>
      <w:r>
        <w:rPr>
          <w:rFonts w:hint="eastAsia" w:ascii="Times New Roman" w:hAnsi="Times New Roman" w:eastAsia="黑体"/>
          <w:b/>
          <w:bCs/>
          <w:sz w:val="32"/>
          <w:szCs w:val="32"/>
          <w:lang w:val="en-US" w:eastAsia="zh-CN"/>
        </w:rPr>
        <w:t>04</w:t>
      </w:r>
      <w:r>
        <w:rPr>
          <w:rFonts w:hint="eastAsia" w:ascii="Times New Roman" w:hAnsi="Times New Roman" w:eastAsia="黑体" w:cs="黑体"/>
          <w:b/>
          <w:bCs/>
          <w:sz w:val="32"/>
          <w:szCs w:val="32"/>
        </w:rPr>
        <w:t>月</w:t>
      </w:r>
    </w:p>
    <w:p>
      <w:pPr>
        <w:jc w:val="center"/>
        <w:rPr>
          <w:rFonts w:ascii="Times New Roman" w:hAnsi="Times New Roman" w:eastAsia="黑体" w:cs="黑体"/>
          <w:b/>
          <w:bCs/>
          <w:sz w:val="28"/>
          <w:szCs w:val="28"/>
        </w:rPr>
      </w:pPr>
    </w:p>
    <w:p>
      <w:pPr>
        <w:jc w:val="center"/>
        <w:rPr>
          <w:rFonts w:ascii="Times New Roman" w:hAnsi="Times New Roman" w:eastAsia="黑体" w:cs="黑体"/>
          <w:b/>
          <w:bCs/>
          <w:sz w:val="28"/>
          <w:szCs w:val="28"/>
        </w:rPr>
      </w:pPr>
    </w:p>
    <w:p>
      <w:pPr>
        <w:jc w:val="center"/>
        <w:rPr>
          <w:rFonts w:ascii="Times New Roman" w:hAnsi="Times New Roman" w:eastAsia="黑体" w:cs="黑体"/>
          <w:b/>
          <w:bCs/>
          <w:sz w:val="28"/>
          <w:szCs w:val="28"/>
        </w:rPr>
      </w:pPr>
    </w:p>
    <w:p>
      <w:pPr>
        <w:jc w:val="center"/>
        <w:rPr>
          <w:rFonts w:ascii="Times New Roman" w:hAnsi="Times New Roman" w:eastAsia="黑体" w:cs="黑体"/>
          <w:b/>
          <w:bCs/>
          <w:sz w:val="28"/>
          <w:szCs w:val="28"/>
        </w:rPr>
      </w:pPr>
    </w:p>
    <w:p>
      <w:pPr>
        <w:jc w:val="center"/>
        <w:rPr>
          <w:rFonts w:ascii="Times New Roman" w:hAnsi="Times New Roman" w:eastAsia="仿宋_GB2312"/>
          <w:b/>
          <w:bCs/>
          <w:sz w:val="28"/>
          <w:szCs w:val="28"/>
        </w:rPr>
      </w:pPr>
    </w:p>
    <w:p>
      <w:pPr>
        <w:widowControl/>
        <w:jc w:val="left"/>
        <w:rPr>
          <w:rFonts w:ascii="Times New Roman" w:hAnsi="Times New Roman" w:eastAsia="仿宋_GB2312"/>
          <w:b/>
          <w:bCs/>
          <w:sz w:val="28"/>
          <w:szCs w:val="28"/>
        </w:rPr>
        <w:sectPr>
          <w:footerReference r:id="rId5" w:type="first"/>
          <w:headerReference r:id="rId3" w:type="default"/>
          <w:footerReference r:id="rId4" w:type="default"/>
          <w:pgSz w:w="11906" w:h="16838"/>
          <w:pgMar w:top="1701" w:right="1587" w:bottom="1587" w:left="1587" w:header="851" w:footer="992" w:gutter="0"/>
          <w:cols w:space="425" w:num="1"/>
          <w:titlePg/>
          <w:docGrid w:type="lines" w:linePitch="312" w:charSpace="0"/>
        </w:sectPr>
      </w:pPr>
    </w:p>
    <w:p>
      <w:pPr>
        <w:pStyle w:val="10"/>
        <w:widowControl w:val="0"/>
        <w:spacing w:after="0" w:line="360" w:lineRule="auto"/>
        <w:ind w:left="600" w:leftChars="200"/>
        <w:jc w:val="both"/>
        <w:rPr>
          <w:rFonts w:ascii="Times New Roman" w:hAnsi="Times New Roman" w:eastAsia="黑体" w:cs="Times New Roman"/>
          <w:kern w:val="2"/>
          <w:sz w:val="24"/>
          <w:szCs w:val="24"/>
          <w:lang w:val="zh-TW" w:eastAsia="zh-TW"/>
        </w:rPr>
      </w:pPr>
      <w:r>
        <w:rPr>
          <w:rFonts w:hint="eastAsia" w:ascii="Times New Roman" w:hAnsi="Times New Roman" w:eastAsia="黑体" w:cs="黑体"/>
          <w:kern w:val="2"/>
          <w:sz w:val="24"/>
          <w:szCs w:val="24"/>
          <w:lang w:val="zh-TW" w:eastAsia="zh-TW"/>
        </w:rPr>
        <w:t>评价小组成员：</w:t>
      </w:r>
    </w:p>
    <w:tbl>
      <w:tblPr>
        <w:tblStyle w:val="8"/>
        <w:tblpPr w:leftFromText="180" w:rightFromText="180" w:vertAnchor="text" w:horzAnchor="margin" w:tblpY="72"/>
        <w:tblW w:w="810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20"/>
        <w:gridCol w:w="1620"/>
        <w:gridCol w:w="1620"/>
        <w:gridCol w:w="1621"/>
        <w:gridCol w:w="162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620" w:type="dxa"/>
            <w:noWrap w:val="0"/>
            <w:vAlign w:val="center"/>
          </w:tcPr>
          <w:p>
            <w:pPr>
              <w:pStyle w:val="10"/>
              <w:widowControl w:val="0"/>
              <w:spacing w:after="0" w:line="240" w:lineRule="auto"/>
              <w:jc w:val="center"/>
              <w:rPr>
                <w:rFonts w:hint="eastAsia" w:asciiTheme="majorEastAsia" w:hAnsiTheme="majorEastAsia" w:eastAsiaTheme="majorEastAsia" w:cstheme="majorEastAsia"/>
                <w:kern w:val="2"/>
                <w:sz w:val="28"/>
                <w:szCs w:val="28"/>
                <w:lang w:val="zh-TW"/>
              </w:rPr>
            </w:pPr>
            <w:r>
              <w:rPr>
                <w:rFonts w:hint="eastAsia" w:asciiTheme="majorEastAsia" w:hAnsiTheme="majorEastAsia" w:eastAsiaTheme="majorEastAsia" w:cstheme="majorEastAsia"/>
                <w:kern w:val="2"/>
                <w:sz w:val="28"/>
                <w:szCs w:val="28"/>
                <w:lang w:val="zh-TW"/>
              </w:rPr>
              <w:t>评价小组</w:t>
            </w:r>
          </w:p>
          <w:p>
            <w:pPr>
              <w:pStyle w:val="10"/>
              <w:widowControl w:val="0"/>
              <w:spacing w:after="0" w:line="240" w:lineRule="auto"/>
              <w:jc w:val="center"/>
              <w:rPr>
                <w:rFonts w:hint="eastAsia" w:asciiTheme="majorEastAsia" w:hAnsiTheme="majorEastAsia" w:eastAsiaTheme="majorEastAsia" w:cstheme="majorEastAsia"/>
                <w:kern w:val="2"/>
                <w:sz w:val="28"/>
                <w:szCs w:val="28"/>
                <w:lang w:val="zh-TW"/>
              </w:rPr>
            </w:pPr>
            <w:r>
              <w:rPr>
                <w:rFonts w:hint="eastAsia" w:asciiTheme="majorEastAsia" w:hAnsiTheme="majorEastAsia" w:eastAsiaTheme="majorEastAsia" w:cstheme="majorEastAsia"/>
                <w:kern w:val="2"/>
                <w:sz w:val="28"/>
                <w:szCs w:val="28"/>
                <w:lang w:val="zh-TW"/>
              </w:rPr>
              <w:t>机构职位</w:t>
            </w:r>
          </w:p>
        </w:tc>
        <w:tc>
          <w:tcPr>
            <w:tcW w:w="1620" w:type="dxa"/>
            <w:noWrap w:val="0"/>
            <w:vAlign w:val="center"/>
          </w:tcPr>
          <w:p>
            <w:pPr>
              <w:pStyle w:val="10"/>
              <w:widowControl w:val="0"/>
              <w:spacing w:after="0" w:line="240" w:lineRule="auto"/>
              <w:jc w:val="center"/>
              <w:rPr>
                <w:rFonts w:hint="eastAsia" w:asciiTheme="majorEastAsia" w:hAnsiTheme="majorEastAsia" w:eastAsiaTheme="majorEastAsia" w:cstheme="majorEastAsia"/>
                <w:kern w:val="2"/>
                <w:sz w:val="28"/>
                <w:szCs w:val="28"/>
                <w:lang w:val="zh-TW"/>
              </w:rPr>
            </w:pPr>
            <w:r>
              <w:rPr>
                <w:rFonts w:hint="eastAsia" w:asciiTheme="majorEastAsia" w:hAnsiTheme="majorEastAsia" w:eastAsiaTheme="majorEastAsia" w:cstheme="majorEastAsia"/>
                <w:kern w:val="2"/>
                <w:sz w:val="28"/>
                <w:szCs w:val="28"/>
                <w:lang w:val="zh-TW"/>
              </w:rPr>
              <w:t>姓名</w:t>
            </w:r>
          </w:p>
        </w:tc>
        <w:tc>
          <w:tcPr>
            <w:tcW w:w="1620" w:type="dxa"/>
            <w:noWrap w:val="0"/>
            <w:vAlign w:val="center"/>
          </w:tcPr>
          <w:p>
            <w:pPr>
              <w:pStyle w:val="10"/>
              <w:widowControl w:val="0"/>
              <w:spacing w:after="0" w:line="240" w:lineRule="auto"/>
              <w:jc w:val="center"/>
              <w:rPr>
                <w:rFonts w:hint="eastAsia" w:asciiTheme="majorEastAsia" w:hAnsiTheme="majorEastAsia" w:eastAsiaTheme="majorEastAsia" w:cstheme="majorEastAsia"/>
                <w:kern w:val="2"/>
                <w:sz w:val="28"/>
                <w:szCs w:val="28"/>
                <w:lang w:val="zh-TW"/>
              </w:rPr>
            </w:pPr>
            <w:r>
              <w:rPr>
                <w:rFonts w:hint="eastAsia" w:asciiTheme="majorEastAsia" w:hAnsiTheme="majorEastAsia" w:eastAsiaTheme="majorEastAsia" w:cstheme="majorEastAsia"/>
                <w:kern w:val="2"/>
                <w:sz w:val="28"/>
                <w:szCs w:val="28"/>
                <w:lang w:val="zh-TW"/>
              </w:rPr>
              <w:t>职务/职称</w:t>
            </w:r>
          </w:p>
        </w:tc>
        <w:tc>
          <w:tcPr>
            <w:tcW w:w="1621" w:type="dxa"/>
            <w:noWrap w:val="0"/>
            <w:vAlign w:val="center"/>
          </w:tcPr>
          <w:p>
            <w:pPr>
              <w:pStyle w:val="10"/>
              <w:widowControl w:val="0"/>
              <w:spacing w:after="0" w:line="240" w:lineRule="auto"/>
              <w:jc w:val="center"/>
              <w:rPr>
                <w:rFonts w:hint="eastAsia" w:asciiTheme="majorEastAsia" w:hAnsiTheme="majorEastAsia" w:eastAsiaTheme="majorEastAsia" w:cstheme="majorEastAsia"/>
                <w:kern w:val="2"/>
                <w:sz w:val="28"/>
                <w:szCs w:val="28"/>
                <w:lang w:val="zh-TW"/>
              </w:rPr>
            </w:pPr>
            <w:r>
              <w:rPr>
                <w:rFonts w:hint="eastAsia" w:asciiTheme="majorEastAsia" w:hAnsiTheme="majorEastAsia" w:eastAsiaTheme="majorEastAsia" w:cstheme="majorEastAsia"/>
                <w:kern w:val="2"/>
                <w:sz w:val="28"/>
                <w:szCs w:val="28"/>
                <w:lang w:val="zh-TW"/>
              </w:rPr>
              <w:t>所属</w:t>
            </w:r>
          </w:p>
          <w:p>
            <w:pPr>
              <w:pStyle w:val="10"/>
              <w:widowControl w:val="0"/>
              <w:spacing w:after="0" w:line="240" w:lineRule="auto"/>
              <w:jc w:val="center"/>
              <w:rPr>
                <w:rFonts w:hint="eastAsia" w:asciiTheme="majorEastAsia" w:hAnsiTheme="majorEastAsia" w:eastAsiaTheme="majorEastAsia" w:cstheme="majorEastAsia"/>
                <w:kern w:val="2"/>
                <w:sz w:val="28"/>
                <w:szCs w:val="28"/>
                <w:lang w:val="zh-TW"/>
              </w:rPr>
            </w:pPr>
            <w:r>
              <w:rPr>
                <w:rFonts w:hint="eastAsia" w:asciiTheme="majorEastAsia" w:hAnsiTheme="majorEastAsia" w:eastAsiaTheme="majorEastAsia" w:cstheme="majorEastAsia"/>
                <w:kern w:val="2"/>
                <w:sz w:val="28"/>
                <w:szCs w:val="28"/>
                <w:lang w:val="zh-TW"/>
              </w:rPr>
              <w:t>单位/处室</w:t>
            </w:r>
          </w:p>
        </w:tc>
        <w:tc>
          <w:tcPr>
            <w:tcW w:w="1621" w:type="dxa"/>
            <w:noWrap w:val="0"/>
            <w:vAlign w:val="center"/>
          </w:tcPr>
          <w:p>
            <w:pPr>
              <w:pStyle w:val="10"/>
              <w:widowControl w:val="0"/>
              <w:spacing w:after="0" w:line="240" w:lineRule="auto"/>
              <w:jc w:val="center"/>
              <w:rPr>
                <w:rFonts w:hint="eastAsia" w:asciiTheme="majorEastAsia" w:hAnsiTheme="majorEastAsia" w:eastAsiaTheme="majorEastAsia" w:cstheme="majorEastAsia"/>
                <w:kern w:val="2"/>
                <w:sz w:val="28"/>
                <w:szCs w:val="28"/>
                <w:lang w:val="zh-TW"/>
              </w:rPr>
            </w:pPr>
            <w:r>
              <w:rPr>
                <w:rFonts w:hint="eastAsia" w:asciiTheme="majorEastAsia" w:hAnsiTheme="majorEastAsia" w:eastAsiaTheme="majorEastAsia" w:cstheme="majorEastAsia"/>
                <w:kern w:val="2"/>
                <w:sz w:val="28"/>
                <w:szCs w:val="28"/>
                <w:lang w:val="zh-TW"/>
              </w:rPr>
              <w:t>签字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620" w:type="dxa"/>
            <w:noWrap w:val="0"/>
            <w:vAlign w:val="center"/>
          </w:tcPr>
          <w:p>
            <w:pPr>
              <w:pStyle w:val="10"/>
              <w:widowControl w:val="0"/>
              <w:spacing w:after="0" w:line="240" w:lineRule="auto"/>
              <w:jc w:val="center"/>
              <w:rPr>
                <w:rFonts w:hint="eastAsia" w:asciiTheme="majorEastAsia" w:hAnsiTheme="majorEastAsia" w:eastAsiaTheme="majorEastAsia" w:cstheme="majorEastAsia"/>
                <w:kern w:val="2"/>
                <w:sz w:val="28"/>
                <w:szCs w:val="28"/>
                <w:lang w:val="zh-TW"/>
              </w:rPr>
            </w:pPr>
            <w:r>
              <w:rPr>
                <w:rFonts w:hint="eastAsia" w:asciiTheme="majorEastAsia" w:hAnsiTheme="majorEastAsia" w:eastAsiaTheme="majorEastAsia" w:cstheme="majorEastAsia"/>
                <w:kern w:val="2"/>
                <w:sz w:val="28"/>
                <w:szCs w:val="28"/>
                <w:lang w:val="zh-TW"/>
              </w:rPr>
              <w:t>组长</w:t>
            </w:r>
          </w:p>
        </w:tc>
        <w:tc>
          <w:tcPr>
            <w:tcW w:w="1620" w:type="dxa"/>
            <w:noWrap w:val="0"/>
            <w:vAlign w:val="top"/>
          </w:tcPr>
          <w:p>
            <w:pPr>
              <w:pStyle w:val="10"/>
              <w:widowControl w:val="0"/>
              <w:spacing w:after="0" w:line="240" w:lineRule="auto"/>
              <w:jc w:val="both"/>
              <w:rPr>
                <w:rFonts w:hint="eastAsia" w:asciiTheme="majorEastAsia" w:hAnsiTheme="majorEastAsia" w:eastAsiaTheme="majorEastAsia" w:cstheme="majorEastAsia"/>
                <w:kern w:val="2"/>
                <w:sz w:val="28"/>
                <w:szCs w:val="28"/>
                <w:lang w:val="zh-TW" w:eastAsia="zh-TW"/>
              </w:rPr>
            </w:pPr>
            <w:r>
              <w:rPr>
                <w:rFonts w:hint="eastAsia" w:asciiTheme="majorEastAsia" w:hAnsiTheme="majorEastAsia" w:eastAsiaTheme="majorEastAsia" w:cstheme="majorEastAsia"/>
                <w:kern w:val="2"/>
                <w:sz w:val="28"/>
                <w:szCs w:val="28"/>
                <w:lang w:val="en-US" w:eastAsia="zh-CN"/>
              </w:rPr>
              <w:t>黎如珊</w:t>
            </w:r>
          </w:p>
        </w:tc>
        <w:tc>
          <w:tcPr>
            <w:tcW w:w="1620" w:type="dxa"/>
            <w:noWrap w:val="0"/>
            <w:vAlign w:val="top"/>
          </w:tcPr>
          <w:p>
            <w:pPr>
              <w:pStyle w:val="10"/>
              <w:widowControl w:val="0"/>
              <w:spacing w:after="0" w:line="240" w:lineRule="auto"/>
              <w:jc w:val="both"/>
              <w:rPr>
                <w:rFonts w:hint="eastAsia" w:asciiTheme="majorEastAsia" w:hAnsiTheme="majorEastAsia" w:eastAsiaTheme="majorEastAsia" w:cstheme="majorEastAsia"/>
                <w:kern w:val="2"/>
                <w:sz w:val="28"/>
                <w:szCs w:val="28"/>
                <w:lang w:val="zh-TW" w:eastAsia="zh-TW"/>
              </w:rPr>
            </w:pPr>
            <w:r>
              <w:rPr>
                <w:rFonts w:hint="eastAsia" w:asciiTheme="majorEastAsia" w:hAnsiTheme="majorEastAsia" w:eastAsiaTheme="majorEastAsia" w:cstheme="majorEastAsia"/>
                <w:kern w:val="2"/>
                <w:sz w:val="28"/>
                <w:szCs w:val="28"/>
                <w:lang w:val="zh-TW" w:eastAsia="zh-CN"/>
              </w:rPr>
              <w:t>理事长</w:t>
            </w:r>
          </w:p>
        </w:tc>
        <w:tc>
          <w:tcPr>
            <w:tcW w:w="1621" w:type="dxa"/>
            <w:noWrap w:val="0"/>
            <w:vAlign w:val="top"/>
          </w:tcPr>
          <w:p>
            <w:pPr>
              <w:pStyle w:val="10"/>
              <w:widowControl w:val="0"/>
              <w:spacing w:after="0" w:line="240" w:lineRule="auto"/>
              <w:jc w:val="both"/>
              <w:rPr>
                <w:rFonts w:hint="eastAsia" w:asciiTheme="majorEastAsia" w:hAnsiTheme="majorEastAsia" w:eastAsiaTheme="majorEastAsia" w:cstheme="majorEastAsia"/>
                <w:kern w:val="2"/>
                <w:sz w:val="28"/>
                <w:szCs w:val="28"/>
                <w:lang w:val="zh-TW" w:eastAsia="zh-TW"/>
              </w:rPr>
            </w:pPr>
            <w:r>
              <w:rPr>
                <w:rFonts w:hint="eastAsia" w:asciiTheme="majorEastAsia" w:hAnsiTheme="majorEastAsia" w:eastAsiaTheme="majorEastAsia" w:cstheme="majorEastAsia"/>
                <w:kern w:val="2"/>
                <w:sz w:val="28"/>
                <w:szCs w:val="28"/>
                <w:lang w:val="zh-TW" w:eastAsia="zh-CN"/>
              </w:rPr>
              <w:t>办公室</w:t>
            </w:r>
          </w:p>
        </w:tc>
        <w:tc>
          <w:tcPr>
            <w:tcW w:w="1621" w:type="dxa"/>
            <w:noWrap w:val="0"/>
            <w:vAlign w:val="top"/>
          </w:tcPr>
          <w:p>
            <w:pPr>
              <w:pStyle w:val="10"/>
              <w:widowControl w:val="0"/>
              <w:spacing w:after="0" w:line="240" w:lineRule="auto"/>
              <w:jc w:val="both"/>
              <w:rPr>
                <w:rFonts w:hint="eastAsia" w:asciiTheme="majorEastAsia" w:hAnsiTheme="majorEastAsia" w:eastAsiaTheme="majorEastAsia" w:cstheme="majorEastAsia"/>
                <w:kern w:val="2"/>
                <w:sz w:val="28"/>
                <w:szCs w:val="28"/>
                <w:lang w:val="zh-TW" w:eastAsia="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620" w:type="dxa"/>
            <w:noWrap w:val="0"/>
            <w:vAlign w:val="center"/>
          </w:tcPr>
          <w:p>
            <w:pPr>
              <w:pStyle w:val="10"/>
              <w:widowControl w:val="0"/>
              <w:spacing w:after="0" w:line="360" w:lineRule="auto"/>
              <w:jc w:val="center"/>
              <w:rPr>
                <w:rFonts w:hint="eastAsia" w:asciiTheme="majorEastAsia" w:hAnsiTheme="majorEastAsia" w:eastAsiaTheme="majorEastAsia" w:cstheme="majorEastAsia"/>
                <w:kern w:val="2"/>
                <w:sz w:val="28"/>
                <w:szCs w:val="28"/>
                <w:lang w:val="zh-TW"/>
              </w:rPr>
            </w:pPr>
            <w:r>
              <w:rPr>
                <w:rFonts w:hint="eastAsia" w:asciiTheme="majorEastAsia" w:hAnsiTheme="majorEastAsia" w:eastAsiaTheme="majorEastAsia" w:cstheme="majorEastAsia"/>
                <w:kern w:val="2"/>
                <w:sz w:val="28"/>
                <w:szCs w:val="28"/>
                <w:lang w:val="zh-TW"/>
              </w:rPr>
              <w:t>副组长</w:t>
            </w:r>
          </w:p>
        </w:tc>
        <w:tc>
          <w:tcPr>
            <w:tcW w:w="1620" w:type="dxa"/>
            <w:noWrap w:val="0"/>
            <w:vAlign w:val="top"/>
          </w:tcPr>
          <w:p>
            <w:pPr>
              <w:pStyle w:val="10"/>
              <w:widowControl w:val="0"/>
              <w:spacing w:after="0" w:line="360" w:lineRule="auto"/>
              <w:jc w:val="both"/>
              <w:rPr>
                <w:rFonts w:hint="eastAsia" w:asciiTheme="majorEastAsia" w:hAnsiTheme="majorEastAsia" w:eastAsiaTheme="majorEastAsia" w:cstheme="majorEastAsia"/>
                <w:kern w:val="2"/>
                <w:sz w:val="28"/>
                <w:szCs w:val="28"/>
                <w:lang w:val="zh-TW" w:eastAsia="zh-TW"/>
              </w:rPr>
            </w:pPr>
            <w:r>
              <w:rPr>
                <w:rFonts w:hint="eastAsia" w:asciiTheme="majorEastAsia" w:hAnsiTheme="majorEastAsia" w:eastAsiaTheme="majorEastAsia" w:cstheme="majorEastAsia"/>
                <w:kern w:val="2"/>
                <w:sz w:val="28"/>
                <w:szCs w:val="28"/>
                <w:lang w:val="zh-TW" w:eastAsia="zh-CN"/>
              </w:rPr>
              <w:t>贺新生</w:t>
            </w:r>
          </w:p>
        </w:tc>
        <w:tc>
          <w:tcPr>
            <w:tcW w:w="1620" w:type="dxa"/>
            <w:noWrap w:val="0"/>
            <w:vAlign w:val="top"/>
          </w:tcPr>
          <w:p>
            <w:pPr>
              <w:pStyle w:val="10"/>
              <w:widowControl w:val="0"/>
              <w:spacing w:after="0" w:line="360" w:lineRule="auto"/>
              <w:jc w:val="both"/>
              <w:rPr>
                <w:rFonts w:hint="eastAsia" w:asciiTheme="majorEastAsia" w:hAnsiTheme="majorEastAsia" w:eastAsiaTheme="majorEastAsia" w:cstheme="majorEastAsia"/>
                <w:kern w:val="2"/>
                <w:sz w:val="28"/>
                <w:szCs w:val="28"/>
                <w:lang w:val="zh-TW" w:eastAsia="zh-TW"/>
              </w:rPr>
            </w:pPr>
            <w:r>
              <w:rPr>
                <w:rFonts w:hint="eastAsia" w:asciiTheme="majorEastAsia" w:hAnsiTheme="majorEastAsia" w:eastAsiaTheme="majorEastAsia" w:cstheme="majorEastAsia"/>
                <w:kern w:val="2"/>
                <w:sz w:val="28"/>
                <w:szCs w:val="28"/>
                <w:lang w:val="zh-TW" w:eastAsia="zh-CN"/>
              </w:rPr>
              <w:t>副理事长</w:t>
            </w:r>
          </w:p>
        </w:tc>
        <w:tc>
          <w:tcPr>
            <w:tcW w:w="1621" w:type="dxa"/>
            <w:noWrap w:val="0"/>
            <w:vAlign w:val="top"/>
          </w:tcPr>
          <w:p>
            <w:pPr>
              <w:widowControl w:val="0"/>
              <w:spacing w:after="0" w:line="360" w:lineRule="auto"/>
              <w:ind w:left="0" w:leftChars="0" w:firstLine="0" w:firstLineChars="0"/>
              <w:jc w:val="left"/>
              <w:rPr>
                <w:rFonts w:hint="eastAsia" w:asciiTheme="majorEastAsia" w:hAnsiTheme="majorEastAsia" w:eastAsiaTheme="majorEastAsia" w:cstheme="majorEastAsia"/>
                <w:kern w:val="2"/>
                <w:sz w:val="28"/>
                <w:szCs w:val="28"/>
                <w:lang w:val="zh-TW" w:eastAsia="zh-TW"/>
              </w:rPr>
            </w:pPr>
            <w:r>
              <w:rPr>
                <w:rFonts w:hint="eastAsia" w:asciiTheme="majorEastAsia" w:hAnsiTheme="majorEastAsia" w:eastAsiaTheme="majorEastAsia" w:cstheme="majorEastAsia"/>
                <w:kern w:val="2"/>
                <w:sz w:val="28"/>
                <w:szCs w:val="28"/>
                <w:lang w:val="zh-TW" w:eastAsia="zh-CN"/>
              </w:rPr>
              <w:t>办公室</w:t>
            </w:r>
          </w:p>
        </w:tc>
        <w:tc>
          <w:tcPr>
            <w:tcW w:w="1621" w:type="dxa"/>
            <w:noWrap w:val="0"/>
            <w:vAlign w:val="top"/>
          </w:tcPr>
          <w:p>
            <w:pPr>
              <w:pStyle w:val="10"/>
              <w:widowControl w:val="0"/>
              <w:spacing w:after="0" w:line="360" w:lineRule="auto"/>
              <w:jc w:val="both"/>
              <w:rPr>
                <w:rFonts w:hint="eastAsia" w:asciiTheme="majorEastAsia" w:hAnsiTheme="majorEastAsia" w:eastAsiaTheme="majorEastAsia" w:cstheme="majorEastAsia"/>
                <w:kern w:val="2"/>
                <w:sz w:val="28"/>
                <w:szCs w:val="28"/>
                <w:lang w:val="zh-TW" w:eastAsia="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620" w:type="dxa"/>
            <w:noWrap w:val="0"/>
            <w:vAlign w:val="center"/>
          </w:tcPr>
          <w:p>
            <w:pPr>
              <w:pStyle w:val="10"/>
              <w:widowControl w:val="0"/>
              <w:spacing w:after="0" w:line="360" w:lineRule="auto"/>
              <w:jc w:val="center"/>
              <w:rPr>
                <w:rFonts w:hint="eastAsia" w:asciiTheme="majorEastAsia" w:hAnsiTheme="majorEastAsia" w:eastAsiaTheme="majorEastAsia" w:cstheme="majorEastAsia"/>
                <w:kern w:val="2"/>
                <w:sz w:val="28"/>
                <w:szCs w:val="28"/>
                <w:lang w:val="zh-TW"/>
              </w:rPr>
            </w:pPr>
            <w:r>
              <w:rPr>
                <w:rFonts w:hint="eastAsia" w:asciiTheme="majorEastAsia" w:hAnsiTheme="majorEastAsia" w:eastAsiaTheme="majorEastAsia" w:cstheme="majorEastAsia"/>
                <w:kern w:val="2"/>
                <w:sz w:val="28"/>
                <w:szCs w:val="28"/>
                <w:lang w:val="zh-TW"/>
              </w:rPr>
              <w:t>成员</w:t>
            </w:r>
          </w:p>
        </w:tc>
        <w:tc>
          <w:tcPr>
            <w:tcW w:w="1620" w:type="dxa"/>
            <w:noWrap w:val="0"/>
            <w:vAlign w:val="top"/>
          </w:tcPr>
          <w:p>
            <w:pPr>
              <w:pStyle w:val="10"/>
              <w:widowControl w:val="0"/>
              <w:spacing w:after="0" w:line="360" w:lineRule="auto"/>
              <w:jc w:val="both"/>
              <w:rPr>
                <w:rFonts w:hint="eastAsia" w:asciiTheme="majorEastAsia" w:hAnsiTheme="majorEastAsia" w:eastAsiaTheme="majorEastAsia" w:cstheme="majorEastAsia"/>
                <w:kern w:val="2"/>
                <w:sz w:val="28"/>
                <w:szCs w:val="28"/>
                <w:lang w:val="zh-TW" w:eastAsia="zh-TW"/>
              </w:rPr>
            </w:pPr>
            <w:r>
              <w:rPr>
                <w:rFonts w:hint="eastAsia" w:asciiTheme="majorEastAsia" w:hAnsiTheme="majorEastAsia" w:eastAsiaTheme="majorEastAsia" w:cstheme="majorEastAsia"/>
                <w:kern w:val="2"/>
                <w:sz w:val="28"/>
                <w:szCs w:val="28"/>
                <w:lang w:val="en-US" w:eastAsia="zh-CN"/>
              </w:rPr>
              <w:t>王海燕</w:t>
            </w:r>
          </w:p>
        </w:tc>
        <w:tc>
          <w:tcPr>
            <w:tcW w:w="1620" w:type="dxa"/>
            <w:noWrap w:val="0"/>
            <w:vAlign w:val="top"/>
          </w:tcPr>
          <w:p>
            <w:pPr>
              <w:pStyle w:val="10"/>
              <w:widowControl w:val="0"/>
              <w:spacing w:after="0" w:line="360" w:lineRule="auto"/>
              <w:jc w:val="both"/>
              <w:rPr>
                <w:rFonts w:hint="eastAsia" w:asciiTheme="majorEastAsia" w:hAnsiTheme="majorEastAsia" w:eastAsiaTheme="majorEastAsia" w:cstheme="majorEastAsia"/>
                <w:kern w:val="2"/>
                <w:sz w:val="28"/>
                <w:szCs w:val="28"/>
                <w:lang w:val="zh-TW" w:eastAsia="zh-TW"/>
              </w:rPr>
            </w:pPr>
            <w:r>
              <w:rPr>
                <w:rFonts w:hint="eastAsia" w:asciiTheme="majorEastAsia" w:hAnsiTheme="majorEastAsia" w:eastAsiaTheme="majorEastAsia" w:cstheme="majorEastAsia"/>
                <w:kern w:val="2"/>
                <w:sz w:val="28"/>
                <w:szCs w:val="28"/>
                <w:lang w:val="zh-TW" w:eastAsia="zh-CN"/>
              </w:rPr>
              <w:t>组联教就科科长</w:t>
            </w:r>
          </w:p>
        </w:tc>
        <w:tc>
          <w:tcPr>
            <w:tcW w:w="1621" w:type="dxa"/>
            <w:noWrap w:val="0"/>
            <w:vAlign w:val="top"/>
          </w:tcPr>
          <w:p>
            <w:pPr>
              <w:widowControl w:val="0"/>
              <w:spacing w:after="0" w:line="360" w:lineRule="auto"/>
              <w:ind w:left="0" w:leftChars="0" w:firstLine="0" w:firstLineChars="0"/>
              <w:jc w:val="left"/>
              <w:rPr>
                <w:rFonts w:hint="eastAsia" w:asciiTheme="majorEastAsia" w:hAnsiTheme="majorEastAsia" w:eastAsiaTheme="majorEastAsia" w:cstheme="majorEastAsia"/>
                <w:kern w:val="2"/>
                <w:sz w:val="28"/>
                <w:szCs w:val="28"/>
                <w:lang w:val="zh-TW" w:eastAsia="zh-TW"/>
              </w:rPr>
            </w:pPr>
            <w:r>
              <w:rPr>
                <w:rFonts w:hint="eastAsia" w:asciiTheme="majorEastAsia" w:hAnsiTheme="majorEastAsia" w:eastAsiaTheme="majorEastAsia" w:cstheme="majorEastAsia"/>
                <w:kern w:val="2"/>
                <w:sz w:val="28"/>
                <w:szCs w:val="28"/>
                <w:lang w:val="zh-TW" w:eastAsia="zh-CN"/>
              </w:rPr>
              <w:t>组联教就科</w:t>
            </w:r>
          </w:p>
        </w:tc>
        <w:tc>
          <w:tcPr>
            <w:tcW w:w="1621" w:type="dxa"/>
            <w:noWrap w:val="0"/>
            <w:vAlign w:val="top"/>
          </w:tcPr>
          <w:p>
            <w:pPr>
              <w:pStyle w:val="10"/>
              <w:widowControl w:val="0"/>
              <w:spacing w:after="0" w:line="360" w:lineRule="auto"/>
              <w:jc w:val="both"/>
              <w:rPr>
                <w:rFonts w:hint="eastAsia" w:asciiTheme="majorEastAsia" w:hAnsiTheme="majorEastAsia" w:eastAsiaTheme="majorEastAsia" w:cstheme="majorEastAsia"/>
                <w:kern w:val="2"/>
                <w:sz w:val="28"/>
                <w:szCs w:val="28"/>
                <w:lang w:val="zh-TW" w:eastAsia="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620" w:type="dxa"/>
            <w:noWrap w:val="0"/>
            <w:vAlign w:val="center"/>
          </w:tcPr>
          <w:p>
            <w:pPr>
              <w:pStyle w:val="10"/>
              <w:widowControl w:val="0"/>
              <w:spacing w:after="0" w:line="360" w:lineRule="auto"/>
              <w:jc w:val="center"/>
              <w:rPr>
                <w:rFonts w:hint="eastAsia" w:asciiTheme="majorEastAsia" w:hAnsiTheme="majorEastAsia" w:eastAsiaTheme="majorEastAsia" w:cstheme="majorEastAsia"/>
                <w:kern w:val="2"/>
                <w:sz w:val="28"/>
                <w:szCs w:val="28"/>
                <w:lang w:val="zh-TW"/>
              </w:rPr>
            </w:pPr>
            <w:r>
              <w:rPr>
                <w:rFonts w:hint="eastAsia" w:asciiTheme="majorEastAsia" w:hAnsiTheme="majorEastAsia" w:eastAsiaTheme="majorEastAsia" w:cstheme="majorEastAsia"/>
                <w:kern w:val="2"/>
                <w:sz w:val="28"/>
                <w:szCs w:val="28"/>
                <w:lang w:val="zh-TW"/>
              </w:rPr>
              <w:t>成员</w:t>
            </w:r>
          </w:p>
        </w:tc>
        <w:tc>
          <w:tcPr>
            <w:tcW w:w="1620" w:type="dxa"/>
            <w:noWrap w:val="0"/>
            <w:vAlign w:val="top"/>
          </w:tcPr>
          <w:p>
            <w:pPr>
              <w:pStyle w:val="10"/>
              <w:widowControl w:val="0"/>
              <w:spacing w:after="0" w:line="360" w:lineRule="auto"/>
              <w:jc w:val="both"/>
              <w:rPr>
                <w:rFonts w:hint="eastAsia" w:asciiTheme="majorEastAsia" w:hAnsiTheme="majorEastAsia" w:eastAsiaTheme="majorEastAsia" w:cstheme="majorEastAsia"/>
                <w:kern w:val="2"/>
                <w:sz w:val="28"/>
                <w:szCs w:val="28"/>
                <w:lang w:val="zh-TW" w:eastAsia="zh-TW"/>
              </w:rPr>
            </w:pPr>
            <w:r>
              <w:rPr>
                <w:rFonts w:hint="eastAsia" w:asciiTheme="majorEastAsia" w:hAnsiTheme="majorEastAsia" w:eastAsiaTheme="majorEastAsia" w:cstheme="majorEastAsia"/>
                <w:kern w:val="2"/>
                <w:sz w:val="28"/>
                <w:szCs w:val="28"/>
                <w:lang w:val="zh-TW" w:eastAsia="zh-CN"/>
              </w:rPr>
              <w:t>王媛萍</w:t>
            </w:r>
          </w:p>
        </w:tc>
        <w:tc>
          <w:tcPr>
            <w:tcW w:w="1620" w:type="dxa"/>
            <w:noWrap w:val="0"/>
            <w:vAlign w:val="top"/>
          </w:tcPr>
          <w:p>
            <w:pPr>
              <w:pStyle w:val="10"/>
              <w:widowControl w:val="0"/>
              <w:spacing w:after="0" w:line="360" w:lineRule="auto"/>
              <w:jc w:val="both"/>
              <w:rPr>
                <w:rFonts w:hint="eastAsia" w:asciiTheme="majorEastAsia" w:hAnsiTheme="majorEastAsia" w:eastAsiaTheme="majorEastAsia" w:cstheme="majorEastAsia"/>
                <w:kern w:val="2"/>
                <w:sz w:val="28"/>
                <w:szCs w:val="28"/>
                <w:lang w:val="zh-TW" w:eastAsia="zh-TW"/>
              </w:rPr>
            </w:pPr>
            <w:r>
              <w:rPr>
                <w:rFonts w:hint="eastAsia" w:asciiTheme="majorEastAsia" w:hAnsiTheme="majorEastAsia" w:eastAsiaTheme="majorEastAsia" w:cstheme="majorEastAsia"/>
                <w:kern w:val="2"/>
                <w:sz w:val="28"/>
                <w:szCs w:val="28"/>
                <w:lang w:val="zh-TW" w:eastAsia="zh-CN"/>
              </w:rPr>
              <w:t>康复宣文科科长</w:t>
            </w:r>
          </w:p>
        </w:tc>
        <w:tc>
          <w:tcPr>
            <w:tcW w:w="1621" w:type="dxa"/>
            <w:noWrap w:val="0"/>
            <w:vAlign w:val="top"/>
          </w:tcPr>
          <w:p>
            <w:pPr>
              <w:pStyle w:val="10"/>
              <w:widowControl w:val="0"/>
              <w:spacing w:after="0" w:line="360" w:lineRule="auto"/>
              <w:jc w:val="both"/>
              <w:rPr>
                <w:rFonts w:hint="eastAsia" w:asciiTheme="majorEastAsia" w:hAnsiTheme="majorEastAsia" w:eastAsiaTheme="majorEastAsia" w:cstheme="majorEastAsia"/>
                <w:kern w:val="2"/>
                <w:sz w:val="28"/>
                <w:szCs w:val="28"/>
                <w:lang w:val="zh-TW" w:eastAsia="zh-TW"/>
              </w:rPr>
            </w:pPr>
            <w:r>
              <w:rPr>
                <w:rFonts w:hint="eastAsia" w:asciiTheme="majorEastAsia" w:hAnsiTheme="majorEastAsia" w:eastAsiaTheme="majorEastAsia" w:cstheme="majorEastAsia"/>
                <w:kern w:val="2"/>
                <w:sz w:val="28"/>
                <w:szCs w:val="28"/>
                <w:lang w:val="zh-TW" w:eastAsia="zh-CN"/>
              </w:rPr>
              <w:t>康复宣文科</w:t>
            </w:r>
          </w:p>
        </w:tc>
        <w:tc>
          <w:tcPr>
            <w:tcW w:w="1621" w:type="dxa"/>
            <w:noWrap w:val="0"/>
            <w:vAlign w:val="top"/>
          </w:tcPr>
          <w:p>
            <w:pPr>
              <w:pStyle w:val="10"/>
              <w:widowControl w:val="0"/>
              <w:spacing w:after="0" w:line="360" w:lineRule="auto"/>
              <w:jc w:val="both"/>
              <w:rPr>
                <w:rFonts w:hint="eastAsia" w:asciiTheme="majorEastAsia" w:hAnsiTheme="majorEastAsia" w:eastAsiaTheme="majorEastAsia" w:cstheme="majorEastAsia"/>
                <w:kern w:val="2"/>
                <w:sz w:val="28"/>
                <w:szCs w:val="28"/>
                <w:lang w:val="zh-TW" w:eastAsia="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620" w:type="dxa"/>
            <w:noWrap w:val="0"/>
            <w:vAlign w:val="center"/>
          </w:tcPr>
          <w:p>
            <w:pPr>
              <w:pStyle w:val="10"/>
              <w:widowControl w:val="0"/>
              <w:spacing w:after="0" w:line="360" w:lineRule="auto"/>
              <w:jc w:val="center"/>
              <w:rPr>
                <w:rFonts w:hint="eastAsia" w:asciiTheme="majorEastAsia" w:hAnsiTheme="majorEastAsia" w:eastAsiaTheme="majorEastAsia" w:cstheme="majorEastAsia"/>
                <w:kern w:val="2"/>
                <w:sz w:val="28"/>
                <w:szCs w:val="28"/>
                <w:lang w:val="zh-TW"/>
              </w:rPr>
            </w:pPr>
            <w:r>
              <w:rPr>
                <w:rFonts w:hint="eastAsia" w:asciiTheme="majorEastAsia" w:hAnsiTheme="majorEastAsia" w:eastAsiaTheme="majorEastAsia" w:cstheme="majorEastAsia"/>
                <w:kern w:val="2"/>
                <w:sz w:val="28"/>
                <w:szCs w:val="28"/>
                <w:lang w:val="zh-TW"/>
              </w:rPr>
              <w:t>成员</w:t>
            </w:r>
          </w:p>
        </w:tc>
        <w:tc>
          <w:tcPr>
            <w:tcW w:w="1620" w:type="dxa"/>
            <w:noWrap w:val="0"/>
            <w:vAlign w:val="top"/>
          </w:tcPr>
          <w:p>
            <w:pPr>
              <w:pStyle w:val="10"/>
              <w:widowControl w:val="0"/>
              <w:spacing w:after="0" w:line="360" w:lineRule="auto"/>
              <w:jc w:val="both"/>
              <w:rPr>
                <w:rFonts w:hint="eastAsia" w:asciiTheme="majorEastAsia" w:hAnsiTheme="majorEastAsia" w:eastAsiaTheme="majorEastAsia" w:cstheme="majorEastAsia"/>
                <w:kern w:val="2"/>
                <w:sz w:val="28"/>
                <w:szCs w:val="28"/>
                <w:lang w:val="zh-TW" w:eastAsia="zh-CN"/>
              </w:rPr>
            </w:pPr>
            <w:r>
              <w:rPr>
                <w:rFonts w:hint="eastAsia" w:asciiTheme="majorEastAsia" w:hAnsiTheme="majorEastAsia" w:eastAsiaTheme="majorEastAsia" w:cstheme="majorEastAsia"/>
                <w:kern w:val="2"/>
                <w:sz w:val="28"/>
                <w:szCs w:val="28"/>
                <w:lang w:val="zh-TW" w:eastAsia="zh-CN"/>
              </w:rPr>
              <w:t>袁军</w:t>
            </w:r>
          </w:p>
        </w:tc>
        <w:tc>
          <w:tcPr>
            <w:tcW w:w="1620" w:type="dxa"/>
            <w:noWrap w:val="0"/>
            <w:vAlign w:val="top"/>
          </w:tcPr>
          <w:p>
            <w:pPr>
              <w:pStyle w:val="10"/>
              <w:widowControl w:val="0"/>
              <w:spacing w:after="0" w:line="360" w:lineRule="auto"/>
              <w:jc w:val="both"/>
              <w:rPr>
                <w:rFonts w:hint="eastAsia" w:asciiTheme="majorEastAsia" w:hAnsiTheme="majorEastAsia" w:eastAsiaTheme="majorEastAsia" w:cstheme="majorEastAsia"/>
                <w:kern w:val="2"/>
                <w:sz w:val="28"/>
                <w:szCs w:val="28"/>
                <w:lang w:val="zh-TW" w:eastAsia="zh-CN"/>
              </w:rPr>
            </w:pPr>
            <w:r>
              <w:rPr>
                <w:rFonts w:hint="eastAsia" w:asciiTheme="majorEastAsia" w:hAnsiTheme="majorEastAsia" w:eastAsiaTheme="majorEastAsia" w:cstheme="majorEastAsia"/>
                <w:kern w:val="2"/>
                <w:sz w:val="28"/>
                <w:szCs w:val="28"/>
                <w:lang w:val="zh-TW" w:eastAsia="zh-CN"/>
              </w:rPr>
              <w:t>办公室主任</w:t>
            </w:r>
          </w:p>
        </w:tc>
        <w:tc>
          <w:tcPr>
            <w:tcW w:w="1621" w:type="dxa"/>
            <w:noWrap w:val="0"/>
            <w:vAlign w:val="top"/>
          </w:tcPr>
          <w:p>
            <w:pPr>
              <w:pStyle w:val="10"/>
              <w:widowControl w:val="0"/>
              <w:spacing w:after="0" w:line="360" w:lineRule="auto"/>
              <w:jc w:val="both"/>
              <w:rPr>
                <w:rFonts w:hint="eastAsia" w:asciiTheme="majorEastAsia" w:hAnsiTheme="majorEastAsia" w:eastAsiaTheme="majorEastAsia" w:cstheme="majorEastAsia"/>
                <w:kern w:val="2"/>
                <w:sz w:val="28"/>
                <w:szCs w:val="28"/>
                <w:lang w:val="zh-TW" w:eastAsia="zh-CN"/>
              </w:rPr>
            </w:pPr>
            <w:r>
              <w:rPr>
                <w:rFonts w:hint="eastAsia" w:asciiTheme="majorEastAsia" w:hAnsiTheme="majorEastAsia" w:eastAsiaTheme="majorEastAsia" w:cstheme="majorEastAsia"/>
                <w:kern w:val="2"/>
                <w:sz w:val="28"/>
                <w:szCs w:val="28"/>
                <w:lang w:val="zh-TW" w:eastAsia="zh-CN"/>
              </w:rPr>
              <w:t>办公室</w:t>
            </w:r>
          </w:p>
        </w:tc>
        <w:tc>
          <w:tcPr>
            <w:tcW w:w="1621" w:type="dxa"/>
            <w:noWrap w:val="0"/>
            <w:vAlign w:val="top"/>
          </w:tcPr>
          <w:p>
            <w:pPr>
              <w:pStyle w:val="10"/>
              <w:widowControl w:val="0"/>
              <w:spacing w:after="0" w:line="360" w:lineRule="auto"/>
              <w:jc w:val="both"/>
              <w:rPr>
                <w:rFonts w:hint="eastAsia" w:asciiTheme="majorEastAsia" w:hAnsiTheme="majorEastAsia" w:eastAsiaTheme="majorEastAsia" w:cstheme="majorEastAsia"/>
                <w:kern w:val="2"/>
                <w:sz w:val="28"/>
                <w:szCs w:val="28"/>
                <w:lang w:val="zh-TW" w:eastAsia="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999" w:hRule="atLeast"/>
        </w:trPr>
        <w:tc>
          <w:tcPr>
            <w:tcW w:w="8102" w:type="dxa"/>
            <w:gridSpan w:val="5"/>
            <w:noWrap w:val="0"/>
            <w:vAlign w:val="top"/>
          </w:tcPr>
          <w:p>
            <w:pPr>
              <w:pStyle w:val="10"/>
              <w:widowControl w:val="0"/>
              <w:spacing w:after="0" w:line="360" w:lineRule="auto"/>
              <w:jc w:val="both"/>
              <w:rPr>
                <w:rFonts w:hint="eastAsia" w:asciiTheme="majorEastAsia" w:hAnsiTheme="majorEastAsia" w:eastAsiaTheme="majorEastAsia" w:cstheme="majorEastAsia"/>
                <w:kern w:val="2"/>
                <w:sz w:val="28"/>
                <w:szCs w:val="28"/>
                <w:lang w:val="zh-TW"/>
              </w:rPr>
            </w:pPr>
            <w:r>
              <w:rPr>
                <w:rFonts w:hint="eastAsia" w:asciiTheme="majorEastAsia" w:hAnsiTheme="majorEastAsia" w:eastAsiaTheme="majorEastAsia" w:cstheme="majorEastAsia"/>
                <w:kern w:val="2"/>
                <w:sz w:val="28"/>
                <w:szCs w:val="28"/>
                <w:lang w:val="zh-TW"/>
              </w:rPr>
              <w:t>报告撰写人（签字）：</w:t>
            </w:r>
          </w:p>
          <w:p>
            <w:pPr>
              <w:pStyle w:val="10"/>
              <w:widowControl w:val="0"/>
              <w:spacing w:after="0" w:line="360" w:lineRule="auto"/>
              <w:jc w:val="both"/>
              <w:rPr>
                <w:rFonts w:hint="eastAsia" w:asciiTheme="majorEastAsia" w:hAnsiTheme="majorEastAsia" w:eastAsiaTheme="majorEastAsia" w:cstheme="majorEastAsia"/>
                <w:kern w:val="2"/>
                <w:sz w:val="28"/>
                <w:szCs w:val="28"/>
                <w:lang w:val="zh-TW"/>
              </w:rPr>
            </w:pPr>
          </w:p>
          <w:p>
            <w:pPr>
              <w:pStyle w:val="10"/>
              <w:widowControl w:val="0"/>
              <w:spacing w:after="0" w:line="360" w:lineRule="auto"/>
              <w:jc w:val="both"/>
              <w:rPr>
                <w:rFonts w:hint="eastAsia" w:asciiTheme="majorEastAsia" w:hAnsiTheme="majorEastAsia" w:eastAsiaTheme="majorEastAsia" w:cstheme="majorEastAsia"/>
                <w:kern w:val="2"/>
                <w:sz w:val="28"/>
                <w:szCs w:val="28"/>
                <w:lang w:val="zh-TW"/>
              </w:rPr>
            </w:pPr>
          </w:p>
          <w:p>
            <w:pPr>
              <w:pStyle w:val="10"/>
              <w:widowControl w:val="0"/>
              <w:wordWrap w:val="0"/>
              <w:spacing w:after="0" w:line="360" w:lineRule="auto"/>
              <w:jc w:val="right"/>
              <w:rPr>
                <w:rFonts w:hint="eastAsia" w:asciiTheme="majorEastAsia" w:hAnsiTheme="majorEastAsia" w:eastAsiaTheme="majorEastAsia" w:cstheme="majorEastAsia"/>
                <w:kern w:val="2"/>
                <w:sz w:val="28"/>
                <w:szCs w:val="28"/>
                <w:lang w:val="zh-TW"/>
              </w:rPr>
            </w:pPr>
            <w:r>
              <w:rPr>
                <w:rFonts w:hint="eastAsia" w:asciiTheme="majorEastAsia" w:hAnsiTheme="majorEastAsia" w:eastAsiaTheme="majorEastAsia" w:cstheme="majorEastAsia"/>
                <w:kern w:val="2"/>
                <w:sz w:val="28"/>
                <w:szCs w:val="28"/>
                <w:lang w:val="zh-TW"/>
              </w:rPr>
              <w:t>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971" w:hRule="atLeast"/>
        </w:trPr>
        <w:tc>
          <w:tcPr>
            <w:tcW w:w="8102" w:type="dxa"/>
            <w:gridSpan w:val="5"/>
            <w:noWrap w:val="0"/>
            <w:vAlign w:val="top"/>
          </w:tcPr>
          <w:p>
            <w:pPr>
              <w:pStyle w:val="10"/>
              <w:widowControl w:val="0"/>
              <w:spacing w:after="0" w:line="360" w:lineRule="auto"/>
              <w:jc w:val="both"/>
              <w:rPr>
                <w:rFonts w:hint="eastAsia" w:asciiTheme="majorEastAsia" w:hAnsiTheme="majorEastAsia" w:eastAsiaTheme="majorEastAsia" w:cstheme="majorEastAsia"/>
                <w:kern w:val="2"/>
                <w:sz w:val="28"/>
                <w:szCs w:val="28"/>
                <w:lang w:val="zh-TW"/>
              </w:rPr>
            </w:pPr>
            <w:r>
              <w:rPr>
                <w:rFonts w:hint="eastAsia" w:asciiTheme="majorEastAsia" w:hAnsiTheme="majorEastAsia" w:eastAsiaTheme="majorEastAsia" w:cstheme="majorEastAsia"/>
                <w:kern w:val="2"/>
                <w:sz w:val="28"/>
                <w:szCs w:val="28"/>
                <w:lang w:val="zh-TW"/>
              </w:rPr>
              <w:t>评价工作负责人（签字）：</w:t>
            </w:r>
          </w:p>
          <w:p>
            <w:pPr>
              <w:pStyle w:val="10"/>
              <w:widowControl w:val="0"/>
              <w:spacing w:after="0" w:line="360" w:lineRule="auto"/>
              <w:jc w:val="both"/>
              <w:rPr>
                <w:rFonts w:hint="eastAsia" w:asciiTheme="majorEastAsia" w:hAnsiTheme="majorEastAsia" w:eastAsiaTheme="majorEastAsia" w:cstheme="majorEastAsia"/>
                <w:kern w:val="2"/>
                <w:sz w:val="28"/>
                <w:szCs w:val="28"/>
                <w:lang w:val="zh-TW"/>
              </w:rPr>
            </w:pPr>
          </w:p>
          <w:p>
            <w:pPr>
              <w:pStyle w:val="10"/>
              <w:widowControl w:val="0"/>
              <w:spacing w:after="0" w:line="360" w:lineRule="auto"/>
              <w:jc w:val="both"/>
              <w:rPr>
                <w:rFonts w:hint="eastAsia" w:asciiTheme="majorEastAsia" w:hAnsiTheme="majorEastAsia" w:eastAsiaTheme="majorEastAsia" w:cstheme="majorEastAsia"/>
                <w:kern w:val="2"/>
                <w:sz w:val="28"/>
                <w:szCs w:val="28"/>
                <w:lang w:val="zh-TW"/>
              </w:rPr>
            </w:pPr>
          </w:p>
          <w:p>
            <w:pPr>
              <w:pStyle w:val="10"/>
              <w:widowControl w:val="0"/>
              <w:wordWrap w:val="0"/>
              <w:spacing w:after="0" w:line="360" w:lineRule="auto"/>
              <w:jc w:val="right"/>
              <w:rPr>
                <w:rFonts w:hint="eastAsia" w:asciiTheme="majorEastAsia" w:hAnsiTheme="majorEastAsia" w:eastAsiaTheme="majorEastAsia" w:cstheme="majorEastAsia"/>
                <w:kern w:val="2"/>
                <w:sz w:val="28"/>
                <w:szCs w:val="28"/>
                <w:lang w:val="zh-TW"/>
              </w:rPr>
            </w:pPr>
            <w:r>
              <w:rPr>
                <w:rFonts w:hint="eastAsia" w:asciiTheme="majorEastAsia" w:hAnsiTheme="majorEastAsia" w:eastAsiaTheme="majorEastAsia" w:cstheme="majorEastAsia"/>
                <w:kern w:val="2"/>
                <w:sz w:val="28"/>
                <w:szCs w:val="28"/>
                <w:lang w:val="zh-TW"/>
              </w:rPr>
              <w:t>年  月  日</w:t>
            </w:r>
          </w:p>
        </w:tc>
      </w:tr>
    </w:tbl>
    <w:p>
      <w:pPr>
        <w:pStyle w:val="10"/>
        <w:widowControl w:val="0"/>
        <w:spacing w:after="0" w:line="360" w:lineRule="auto"/>
        <w:ind w:firstLine="566" w:firstLineChars="236"/>
        <w:jc w:val="both"/>
        <w:rPr>
          <w:rFonts w:ascii="Times New Roman" w:hAnsi="Times New Roman" w:eastAsia="PMingLiU" w:cs="Times New Roman"/>
          <w:kern w:val="2"/>
          <w:sz w:val="24"/>
          <w:szCs w:val="24"/>
          <w:lang w:val="zh-TW" w:eastAsia="zh-TW"/>
        </w:rPr>
      </w:pPr>
    </w:p>
    <w:p>
      <w:pPr>
        <w:pStyle w:val="10"/>
        <w:widowControl w:val="0"/>
        <w:spacing w:after="0" w:line="360" w:lineRule="auto"/>
        <w:jc w:val="both"/>
        <w:rPr>
          <w:rFonts w:ascii="Times New Roman" w:hAnsi="Times New Roman" w:cs="Times New Roman"/>
          <w:kern w:val="2"/>
          <w:sz w:val="24"/>
          <w:szCs w:val="24"/>
          <w:lang w:val="zh-TW"/>
        </w:rPr>
        <w:sectPr>
          <w:pgSz w:w="11906" w:h="16838"/>
          <w:pgMar w:top="1440" w:right="1800" w:bottom="1440" w:left="1800" w:header="851" w:footer="992" w:gutter="0"/>
          <w:cols w:space="425" w:num="1"/>
          <w:docGrid w:type="lines" w:linePitch="312" w:charSpace="0"/>
        </w:sectPr>
      </w:pPr>
    </w:p>
    <w:p>
      <w:pPr>
        <w:pStyle w:val="11"/>
        <w:jc w:val="center"/>
        <w:rPr>
          <w:rFonts w:ascii="方正小标宋_GBK" w:hAnsi="Times New Roman" w:eastAsia="方正小标宋_GBK" w:cs="Times New Roman"/>
          <w:b w:val="0"/>
          <w:color w:val="auto"/>
        </w:rPr>
      </w:pPr>
      <w:r>
        <w:rPr>
          <w:rFonts w:hint="eastAsia" w:ascii="方正小标宋_GBK" w:hAnsi="Times New Roman" w:eastAsia="方正小标宋_GBK" w:cs="宋体"/>
          <w:b w:val="0"/>
          <w:color w:val="auto"/>
          <w:lang w:val="zh-CN"/>
        </w:rPr>
        <w:t>目</w:t>
      </w:r>
      <w:r>
        <w:rPr>
          <w:rFonts w:hint="eastAsia" w:ascii="方正小标宋_GBK" w:hAnsi="Times New Roman" w:eastAsia="方正小标宋_GBK" w:cs="宋体"/>
          <w:b w:val="0"/>
          <w:color w:val="auto"/>
          <w:lang w:val="en-US" w:eastAsia="zh-CN"/>
        </w:rPr>
        <w:t xml:space="preserve"> </w:t>
      </w:r>
      <w:r>
        <w:rPr>
          <w:rFonts w:hint="eastAsia" w:ascii="方正小标宋_GBK" w:hAnsi="Times New Roman" w:eastAsia="方正小标宋_GBK" w:cs="宋体"/>
          <w:b w:val="0"/>
          <w:color w:val="auto"/>
          <w:lang w:val="zh-CN"/>
        </w:rPr>
        <w:t>录</w:t>
      </w:r>
    </w:p>
    <w:p>
      <w:pPr>
        <w:spacing w:line="400" w:lineRule="exact"/>
        <w:ind w:firstLine="560" w:firstLineChars="200"/>
        <w:jc w:val="left"/>
        <w:rPr>
          <w:rFonts w:hint="eastAsia" w:asciiTheme="majorEastAsia" w:hAnsiTheme="majorEastAsia" w:eastAsiaTheme="majorEastAsia" w:cstheme="majorEastAsia"/>
          <w:sz w:val="28"/>
          <w:szCs w:val="28"/>
        </w:rPr>
      </w:pPr>
      <w:r>
        <w:rPr>
          <w:rFonts w:hint="eastAsia" w:asciiTheme="majorEastAsia" w:hAnsiTheme="majorEastAsia" w:eastAsiaTheme="majorEastAsia" w:cstheme="majorEastAsia"/>
          <w:sz w:val="28"/>
          <w:szCs w:val="28"/>
        </w:rPr>
        <w:t>一、摘要</w:t>
      </w:r>
      <w:r>
        <w:rPr>
          <w:rFonts w:hint="eastAsia" w:asciiTheme="majorEastAsia" w:hAnsiTheme="majorEastAsia" w:eastAsiaTheme="majorEastAsia" w:cstheme="majorEastAsia"/>
          <w:sz w:val="28"/>
          <w:szCs w:val="28"/>
        </w:rPr>
        <w:tab/>
      </w:r>
      <w:r>
        <w:rPr>
          <w:rFonts w:hint="eastAsia" w:asciiTheme="majorEastAsia" w:hAnsiTheme="majorEastAsia" w:eastAsiaTheme="majorEastAsia" w:cstheme="majorEastAsia"/>
          <w:sz w:val="28"/>
          <w:szCs w:val="28"/>
        </w:rPr>
        <w:t xml:space="preserve"> </w:t>
      </w:r>
    </w:p>
    <w:p>
      <w:pPr>
        <w:spacing w:line="400" w:lineRule="exact"/>
        <w:ind w:firstLine="560" w:firstLineChars="200"/>
        <w:jc w:val="left"/>
        <w:rPr>
          <w:rFonts w:hint="eastAsia" w:asciiTheme="majorEastAsia" w:hAnsiTheme="majorEastAsia" w:eastAsiaTheme="majorEastAsia" w:cstheme="majorEastAsia"/>
          <w:sz w:val="28"/>
          <w:szCs w:val="28"/>
        </w:rPr>
      </w:pPr>
      <w:r>
        <w:rPr>
          <w:rFonts w:hint="eastAsia" w:asciiTheme="majorEastAsia" w:hAnsiTheme="majorEastAsia" w:eastAsiaTheme="majorEastAsia" w:cstheme="majorEastAsia"/>
          <w:sz w:val="28"/>
          <w:szCs w:val="28"/>
        </w:rPr>
        <w:t>二、部门概况</w:t>
      </w:r>
      <w:r>
        <w:rPr>
          <w:rFonts w:hint="eastAsia" w:asciiTheme="majorEastAsia" w:hAnsiTheme="majorEastAsia" w:eastAsiaTheme="majorEastAsia" w:cstheme="majorEastAsia"/>
          <w:sz w:val="28"/>
          <w:szCs w:val="28"/>
        </w:rPr>
        <w:tab/>
      </w:r>
      <w:r>
        <w:rPr>
          <w:rFonts w:hint="eastAsia" w:asciiTheme="majorEastAsia" w:hAnsiTheme="majorEastAsia" w:eastAsiaTheme="majorEastAsia" w:cstheme="majorEastAsia"/>
          <w:sz w:val="28"/>
          <w:szCs w:val="28"/>
        </w:rPr>
        <w:t xml:space="preserve"> </w:t>
      </w:r>
    </w:p>
    <w:p>
      <w:pPr>
        <w:spacing w:line="400" w:lineRule="exact"/>
        <w:ind w:firstLine="560" w:firstLineChars="200"/>
        <w:jc w:val="left"/>
        <w:rPr>
          <w:rFonts w:hint="eastAsia" w:asciiTheme="majorEastAsia" w:hAnsiTheme="majorEastAsia" w:eastAsiaTheme="majorEastAsia" w:cstheme="majorEastAsia"/>
          <w:sz w:val="28"/>
          <w:szCs w:val="28"/>
        </w:rPr>
      </w:pPr>
      <w:r>
        <w:rPr>
          <w:rFonts w:hint="eastAsia" w:asciiTheme="majorEastAsia" w:hAnsiTheme="majorEastAsia" w:eastAsiaTheme="majorEastAsia" w:cstheme="majorEastAsia"/>
          <w:sz w:val="28"/>
          <w:szCs w:val="28"/>
        </w:rPr>
        <w:t>（一）部门机构设置、编制</w:t>
      </w:r>
      <w:r>
        <w:rPr>
          <w:rFonts w:hint="eastAsia" w:asciiTheme="majorEastAsia" w:hAnsiTheme="majorEastAsia" w:eastAsiaTheme="majorEastAsia" w:cstheme="majorEastAsia"/>
          <w:sz w:val="28"/>
          <w:szCs w:val="28"/>
        </w:rPr>
        <w:tab/>
      </w:r>
    </w:p>
    <w:p>
      <w:pPr>
        <w:spacing w:line="400" w:lineRule="exact"/>
        <w:ind w:firstLine="560" w:firstLineChars="200"/>
        <w:jc w:val="left"/>
        <w:rPr>
          <w:rFonts w:hint="eastAsia" w:asciiTheme="majorEastAsia" w:hAnsiTheme="majorEastAsia" w:eastAsiaTheme="majorEastAsia" w:cstheme="majorEastAsia"/>
          <w:sz w:val="28"/>
          <w:szCs w:val="28"/>
        </w:rPr>
      </w:pPr>
      <w:r>
        <w:rPr>
          <w:rFonts w:hint="eastAsia" w:asciiTheme="majorEastAsia" w:hAnsiTheme="majorEastAsia" w:eastAsiaTheme="majorEastAsia" w:cstheme="majorEastAsia"/>
          <w:sz w:val="28"/>
          <w:szCs w:val="28"/>
        </w:rPr>
        <w:t>（二）部门职能</w:t>
      </w:r>
    </w:p>
    <w:p>
      <w:pPr>
        <w:spacing w:line="400" w:lineRule="exact"/>
        <w:ind w:firstLine="560" w:firstLineChars="200"/>
        <w:jc w:val="left"/>
        <w:rPr>
          <w:rFonts w:hint="eastAsia" w:asciiTheme="majorEastAsia" w:hAnsiTheme="majorEastAsia" w:eastAsiaTheme="majorEastAsia" w:cstheme="majorEastAsia"/>
          <w:sz w:val="28"/>
          <w:szCs w:val="28"/>
        </w:rPr>
      </w:pPr>
      <w:r>
        <w:rPr>
          <w:rFonts w:hint="eastAsia" w:asciiTheme="majorEastAsia" w:hAnsiTheme="majorEastAsia" w:eastAsiaTheme="majorEastAsia" w:cstheme="majorEastAsia"/>
          <w:sz w:val="28"/>
          <w:szCs w:val="28"/>
        </w:rPr>
        <w:t>（三）部门工作完成情况</w:t>
      </w:r>
      <w:r>
        <w:rPr>
          <w:rFonts w:hint="eastAsia" w:asciiTheme="majorEastAsia" w:hAnsiTheme="majorEastAsia" w:eastAsiaTheme="majorEastAsia" w:cstheme="majorEastAsia"/>
          <w:sz w:val="28"/>
          <w:szCs w:val="28"/>
        </w:rPr>
        <w:tab/>
      </w:r>
      <w:r>
        <w:rPr>
          <w:rFonts w:hint="eastAsia" w:asciiTheme="majorEastAsia" w:hAnsiTheme="majorEastAsia" w:eastAsiaTheme="majorEastAsia" w:cstheme="majorEastAsia"/>
          <w:sz w:val="28"/>
          <w:szCs w:val="28"/>
        </w:rPr>
        <w:t xml:space="preserve"> </w:t>
      </w:r>
    </w:p>
    <w:p>
      <w:pPr>
        <w:spacing w:line="400" w:lineRule="exact"/>
        <w:ind w:firstLine="560" w:firstLineChars="200"/>
        <w:jc w:val="left"/>
        <w:rPr>
          <w:rFonts w:hint="eastAsia" w:asciiTheme="majorEastAsia" w:hAnsiTheme="majorEastAsia" w:eastAsiaTheme="majorEastAsia" w:cstheme="majorEastAsia"/>
          <w:sz w:val="28"/>
          <w:szCs w:val="28"/>
        </w:rPr>
      </w:pPr>
      <w:r>
        <w:rPr>
          <w:rFonts w:hint="eastAsia" w:asciiTheme="majorEastAsia" w:hAnsiTheme="majorEastAsia" w:eastAsiaTheme="majorEastAsia" w:cstheme="majorEastAsia"/>
          <w:sz w:val="28"/>
          <w:szCs w:val="28"/>
        </w:rPr>
        <w:t xml:space="preserve">（四）部门管理制度 </w:t>
      </w:r>
    </w:p>
    <w:p>
      <w:pPr>
        <w:spacing w:line="400" w:lineRule="exact"/>
        <w:ind w:firstLine="560" w:firstLineChars="200"/>
        <w:jc w:val="left"/>
        <w:rPr>
          <w:rFonts w:hint="eastAsia" w:asciiTheme="majorEastAsia" w:hAnsiTheme="majorEastAsia" w:eastAsiaTheme="majorEastAsia" w:cstheme="majorEastAsia"/>
          <w:sz w:val="28"/>
          <w:szCs w:val="28"/>
        </w:rPr>
      </w:pPr>
      <w:r>
        <w:rPr>
          <w:rFonts w:hint="eastAsia" w:asciiTheme="majorEastAsia" w:hAnsiTheme="majorEastAsia" w:eastAsiaTheme="majorEastAsia" w:cstheme="majorEastAsia"/>
          <w:sz w:val="28"/>
          <w:szCs w:val="28"/>
        </w:rPr>
        <w:t>（五）部门资金来源及使用情况</w:t>
      </w:r>
      <w:r>
        <w:rPr>
          <w:rFonts w:hint="eastAsia" w:asciiTheme="majorEastAsia" w:hAnsiTheme="majorEastAsia" w:eastAsiaTheme="majorEastAsia" w:cstheme="majorEastAsia"/>
          <w:sz w:val="28"/>
          <w:szCs w:val="28"/>
        </w:rPr>
        <w:tab/>
      </w:r>
      <w:r>
        <w:rPr>
          <w:rFonts w:hint="eastAsia" w:asciiTheme="majorEastAsia" w:hAnsiTheme="majorEastAsia" w:eastAsiaTheme="majorEastAsia" w:cstheme="majorEastAsia"/>
          <w:sz w:val="28"/>
          <w:szCs w:val="28"/>
        </w:rPr>
        <w:t xml:space="preserve"> </w:t>
      </w:r>
    </w:p>
    <w:p>
      <w:pPr>
        <w:spacing w:line="400" w:lineRule="exact"/>
        <w:ind w:firstLine="560" w:firstLineChars="200"/>
        <w:jc w:val="left"/>
        <w:rPr>
          <w:rFonts w:hint="eastAsia" w:asciiTheme="majorEastAsia" w:hAnsiTheme="majorEastAsia" w:eastAsiaTheme="majorEastAsia" w:cstheme="majorEastAsia"/>
          <w:sz w:val="28"/>
          <w:szCs w:val="28"/>
        </w:rPr>
      </w:pPr>
      <w:r>
        <w:rPr>
          <w:rFonts w:hint="eastAsia" w:asciiTheme="majorEastAsia" w:hAnsiTheme="majorEastAsia" w:eastAsiaTheme="majorEastAsia" w:cstheme="majorEastAsia"/>
          <w:sz w:val="28"/>
          <w:szCs w:val="28"/>
        </w:rPr>
        <w:t xml:space="preserve">（六）政府采购情况 </w:t>
      </w:r>
    </w:p>
    <w:p>
      <w:pPr>
        <w:spacing w:line="400" w:lineRule="exact"/>
        <w:ind w:firstLine="560" w:firstLineChars="200"/>
        <w:jc w:val="left"/>
        <w:rPr>
          <w:rFonts w:hint="eastAsia" w:asciiTheme="majorEastAsia" w:hAnsiTheme="majorEastAsia" w:eastAsiaTheme="majorEastAsia" w:cstheme="majorEastAsia"/>
          <w:sz w:val="28"/>
          <w:szCs w:val="28"/>
        </w:rPr>
      </w:pPr>
      <w:r>
        <w:rPr>
          <w:rFonts w:hint="eastAsia" w:asciiTheme="majorEastAsia" w:hAnsiTheme="majorEastAsia" w:eastAsiaTheme="majorEastAsia" w:cstheme="majorEastAsia"/>
          <w:sz w:val="28"/>
          <w:szCs w:val="28"/>
        </w:rPr>
        <w:t>（七）固定资产情况</w:t>
      </w:r>
      <w:r>
        <w:rPr>
          <w:rFonts w:hint="eastAsia" w:asciiTheme="majorEastAsia" w:hAnsiTheme="majorEastAsia" w:eastAsiaTheme="majorEastAsia" w:cstheme="majorEastAsia"/>
          <w:sz w:val="28"/>
          <w:szCs w:val="28"/>
        </w:rPr>
        <w:tab/>
      </w:r>
      <w:r>
        <w:rPr>
          <w:rFonts w:hint="eastAsia" w:asciiTheme="majorEastAsia" w:hAnsiTheme="majorEastAsia" w:eastAsiaTheme="majorEastAsia" w:cstheme="majorEastAsia"/>
          <w:sz w:val="28"/>
          <w:szCs w:val="28"/>
        </w:rPr>
        <w:t xml:space="preserve"> </w:t>
      </w:r>
    </w:p>
    <w:p>
      <w:pPr>
        <w:spacing w:line="400" w:lineRule="exact"/>
        <w:ind w:firstLine="560" w:firstLineChars="200"/>
        <w:jc w:val="left"/>
        <w:rPr>
          <w:rFonts w:hint="eastAsia" w:asciiTheme="majorEastAsia" w:hAnsiTheme="majorEastAsia" w:eastAsiaTheme="majorEastAsia" w:cstheme="majorEastAsia"/>
          <w:sz w:val="28"/>
          <w:szCs w:val="28"/>
        </w:rPr>
      </w:pPr>
      <w:r>
        <w:rPr>
          <w:rFonts w:hint="eastAsia" w:asciiTheme="majorEastAsia" w:hAnsiTheme="majorEastAsia" w:eastAsiaTheme="majorEastAsia" w:cstheme="majorEastAsia"/>
          <w:sz w:val="28"/>
          <w:szCs w:val="28"/>
        </w:rPr>
        <w:t>三、绩效目标</w:t>
      </w:r>
      <w:r>
        <w:rPr>
          <w:rFonts w:hint="eastAsia" w:asciiTheme="majorEastAsia" w:hAnsiTheme="majorEastAsia" w:eastAsiaTheme="majorEastAsia" w:cstheme="majorEastAsia"/>
          <w:sz w:val="28"/>
          <w:szCs w:val="28"/>
        </w:rPr>
        <w:tab/>
      </w:r>
      <w:r>
        <w:rPr>
          <w:rFonts w:hint="eastAsia" w:asciiTheme="majorEastAsia" w:hAnsiTheme="majorEastAsia" w:eastAsiaTheme="majorEastAsia" w:cstheme="majorEastAsia"/>
          <w:sz w:val="28"/>
          <w:szCs w:val="28"/>
        </w:rPr>
        <w:t xml:space="preserve"> </w:t>
      </w:r>
    </w:p>
    <w:p>
      <w:pPr>
        <w:spacing w:line="400" w:lineRule="exact"/>
        <w:ind w:firstLine="560" w:firstLineChars="200"/>
        <w:jc w:val="left"/>
        <w:rPr>
          <w:rFonts w:hint="eastAsia" w:asciiTheme="majorEastAsia" w:hAnsiTheme="majorEastAsia" w:eastAsiaTheme="majorEastAsia" w:cstheme="majorEastAsia"/>
          <w:sz w:val="28"/>
          <w:szCs w:val="28"/>
        </w:rPr>
      </w:pPr>
      <w:r>
        <w:rPr>
          <w:rFonts w:hint="eastAsia" w:asciiTheme="majorEastAsia" w:hAnsiTheme="majorEastAsia" w:eastAsiaTheme="majorEastAsia" w:cstheme="majorEastAsia"/>
          <w:sz w:val="28"/>
          <w:szCs w:val="28"/>
        </w:rPr>
        <w:t>四、评价思路和过程</w:t>
      </w:r>
      <w:r>
        <w:rPr>
          <w:rFonts w:hint="eastAsia" w:asciiTheme="majorEastAsia" w:hAnsiTheme="majorEastAsia" w:eastAsiaTheme="majorEastAsia" w:cstheme="majorEastAsia"/>
          <w:sz w:val="28"/>
          <w:szCs w:val="28"/>
        </w:rPr>
        <w:tab/>
      </w:r>
      <w:r>
        <w:rPr>
          <w:rFonts w:hint="eastAsia" w:asciiTheme="majorEastAsia" w:hAnsiTheme="majorEastAsia" w:eastAsiaTheme="majorEastAsia" w:cstheme="majorEastAsia"/>
          <w:sz w:val="28"/>
          <w:szCs w:val="28"/>
        </w:rPr>
        <w:t xml:space="preserve"> </w:t>
      </w:r>
    </w:p>
    <w:p>
      <w:pPr>
        <w:spacing w:line="400" w:lineRule="exact"/>
        <w:ind w:firstLine="560" w:firstLineChars="200"/>
        <w:jc w:val="left"/>
        <w:rPr>
          <w:rFonts w:hint="eastAsia" w:asciiTheme="majorEastAsia" w:hAnsiTheme="majorEastAsia" w:eastAsiaTheme="majorEastAsia" w:cstheme="majorEastAsia"/>
          <w:sz w:val="28"/>
          <w:szCs w:val="28"/>
        </w:rPr>
      </w:pPr>
      <w:r>
        <w:rPr>
          <w:rFonts w:hint="eastAsia" w:asciiTheme="majorEastAsia" w:hAnsiTheme="majorEastAsia" w:eastAsiaTheme="majorEastAsia" w:cstheme="majorEastAsia"/>
          <w:sz w:val="28"/>
          <w:szCs w:val="28"/>
        </w:rPr>
        <w:t>（一）评价思路</w:t>
      </w:r>
      <w:r>
        <w:rPr>
          <w:rFonts w:hint="eastAsia" w:asciiTheme="majorEastAsia" w:hAnsiTheme="majorEastAsia" w:eastAsiaTheme="majorEastAsia" w:cstheme="majorEastAsia"/>
          <w:sz w:val="28"/>
          <w:szCs w:val="28"/>
        </w:rPr>
        <w:tab/>
      </w:r>
      <w:r>
        <w:rPr>
          <w:rFonts w:hint="eastAsia" w:asciiTheme="majorEastAsia" w:hAnsiTheme="majorEastAsia" w:eastAsiaTheme="majorEastAsia" w:cstheme="majorEastAsia"/>
          <w:sz w:val="28"/>
          <w:szCs w:val="28"/>
        </w:rPr>
        <w:t xml:space="preserve"> </w:t>
      </w:r>
    </w:p>
    <w:p>
      <w:pPr>
        <w:spacing w:line="400" w:lineRule="exact"/>
        <w:ind w:firstLine="560" w:firstLineChars="200"/>
        <w:jc w:val="left"/>
        <w:rPr>
          <w:rFonts w:hint="eastAsia" w:asciiTheme="majorEastAsia" w:hAnsiTheme="majorEastAsia" w:eastAsiaTheme="majorEastAsia" w:cstheme="majorEastAsia"/>
          <w:sz w:val="28"/>
          <w:szCs w:val="28"/>
        </w:rPr>
      </w:pPr>
      <w:r>
        <w:rPr>
          <w:rFonts w:hint="eastAsia" w:asciiTheme="majorEastAsia" w:hAnsiTheme="majorEastAsia" w:eastAsiaTheme="majorEastAsia" w:cstheme="majorEastAsia"/>
          <w:sz w:val="28"/>
          <w:szCs w:val="28"/>
        </w:rPr>
        <w:t>（二）评价目的</w:t>
      </w:r>
      <w:r>
        <w:rPr>
          <w:rFonts w:hint="eastAsia" w:asciiTheme="majorEastAsia" w:hAnsiTheme="majorEastAsia" w:eastAsiaTheme="majorEastAsia" w:cstheme="majorEastAsia"/>
          <w:sz w:val="28"/>
          <w:szCs w:val="28"/>
        </w:rPr>
        <w:tab/>
      </w:r>
      <w:r>
        <w:rPr>
          <w:rFonts w:hint="eastAsia" w:asciiTheme="majorEastAsia" w:hAnsiTheme="majorEastAsia" w:eastAsiaTheme="majorEastAsia" w:cstheme="majorEastAsia"/>
          <w:sz w:val="28"/>
          <w:szCs w:val="28"/>
        </w:rPr>
        <w:t xml:space="preserve"> </w:t>
      </w:r>
    </w:p>
    <w:p>
      <w:pPr>
        <w:spacing w:line="400" w:lineRule="exact"/>
        <w:ind w:firstLine="560" w:firstLineChars="200"/>
        <w:jc w:val="left"/>
        <w:rPr>
          <w:rFonts w:hint="eastAsia" w:asciiTheme="majorEastAsia" w:hAnsiTheme="majorEastAsia" w:eastAsiaTheme="majorEastAsia" w:cstheme="majorEastAsia"/>
          <w:sz w:val="28"/>
          <w:szCs w:val="28"/>
        </w:rPr>
      </w:pPr>
      <w:r>
        <w:rPr>
          <w:rFonts w:hint="eastAsia" w:asciiTheme="majorEastAsia" w:hAnsiTheme="majorEastAsia" w:eastAsiaTheme="majorEastAsia" w:cstheme="majorEastAsia"/>
          <w:sz w:val="28"/>
          <w:szCs w:val="28"/>
        </w:rPr>
        <w:t>（三）评价依据</w:t>
      </w:r>
      <w:r>
        <w:rPr>
          <w:rFonts w:hint="eastAsia" w:asciiTheme="majorEastAsia" w:hAnsiTheme="majorEastAsia" w:eastAsiaTheme="majorEastAsia" w:cstheme="majorEastAsia"/>
          <w:sz w:val="28"/>
          <w:szCs w:val="28"/>
        </w:rPr>
        <w:tab/>
      </w:r>
      <w:r>
        <w:rPr>
          <w:rFonts w:hint="eastAsia" w:asciiTheme="majorEastAsia" w:hAnsiTheme="majorEastAsia" w:eastAsiaTheme="majorEastAsia" w:cstheme="majorEastAsia"/>
          <w:sz w:val="28"/>
          <w:szCs w:val="28"/>
        </w:rPr>
        <w:t xml:space="preserve"> </w:t>
      </w:r>
    </w:p>
    <w:p>
      <w:pPr>
        <w:spacing w:line="400" w:lineRule="exact"/>
        <w:ind w:firstLine="560" w:firstLineChars="200"/>
        <w:jc w:val="left"/>
        <w:rPr>
          <w:rFonts w:hint="eastAsia" w:asciiTheme="majorEastAsia" w:hAnsiTheme="majorEastAsia" w:eastAsiaTheme="majorEastAsia" w:cstheme="majorEastAsia"/>
          <w:sz w:val="28"/>
          <w:szCs w:val="28"/>
        </w:rPr>
      </w:pPr>
      <w:r>
        <w:rPr>
          <w:rFonts w:hint="eastAsia" w:asciiTheme="majorEastAsia" w:hAnsiTheme="majorEastAsia" w:eastAsiaTheme="majorEastAsia" w:cstheme="majorEastAsia"/>
          <w:sz w:val="28"/>
          <w:szCs w:val="28"/>
        </w:rPr>
        <w:t>（四）评价对象及评价时段</w:t>
      </w:r>
      <w:r>
        <w:rPr>
          <w:rFonts w:hint="eastAsia" w:asciiTheme="majorEastAsia" w:hAnsiTheme="majorEastAsia" w:eastAsiaTheme="majorEastAsia" w:cstheme="majorEastAsia"/>
          <w:sz w:val="28"/>
          <w:szCs w:val="28"/>
        </w:rPr>
        <w:tab/>
      </w:r>
      <w:r>
        <w:rPr>
          <w:rFonts w:hint="eastAsia" w:asciiTheme="majorEastAsia" w:hAnsiTheme="majorEastAsia" w:eastAsiaTheme="majorEastAsia" w:cstheme="majorEastAsia"/>
          <w:sz w:val="28"/>
          <w:szCs w:val="28"/>
        </w:rPr>
        <w:t xml:space="preserve"> </w:t>
      </w:r>
    </w:p>
    <w:p>
      <w:pPr>
        <w:spacing w:line="400" w:lineRule="exact"/>
        <w:ind w:firstLine="560" w:firstLineChars="200"/>
        <w:jc w:val="left"/>
        <w:rPr>
          <w:rFonts w:hint="eastAsia" w:asciiTheme="majorEastAsia" w:hAnsiTheme="majorEastAsia" w:eastAsiaTheme="majorEastAsia" w:cstheme="majorEastAsia"/>
          <w:sz w:val="28"/>
          <w:szCs w:val="28"/>
        </w:rPr>
      </w:pPr>
      <w:r>
        <w:rPr>
          <w:rFonts w:hint="eastAsia" w:asciiTheme="majorEastAsia" w:hAnsiTheme="majorEastAsia" w:eastAsiaTheme="majorEastAsia" w:cstheme="majorEastAsia"/>
          <w:sz w:val="28"/>
          <w:szCs w:val="28"/>
        </w:rPr>
        <w:t>五、评价结论和绩效分析</w:t>
      </w:r>
      <w:r>
        <w:rPr>
          <w:rFonts w:hint="eastAsia" w:asciiTheme="majorEastAsia" w:hAnsiTheme="majorEastAsia" w:eastAsiaTheme="majorEastAsia" w:cstheme="majorEastAsia"/>
          <w:sz w:val="28"/>
          <w:szCs w:val="28"/>
        </w:rPr>
        <w:tab/>
      </w:r>
      <w:r>
        <w:rPr>
          <w:rFonts w:hint="eastAsia" w:asciiTheme="majorEastAsia" w:hAnsiTheme="majorEastAsia" w:eastAsiaTheme="majorEastAsia" w:cstheme="majorEastAsia"/>
          <w:sz w:val="28"/>
          <w:szCs w:val="28"/>
        </w:rPr>
        <w:t xml:space="preserve"> </w:t>
      </w:r>
    </w:p>
    <w:p>
      <w:pPr>
        <w:spacing w:line="400" w:lineRule="exact"/>
        <w:ind w:firstLine="560" w:firstLineChars="200"/>
        <w:jc w:val="left"/>
        <w:rPr>
          <w:rFonts w:hint="eastAsia" w:asciiTheme="majorEastAsia" w:hAnsiTheme="majorEastAsia" w:eastAsiaTheme="majorEastAsia" w:cstheme="majorEastAsia"/>
          <w:sz w:val="28"/>
          <w:szCs w:val="28"/>
        </w:rPr>
      </w:pPr>
      <w:r>
        <w:rPr>
          <w:rFonts w:hint="eastAsia" w:asciiTheme="majorEastAsia" w:hAnsiTheme="majorEastAsia" w:eastAsiaTheme="majorEastAsia" w:cstheme="majorEastAsia"/>
          <w:sz w:val="28"/>
          <w:szCs w:val="28"/>
        </w:rPr>
        <w:t>（一）评价结论</w:t>
      </w:r>
      <w:r>
        <w:rPr>
          <w:rFonts w:hint="eastAsia" w:asciiTheme="majorEastAsia" w:hAnsiTheme="majorEastAsia" w:eastAsiaTheme="majorEastAsia" w:cstheme="majorEastAsia"/>
          <w:sz w:val="28"/>
          <w:szCs w:val="28"/>
        </w:rPr>
        <w:tab/>
      </w:r>
      <w:r>
        <w:rPr>
          <w:rFonts w:hint="eastAsia" w:asciiTheme="majorEastAsia" w:hAnsiTheme="majorEastAsia" w:eastAsiaTheme="majorEastAsia" w:cstheme="majorEastAsia"/>
          <w:sz w:val="28"/>
          <w:szCs w:val="28"/>
        </w:rPr>
        <w:t xml:space="preserve"> </w:t>
      </w:r>
    </w:p>
    <w:p>
      <w:pPr>
        <w:spacing w:line="400" w:lineRule="exact"/>
        <w:ind w:firstLine="560" w:firstLineChars="200"/>
        <w:jc w:val="left"/>
        <w:rPr>
          <w:rFonts w:hint="eastAsia" w:asciiTheme="majorEastAsia" w:hAnsiTheme="majorEastAsia" w:eastAsiaTheme="majorEastAsia" w:cstheme="majorEastAsia"/>
          <w:sz w:val="28"/>
          <w:szCs w:val="28"/>
        </w:rPr>
      </w:pPr>
      <w:r>
        <w:rPr>
          <w:rFonts w:hint="eastAsia" w:asciiTheme="majorEastAsia" w:hAnsiTheme="majorEastAsia" w:eastAsiaTheme="majorEastAsia" w:cstheme="majorEastAsia"/>
          <w:sz w:val="28"/>
          <w:szCs w:val="28"/>
        </w:rPr>
        <w:t>（二）具体绩效分析</w:t>
      </w:r>
      <w:r>
        <w:rPr>
          <w:rFonts w:hint="eastAsia" w:asciiTheme="majorEastAsia" w:hAnsiTheme="majorEastAsia" w:eastAsiaTheme="majorEastAsia" w:cstheme="majorEastAsia"/>
          <w:sz w:val="28"/>
          <w:szCs w:val="28"/>
        </w:rPr>
        <w:tab/>
      </w:r>
      <w:r>
        <w:rPr>
          <w:rFonts w:hint="eastAsia" w:asciiTheme="majorEastAsia" w:hAnsiTheme="majorEastAsia" w:eastAsiaTheme="majorEastAsia" w:cstheme="majorEastAsia"/>
          <w:sz w:val="28"/>
          <w:szCs w:val="28"/>
        </w:rPr>
        <w:t xml:space="preserve"> </w:t>
      </w:r>
    </w:p>
    <w:p>
      <w:pPr>
        <w:spacing w:line="400" w:lineRule="exact"/>
        <w:ind w:firstLine="560" w:firstLineChars="200"/>
        <w:jc w:val="left"/>
        <w:rPr>
          <w:rFonts w:hint="eastAsia" w:asciiTheme="majorEastAsia" w:hAnsiTheme="majorEastAsia" w:eastAsiaTheme="majorEastAsia" w:cstheme="majorEastAsia"/>
          <w:sz w:val="28"/>
          <w:szCs w:val="28"/>
        </w:rPr>
      </w:pPr>
      <w:r>
        <w:rPr>
          <w:rFonts w:hint="eastAsia" w:asciiTheme="majorEastAsia" w:hAnsiTheme="majorEastAsia" w:eastAsiaTheme="majorEastAsia" w:cstheme="majorEastAsia"/>
          <w:sz w:val="28"/>
          <w:szCs w:val="28"/>
        </w:rPr>
        <w:t>六、主要经验做法</w:t>
      </w:r>
      <w:r>
        <w:rPr>
          <w:rFonts w:hint="eastAsia" w:asciiTheme="majorEastAsia" w:hAnsiTheme="majorEastAsia" w:eastAsiaTheme="majorEastAsia" w:cstheme="majorEastAsia"/>
          <w:sz w:val="28"/>
          <w:szCs w:val="28"/>
        </w:rPr>
        <w:tab/>
      </w:r>
      <w:r>
        <w:rPr>
          <w:rFonts w:hint="eastAsia" w:asciiTheme="majorEastAsia" w:hAnsiTheme="majorEastAsia" w:eastAsiaTheme="majorEastAsia" w:cstheme="majorEastAsia"/>
          <w:sz w:val="28"/>
          <w:szCs w:val="28"/>
        </w:rPr>
        <w:t xml:space="preserve"> </w:t>
      </w:r>
    </w:p>
    <w:p>
      <w:pPr>
        <w:spacing w:line="400" w:lineRule="exact"/>
        <w:ind w:firstLine="560" w:firstLineChars="200"/>
        <w:jc w:val="left"/>
        <w:rPr>
          <w:rFonts w:hint="eastAsia" w:asciiTheme="majorEastAsia" w:hAnsiTheme="majorEastAsia" w:eastAsiaTheme="majorEastAsia" w:cstheme="majorEastAsia"/>
          <w:sz w:val="28"/>
          <w:szCs w:val="28"/>
        </w:rPr>
      </w:pPr>
      <w:r>
        <w:rPr>
          <w:rFonts w:hint="eastAsia" w:asciiTheme="majorEastAsia" w:hAnsiTheme="majorEastAsia" w:eastAsiaTheme="majorEastAsia" w:cstheme="majorEastAsia"/>
          <w:sz w:val="28"/>
          <w:szCs w:val="28"/>
        </w:rPr>
        <w:t>七、存在的问题</w:t>
      </w:r>
      <w:r>
        <w:rPr>
          <w:rFonts w:hint="eastAsia" w:asciiTheme="majorEastAsia" w:hAnsiTheme="majorEastAsia" w:eastAsiaTheme="majorEastAsia" w:cstheme="majorEastAsia"/>
          <w:sz w:val="28"/>
          <w:szCs w:val="28"/>
        </w:rPr>
        <w:tab/>
      </w:r>
      <w:r>
        <w:rPr>
          <w:rFonts w:hint="eastAsia" w:asciiTheme="majorEastAsia" w:hAnsiTheme="majorEastAsia" w:eastAsiaTheme="majorEastAsia" w:cstheme="majorEastAsia"/>
          <w:sz w:val="28"/>
          <w:szCs w:val="28"/>
        </w:rPr>
        <w:t xml:space="preserve"> </w:t>
      </w:r>
    </w:p>
    <w:p>
      <w:pPr>
        <w:spacing w:line="400" w:lineRule="exact"/>
        <w:ind w:firstLine="560" w:firstLineChars="200"/>
        <w:jc w:val="left"/>
        <w:rPr>
          <w:rFonts w:hint="eastAsia" w:asciiTheme="majorEastAsia" w:hAnsiTheme="majorEastAsia" w:eastAsiaTheme="majorEastAsia" w:cstheme="majorEastAsia"/>
          <w:sz w:val="28"/>
          <w:szCs w:val="28"/>
        </w:rPr>
      </w:pPr>
      <w:r>
        <w:rPr>
          <w:rFonts w:hint="eastAsia" w:asciiTheme="majorEastAsia" w:hAnsiTheme="majorEastAsia" w:eastAsiaTheme="majorEastAsia" w:cstheme="majorEastAsia"/>
          <w:sz w:val="28"/>
          <w:szCs w:val="28"/>
        </w:rPr>
        <w:t>八、改进措施及建议</w:t>
      </w:r>
      <w:r>
        <w:rPr>
          <w:rFonts w:hint="eastAsia" w:asciiTheme="majorEastAsia" w:hAnsiTheme="majorEastAsia" w:eastAsiaTheme="majorEastAsia" w:cstheme="majorEastAsia"/>
          <w:sz w:val="28"/>
          <w:szCs w:val="28"/>
        </w:rPr>
        <w:tab/>
      </w:r>
      <w:r>
        <w:rPr>
          <w:rFonts w:hint="eastAsia" w:asciiTheme="majorEastAsia" w:hAnsiTheme="majorEastAsia" w:eastAsiaTheme="majorEastAsia" w:cstheme="majorEastAsia"/>
          <w:sz w:val="28"/>
          <w:szCs w:val="28"/>
        </w:rPr>
        <w:t xml:space="preserve"> </w:t>
      </w:r>
    </w:p>
    <w:p>
      <w:pPr>
        <w:spacing w:line="400" w:lineRule="exact"/>
        <w:ind w:firstLine="560" w:firstLineChars="200"/>
        <w:jc w:val="left"/>
        <w:rPr>
          <w:rFonts w:hint="eastAsia" w:asciiTheme="majorEastAsia" w:hAnsiTheme="majorEastAsia" w:eastAsiaTheme="majorEastAsia" w:cstheme="majorEastAsia"/>
          <w:sz w:val="28"/>
          <w:szCs w:val="28"/>
        </w:rPr>
      </w:pPr>
    </w:p>
    <w:p>
      <w:pPr>
        <w:spacing w:line="400" w:lineRule="exact"/>
        <w:ind w:firstLine="560" w:firstLineChars="200"/>
        <w:jc w:val="left"/>
        <w:rPr>
          <w:rFonts w:hint="eastAsia" w:asciiTheme="majorEastAsia" w:hAnsiTheme="majorEastAsia" w:eastAsiaTheme="majorEastAsia" w:cstheme="majorEastAsia"/>
          <w:sz w:val="28"/>
          <w:szCs w:val="28"/>
        </w:rPr>
      </w:pPr>
      <w:r>
        <w:rPr>
          <w:rFonts w:hint="eastAsia" w:asciiTheme="majorEastAsia" w:hAnsiTheme="majorEastAsia" w:eastAsiaTheme="majorEastAsia" w:cstheme="majorEastAsia"/>
          <w:sz w:val="28"/>
          <w:szCs w:val="28"/>
        </w:rPr>
        <w:t>附件1 成本费用分析报告</w:t>
      </w:r>
      <w:r>
        <w:rPr>
          <w:rFonts w:hint="eastAsia" w:asciiTheme="majorEastAsia" w:hAnsiTheme="majorEastAsia" w:eastAsiaTheme="majorEastAsia" w:cstheme="majorEastAsia"/>
          <w:sz w:val="28"/>
          <w:szCs w:val="28"/>
        </w:rPr>
        <w:tab/>
      </w:r>
      <w:r>
        <w:rPr>
          <w:rFonts w:hint="eastAsia" w:asciiTheme="majorEastAsia" w:hAnsiTheme="majorEastAsia" w:eastAsiaTheme="majorEastAsia" w:cstheme="majorEastAsia"/>
          <w:sz w:val="28"/>
          <w:szCs w:val="28"/>
        </w:rPr>
        <w:t xml:space="preserve"> </w:t>
      </w:r>
    </w:p>
    <w:p>
      <w:pPr>
        <w:spacing w:line="400" w:lineRule="exact"/>
        <w:ind w:firstLine="560" w:firstLineChars="200"/>
        <w:jc w:val="left"/>
        <w:rPr>
          <w:rFonts w:hint="eastAsia" w:asciiTheme="majorEastAsia" w:hAnsiTheme="majorEastAsia" w:eastAsiaTheme="majorEastAsia" w:cstheme="majorEastAsia"/>
          <w:sz w:val="28"/>
          <w:szCs w:val="28"/>
        </w:rPr>
      </w:pPr>
      <w:r>
        <w:rPr>
          <w:rFonts w:hint="eastAsia" w:asciiTheme="majorEastAsia" w:hAnsiTheme="majorEastAsia" w:eastAsiaTheme="majorEastAsia" w:cstheme="majorEastAsia"/>
          <w:sz w:val="28"/>
          <w:szCs w:val="28"/>
        </w:rPr>
        <w:t>附件2 部门职能分解</w:t>
      </w:r>
      <w:r>
        <w:rPr>
          <w:rFonts w:hint="eastAsia" w:asciiTheme="majorEastAsia" w:hAnsiTheme="majorEastAsia" w:eastAsiaTheme="majorEastAsia" w:cstheme="majorEastAsia"/>
          <w:sz w:val="28"/>
          <w:szCs w:val="28"/>
        </w:rPr>
        <w:tab/>
      </w:r>
      <w:r>
        <w:rPr>
          <w:rFonts w:hint="eastAsia" w:asciiTheme="majorEastAsia" w:hAnsiTheme="majorEastAsia" w:eastAsiaTheme="majorEastAsia" w:cstheme="majorEastAsia"/>
          <w:sz w:val="28"/>
          <w:szCs w:val="28"/>
        </w:rPr>
        <w:t xml:space="preserve"> </w:t>
      </w:r>
    </w:p>
    <w:p>
      <w:pPr>
        <w:spacing w:line="400" w:lineRule="exact"/>
        <w:ind w:firstLine="560" w:firstLineChars="200"/>
        <w:jc w:val="left"/>
        <w:rPr>
          <w:rFonts w:hint="eastAsia" w:asciiTheme="majorEastAsia" w:hAnsiTheme="majorEastAsia" w:eastAsiaTheme="majorEastAsia" w:cstheme="majorEastAsia"/>
          <w:sz w:val="28"/>
          <w:szCs w:val="28"/>
        </w:rPr>
      </w:pPr>
      <w:r>
        <w:rPr>
          <w:rFonts w:hint="eastAsia" w:asciiTheme="majorEastAsia" w:hAnsiTheme="majorEastAsia" w:eastAsiaTheme="majorEastAsia" w:cstheme="majorEastAsia"/>
          <w:sz w:val="28"/>
          <w:szCs w:val="28"/>
        </w:rPr>
        <w:t xml:space="preserve">附件3评价指标体系 </w:t>
      </w:r>
    </w:p>
    <w:p>
      <w:pPr>
        <w:spacing w:line="400" w:lineRule="exact"/>
        <w:ind w:firstLine="560" w:firstLineChars="200"/>
        <w:jc w:val="left"/>
        <w:rPr>
          <w:rFonts w:hint="eastAsia" w:asciiTheme="majorEastAsia" w:hAnsiTheme="majorEastAsia" w:eastAsiaTheme="majorEastAsia" w:cstheme="majorEastAsia"/>
          <w:sz w:val="28"/>
          <w:szCs w:val="28"/>
          <w:lang w:val="en-US" w:eastAsia="zh-CN"/>
        </w:rPr>
      </w:pPr>
      <w:r>
        <w:rPr>
          <w:rFonts w:hint="eastAsia" w:asciiTheme="majorEastAsia" w:hAnsiTheme="majorEastAsia" w:eastAsiaTheme="majorEastAsia" w:cstheme="majorEastAsia"/>
          <w:sz w:val="28"/>
          <w:szCs w:val="28"/>
          <w:lang w:val="en-US" w:eastAsia="zh-CN"/>
        </w:rPr>
        <w:t>附件4 2019年工作总结</w:t>
      </w:r>
    </w:p>
    <w:p>
      <w:pPr>
        <w:spacing w:line="400" w:lineRule="exact"/>
        <w:ind w:firstLine="560" w:firstLineChars="200"/>
        <w:jc w:val="left"/>
        <w:rPr>
          <w:rFonts w:hint="eastAsia" w:asciiTheme="majorEastAsia" w:hAnsiTheme="majorEastAsia" w:eastAsiaTheme="majorEastAsia" w:cstheme="majorEastAsia"/>
          <w:sz w:val="28"/>
          <w:szCs w:val="28"/>
        </w:rPr>
      </w:pPr>
      <w:r>
        <w:rPr>
          <w:rFonts w:hint="eastAsia" w:asciiTheme="majorEastAsia" w:hAnsiTheme="majorEastAsia" w:eastAsiaTheme="majorEastAsia" w:cstheme="majorEastAsia"/>
          <w:sz w:val="28"/>
          <w:szCs w:val="28"/>
        </w:rPr>
        <w:t>附件5工作底稿</w:t>
      </w:r>
      <w:r>
        <w:rPr>
          <w:rFonts w:hint="eastAsia" w:asciiTheme="majorEastAsia" w:hAnsiTheme="majorEastAsia" w:eastAsiaTheme="majorEastAsia" w:cstheme="majorEastAsia"/>
          <w:sz w:val="28"/>
          <w:szCs w:val="28"/>
        </w:rPr>
        <w:tab/>
      </w:r>
      <w:r>
        <w:rPr>
          <w:rFonts w:hint="eastAsia" w:asciiTheme="majorEastAsia" w:hAnsiTheme="majorEastAsia" w:eastAsiaTheme="majorEastAsia" w:cstheme="majorEastAsia"/>
          <w:sz w:val="28"/>
          <w:szCs w:val="28"/>
        </w:rPr>
        <w:t xml:space="preserve"> </w:t>
      </w:r>
    </w:p>
    <w:p>
      <w:pPr>
        <w:spacing w:line="400" w:lineRule="exact"/>
        <w:ind w:firstLine="560" w:firstLineChars="200"/>
        <w:jc w:val="left"/>
        <w:rPr>
          <w:rFonts w:hint="eastAsia" w:asciiTheme="majorEastAsia" w:hAnsiTheme="majorEastAsia" w:eastAsiaTheme="majorEastAsia" w:cstheme="majorEastAsia"/>
          <w:sz w:val="28"/>
          <w:szCs w:val="28"/>
        </w:rPr>
      </w:pPr>
      <w:r>
        <w:rPr>
          <w:rFonts w:hint="eastAsia" w:asciiTheme="majorEastAsia" w:hAnsiTheme="majorEastAsia" w:eastAsiaTheme="majorEastAsia" w:cstheme="majorEastAsia"/>
          <w:sz w:val="28"/>
          <w:szCs w:val="28"/>
        </w:rPr>
        <w:t xml:space="preserve">附件6 </w:t>
      </w:r>
      <w:r>
        <w:rPr>
          <w:rFonts w:hint="eastAsia" w:asciiTheme="majorEastAsia" w:hAnsiTheme="majorEastAsia" w:eastAsiaTheme="majorEastAsia" w:cstheme="majorEastAsia"/>
          <w:sz w:val="28"/>
          <w:szCs w:val="28"/>
          <w:lang w:eastAsia="zh-CN"/>
        </w:rPr>
        <w:t>盘龙区残联</w:t>
      </w:r>
      <w:r>
        <w:rPr>
          <w:rFonts w:hint="eastAsia" w:asciiTheme="majorEastAsia" w:hAnsiTheme="majorEastAsia" w:eastAsiaTheme="majorEastAsia" w:cstheme="majorEastAsia"/>
          <w:sz w:val="28"/>
          <w:szCs w:val="28"/>
        </w:rPr>
        <w:t>部门20</w:t>
      </w:r>
      <w:r>
        <w:rPr>
          <w:rFonts w:hint="eastAsia" w:asciiTheme="majorEastAsia" w:hAnsiTheme="majorEastAsia" w:eastAsiaTheme="majorEastAsia" w:cstheme="majorEastAsia"/>
          <w:sz w:val="28"/>
          <w:szCs w:val="28"/>
          <w:lang w:val="en-US" w:eastAsia="zh-CN"/>
        </w:rPr>
        <w:t>19</w:t>
      </w:r>
      <w:r>
        <w:rPr>
          <w:rFonts w:hint="eastAsia" w:asciiTheme="majorEastAsia" w:hAnsiTheme="majorEastAsia" w:eastAsiaTheme="majorEastAsia" w:cstheme="majorEastAsia"/>
          <w:sz w:val="28"/>
          <w:szCs w:val="28"/>
        </w:rPr>
        <w:t>年项目预算、决算明细表（单位：元）</w:t>
      </w:r>
    </w:p>
    <w:p>
      <w:pPr>
        <w:spacing w:line="600" w:lineRule="exact"/>
        <w:ind w:firstLine="600" w:firstLineChars="200"/>
        <w:jc w:val="left"/>
        <w:rPr>
          <w:rFonts w:ascii="黑体" w:hAnsi="黑体" w:eastAsia="黑体"/>
          <w:szCs w:val="32"/>
        </w:rPr>
      </w:pPr>
    </w:p>
    <w:p>
      <w:pPr>
        <w:spacing w:line="600" w:lineRule="exact"/>
        <w:ind w:firstLine="600" w:firstLineChars="200"/>
        <w:jc w:val="center"/>
        <w:rPr>
          <w:rFonts w:ascii="方正小标宋_GBK" w:hAnsi="黑体" w:eastAsia="方正小标宋_GBK"/>
          <w:szCs w:val="32"/>
        </w:rPr>
      </w:pPr>
    </w:p>
    <w:p>
      <w:pPr>
        <w:pStyle w:val="2"/>
        <w:pageBreakBefore w:val="0"/>
        <w:widowControl w:val="0"/>
        <w:kinsoku/>
        <w:wordWrap/>
        <w:overflowPunct/>
        <w:autoSpaceDE/>
        <w:autoSpaceDN/>
        <w:bidi w:val="0"/>
        <w:adjustRightInd/>
        <w:snapToGrid/>
        <w:spacing w:line="600" w:lineRule="exact"/>
        <w:ind w:left="0" w:leftChars="0" w:firstLine="0" w:firstLineChars="0"/>
        <w:jc w:val="center"/>
        <w:textAlignment w:val="auto"/>
        <w:rPr>
          <w:rFonts w:hint="eastAsia" w:ascii="方正小标宋简体" w:hAnsi="方正小标宋简体" w:eastAsia="方正小标宋简体" w:cs="方正小标宋简体"/>
          <w:b w:val="0"/>
          <w:bCs w:val="0"/>
        </w:rPr>
      </w:pPr>
      <w:r>
        <w:rPr>
          <w:rFonts w:hint="eastAsia" w:ascii="方正小标宋简体" w:hAnsi="方正小标宋简体" w:eastAsia="方正小标宋简体" w:cs="方正小标宋简体"/>
          <w:b w:val="0"/>
          <w:bCs w:val="0"/>
          <w:lang w:eastAsia="zh-CN"/>
        </w:rPr>
        <w:t>盘龙区残疾人联合会</w:t>
      </w:r>
      <w:r>
        <w:rPr>
          <w:rFonts w:hint="eastAsia" w:ascii="方正小标宋简体" w:hAnsi="方正小标宋简体" w:eastAsia="方正小标宋简体" w:cs="方正小标宋简体"/>
          <w:b w:val="0"/>
          <w:bCs w:val="0"/>
        </w:rPr>
        <w:t>20</w:t>
      </w:r>
      <w:r>
        <w:rPr>
          <w:rFonts w:hint="eastAsia" w:ascii="方正小标宋简体" w:hAnsi="方正小标宋简体" w:eastAsia="方正小标宋简体" w:cs="方正小标宋简体"/>
          <w:b w:val="0"/>
          <w:bCs w:val="0"/>
          <w:lang w:val="en-US" w:eastAsia="zh-CN"/>
        </w:rPr>
        <w:t>19</w:t>
      </w:r>
      <w:r>
        <w:rPr>
          <w:rFonts w:hint="eastAsia" w:ascii="方正小标宋简体" w:hAnsi="方正小标宋简体" w:eastAsia="方正小标宋简体" w:cs="方正小标宋简体"/>
          <w:b w:val="0"/>
          <w:bCs w:val="0"/>
        </w:rPr>
        <w:t>年度部门整体支出绩效评价报告</w:t>
      </w:r>
    </w:p>
    <w:p>
      <w:pPr>
        <w:pStyle w:val="3"/>
        <w:pageBreakBefore w:val="0"/>
        <w:widowControl w:val="0"/>
        <w:kinsoku/>
        <w:wordWrap/>
        <w:overflowPunct/>
        <w:autoSpaceDE/>
        <w:autoSpaceDN/>
        <w:bidi w:val="0"/>
        <w:adjustRightInd/>
        <w:snapToGrid/>
        <w:spacing w:line="600" w:lineRule="exact"/>
        <w:textAlignment w:val="auto"/>
        <w:rPr>
          <w:sz w:val="32"/>
          <w:szCs w:val="32"/>
        </w:rPr>
      </w:pPr>
      <w:r>
        <w:rPr>
          <w:rFonts w:hint="eastAsia"/>
          <w:sz w:val="32"/>
          <w:szCs w:val="32"/>
        </w:rPr>
        <w:t>一、部门概况</w:t>
      </w:r>
    </w:p>
    <w:p>
      <w:pPr>
        <w:pStyle w:val="4"/>
        <w:pageBreakBefore w:val="0"/>
        <w:widowControl w:val="0"/>
        <w:kinsoku/>
        <w:wordWrap/>
        <w:overflowPunct/>
        <w:autoSpaceDE/>
        <w:autoSpaceDN/>
        <w:bidi w:val="0"/>
        <w:adjustRightInd/>
        <w:snapToGrid/>
        <w:spacing w:line="600" w:lineRule="exact"/>
        <w:textAlignment w:val="auto"/>
        <w:rPr>
          <w:rFonts w:hint="eastAsia"/>
          <w:sz w:val="32"/>
          <w:szCs w:val="32"/>
        </w:rPr>
      </w:pPr>
      <w:r>
        <w:rPr>
          <w:rFonts w:hint="eastAsia" w:ascii="楷体_GB2312" w:hAnsi="楷体_GB2312" w:eastAsia="楷体_GB2312" w:cs="楷体_GB2312"/>
          <w:sz w:val="32"/>
          <w:szCs w:val="32"/>
        </w:rPr>
        <w:t>（一）部门机构设置、编制</w:t>
      </w:r>
      <w:bookmarkStart w:id="0" w:name="_GoBack"/>
      <w:bookmarkEnd w:id="0"/>
    </w:p>
    <w:p>
      <w:pPr>
        <w:pageBreakBefore w:val="0"/>
        <w:widowControl w:val="0"/>
        <w:kinsoku/>
        <w:wordWrap/>
        <w:overflowPunct/>
        <w:autoSpaceDE/>
        <w:autoSpaceDN/>
        <w:bidi w:val="0"/>
        <w:adjustRightInd/>
        <w:snapToGrid/>
        <w:spacing w:line="600" w:lineRule="exact"/>
        <w:textAlignment w:val="auto"/>
        <w:rPr>
          <w:rFonts w:hint="eastAsia"/>
          <w:sz w:val="32"/>
          <w:szCs w:val="32"/>
        </w:rPr>
      </w:pPr>
      <w:r>
        <w:rPr>
          <w:rFonts w:hint="eastAsia"/>
          <w:sz w:val="32"/>
          <w:szCs w:val="32"/>
        </w:rPr>
        <w:t>昆明市</w:t>
      </w:r>
      <w:r>
        <w:rPr>
          <w:rFonts w:hint="eastAsia"/>
          <w:sz w:val="32"/>
          <w:szCs w:val="32"/>
          <w:lang w:eastAsia="zh-CN"/>
        </w:rPr>
        <w:t>盘龙区残</w:t>
      </w:r>
      <w:r>
        <w:rPr>
          <w:rFonts w:hint="eastAsia"/>
          <w:sz w:val="32"/>
          <w:szCs w:val="32"/>
        </w:rPr>
        <w:t>疾人联合会是经国家法律确认，经盘龙区人民政府批准的由残疾人及其亲友和残疾人工作者组成的人民团体，是全区各类残疾人的统一组织，是党和政府联系广大残疾人的桥梁和纽带。</w:t>
      </w:r>
    </w:p>
    <w:p>
      <w:pPr>
        <w:pageBreakBefore w:val="0"/>
        <w:widowControl w:val="0"/>
        <w:kinsoku/>
        <w:wordWrap/>
        <w:overflowPunct/>
        <w:autoSpaceDE/>
        <w:autoSpaceDN/>
        <w:bidi w:val="0"/>
        <w:adjustRightInd/>
        <w:snapToGrid/>
        <w:spacing w:line="600" w:lineRule="exact"/>
        <w:textAlignment w:val="auto"/>
        <w:rPr>
          <w:sz w:val="32"/>
          <w:szCs w:val="32"/>
        </w:rPr>
      </w:pPr>
      <w:r>
        <w:rPr>
          <w:rFonts w:hint="eastAsia"/>
          <w:sz w:val="32"/>
          <w:szCs w:val="32"/>
          <w:lang w:eastAsia="zh-CN"/>
        </w:rPr>
        <w:t>盘龙区残联</w:t>
      </w:r>
      <w:r>
        <w:rPr>
          <w:rFonts w:hint="eastAsia"/>
          <w:sz w:val="32"/>
          <w:szCs w:val="32"/>
        </w:rPr>
        <w:t>内设3个职能科室，即办公室、康复宣文科、组联教就科，下属二个事业单位，即</w:t>
      </w:r>
      <w:r>
        <w:rPr>
          <w:rFonts w:hint="eastAsia"/>
          <w:sz w:val="32"/>
          <w:szCs w:val="32"/>
          <w:lang w:eastAsia="zh-CN"/>
        </w:rPr>
        <w:t>盘龙区残</w:t>
      </w:r>
      <w:r>
        <w:rPr>
          <w:rFonts w:hint="eastAsia"/>
          <w:sz w:val="32"/>
          <w:szCs w:val="32"/>
        </w:rPr>
        <w:t>疾人康复指导和就业服务站（全额拨款事业单位）、</w:t>
      </w:r>
      <w:r>
        <w:rPr>
          <w:rFonts w:hint="eastAsia"/>
          <w:sz w:val="32"/>
          <w:szCs w:val="32"/>
          <w:lang w:eastAsia="zh-CN"/>
        </w:rPr>
        <w:t>盘龙区残</w:t>
      </w:r>
      <w:r>
        <w:rPr>
          <w:rFonts w:hint="eastAsia"/>
          <w:sz w:val="32"/>
          <w:szCs w:val="32"/>
        </w:rPr>
        <w:t>疾人综合服务中心（财政差额拨款80%）</w:t>
      </w:r>
      <w:r>
        <w:rPr>
          <w:rFonts w:hint="eastAsia"/>
          <w:sz w:val="32"/>
          <w:szCs w:val="32"/>
          <w:lang w:eastAsia="zh-CN"/>
        </w:rPr>
        <w:t>。其中</w:t>
      </w:r>
      <w:r>
        <w:rPr>
          <w:rFonts w:hint="eastAsia"/>
          <w:sz w:val="32"/>
          <w:szCs w:val="32"/>
          <w:lang w:val="en-US" w:eastAsia="zh-CN"/>
        </w:rPr>
        <w:t>，盘龙区残疾人综合服务中心于2018年4月</w:t>
      </w:r>
      <w:r>
        <w:rPr>
          <w:rFonts w:hint="eastAsia"/>
          <w:sz w:val="32"/>
          <w:szCs w:val="32"/>
        </w:rPr>
        <w:t>起机构</w:t>
      </w:r>
      <w:r>
        <w:rPr>
          <w:sz w:val="32"/>
          <w:szCs w:val="32"/>
        </w:rPr>
        <w:t>单列</w:t>
      </w:r>
      <w:r>
        <w:rPr>
          <w:rFonts w:hint="eastAsia"/>
          <w:sz w:val="32"/>
          <w:szCs w:val="32"/>
        </w:rPr>
        <w:t>，实行独立核算。</w:t>
      </w:r>
    </w:p>
    <w:p>
      <w:pPr>
        <w:pageBreakBefore w:val="0"/>
        <w:widowControl w:val="0"/>
        <w:kinsoku/>
        <w:wordWrap/>
        <w:overflowPunct/>
        <w:autoSpaceDE/>
        <w:autoSpaceDN/>
        <w:bidi w:val="0"/>
        <w:adjustRightInd/>
        <w:snapToGrid/>
        <w:spacing w:line="600" w:lineRule="exact"/>
        <w:textAlignment w:val="auto"/>
        <w:rPr>
          <w:rFonts w:hint="eastAsia"/>
          <w:sz w:val="32"/>
          <w:szCs w:val="32"/>
        </w:rPr>
      </w:pPr>
      <w:r>
        <w:rPr>
          <w:rFonts w:hint="eastAsia"/>
          <w:sz w:val="32"/>
          <w:szCs w:val="32"/>
          <w:lang w:eastAsia="zh-CN"/>
        </w:rPr>
        <w:t>盘龙区残联</w:t>
      </w:r>
      <w:r>
        <w:rPr>
          <w:rFonts w:hint="eastAsia"/>
          <w:sz w:val="32"/>
          <w:szCs w:val="32"/>
        </w:rPr>
        <w:t>机关及下属单位共核定行政及事业编制21名，</w:t>
      </w:r>
      <w:r>
        <w:rPr>
          <w:rFonts w:hint="eastAsia"/>
          <w:sz w:val="32"/>
          <w:szCs w:val="32"/>
          <w:lang w:val="en-US" w:eastAsia="zh-CN"/>
        </w:rPr>
        <w:t>2019年</w:t>
      </w:r>
      <w:r>
        <w:rPr>
          <w:rFonts w:hint="eastAsia"/>
          <w:sz w:val="32"/>
          <w:szCs w:val="32"/>
        </w:rPr>
        <w:t>年末有在职人员</w:t>
      </w:r>
      <w:r>
        <w:rPr>
          <w:rFonts w:hint="eastAsia"/>
          <w:sz w:val="32"/>
          <w:szCs w:val="32"/>
          <w:lang w:val="en-US" w:eastAsia="zh-CN"/>
        </w:rPr>
        <w:t>18</w:t>
      </w:r>
      <w:r>
        <w:rPr>
          <w:rFonts w:hint="eastAsia"/>
          <w:sz w:val="32"/>
          <w:szCs w:val="32"/>
        </w:rPr>
        <w:t>人</w:t>
      </w:r>
      <w:r>
        <w:rPr>
          <w:rFonts w:hint="eastAsia"/>
          <w:sz w:val="32"/>
          <w:szCs w:val="32"/>
          <w:lang w:eastAsia="zh-CN"/>
        </w:rPr>
        <w:t>（包括行政编制</w:t>
      </w:r>
      <w:r>
        <w:rPr>
          <w:rFonts w:hint="eastAsia"/>
          <w:sz w:val="32"/>
          <w:szCs w:val="32"/>
          <w:lang w:val="en-US" w:eastAsia="zh-CN"/>
        </w:rPr>
        <w:t>6人，全额事业编制7人，差额事业编制5人</w:t>
      </w:r>
      <w:r>
        <w:rPr>
          <w:rFonts w:hint="eastAsia"/>
          <w:sz w:val="32"/>
          <w:szCs w:val="32"/>
          <w:lang w:eastAsia="zh-CN"/>
        </w:rPr>
        <w:t>）</w:t>
      </w:r>
      <w:r>
        <w:rPr>
          <w:rFonts w:hint="eastAsia"/>
          <w:sz w:val="32"/>
          <w:szCs w:val="32"/>
        </w:rPr>
        <w:t>，退休人员</w:t>
      </w:r>
      <w:r>
        <w:rPr>
          <w:rFonts w:hint="eastAsia"/>
          <w:sz w:val="32"/>
          <w:szCs w:val="32"/>
          <w:lang w:val="en-US" w:eastAsia="zh-CN"/>
        </w:rPr>
        <w:t>7</w:t>
      </w:r>
      <w:r>
        <w:rPr>
          <w:rFonts w:hint="eastAsia"/>
          <w:sz w:val="32"/>
          <w:szCs w:val="32"/>
        </w:rPr>
        <w:t>人</w:t>
      </w:r>
      <w:r>
        <w:rPr>
          <w:rFonts w:hint="eastAsia"/>
          <w:sz w:val="32"/>
          <w:szCs w:val="32"/>
          <w:lang w:eastAsia="zh-CN"/>
        </w:rPr>
        <w:t>，其中差额事业编制</w:t>
      </w:r>
      <w:r>
        <w:rPr>
          <w:rFonts w:hint="eastAsia"/>
          <w:sz w:val="32"/>
          <w:szCs w:val="32"/>
          <w:lang w:val="en-US" w:eastAsia="zh-CN"/>
        </w:rPr>
        <w:t>5人属</w:t>
      </w:r>
      <w:r>
        <w:rPr>
          <w:rFonts w:hint="eastAsia"/>
          <w:sz w:val="32"/>
          <w:szCs w:val="32"/>
          <w:lang w:eastAsia="zh-CN"/>
        </w:rPr>
        <w:t>独立核算的残疾人综合服务中心职工</w:t>
      </w:r>
      <w:r>
        <w:rPr>
          <w:rFonts w:hint="eastAsia"/>
          <w:sz w:val="32"/>
          <w:szCs w:val="32"/>
        </w:rPr>
        <w:t>。</w:t>
      </w:r>
    </w:p>
    <w:p>
      <w:pPr>
        <w:pStyle w:val="4"/>
        <w:pageBreakBefore w:val="0"/>
        <w:widowControl w:val="0"/>
        <w:kinsoku/>
        <w:wordWrap/>
        <w:overflowPunct/>
        <w:autoSpaceDE/>
        <w:autoSpaceDN/>
        <w:bidi w:val="0"/>
        <w:adjustRightInd/>
        <w:snapToGrid/>
        <w:spacing w:line="600" w:lineRule="exact"/>
        <w:textAlignment w:val="auto"/>
        <w:rPr>
          <w:rFonts w:hint="eastAsia" w:ascii="楷体_GB2312" w:hAnsi="楷体_GB2312" w:eastAsia="楷体_GB2312" w:cs="楷体_GB2312"/>
          <w:sz w:val="32"/>
          <w:szCs w:val="32"/>
        </w:rPr>
      </w:pPr>
      <w:r>
        <w:rPr>
          <w:rFonts w:hint="eastAsia" w:ascii="楷体_GB2312" w:hAnsi="楷体_GB2312" w:eastAsia="楷体_GB2312" w:cs="楷体_GB2312"/>
          <w:sz w:val="32"/>
          <w:szCs w:val="32"/>
        </w:rPr>
        <w:t>（二）部门职能</w:t>
      </w:r>
    </w:p>
    <w:p>
      <w:pPr>
        <w:pageBreakBefore w:val="0"/>
        <w:widowControl w:val="0"/>
        <w:kinsoku/>
        <w:wordWrap/>
        <w:overflowPunct/>
        <w:autoSpaceDE/>
        <w:autoSpaceDN/>
        <w:bidi w:val="0"/>
        <w:adjustRightInd/>
        <w:snapToGrid/>
        <w:spacing w:line="600" w:lineRule="exact"/>
        <w:textAlignment w:val="auto"/>
        <w:rPr>
          <w:rFonts w:hint="eastAsia"/>
          <w:sz w:val="32"/>
          <w:szCs w:val="32"/>
        </w:rPr>
      </w:pPr>
      <w:r>
        <w:rPr>
          <w:rFonts w:hint="eastAsia"/>
          <w:sz w:val="32"/>
          <w:szCs w:val="32"/>
          <w:lang w:val="en-US" w:eastAsia="zh-CN"/>
        </w:rPr>
        <w:t>1.</w:t>
      </w:r>
      <w:r>
        <w:rPr>
          <w:rFonts w:hint="eastAsia"/>
          <w:sz w:val="32"/>
          <w:szCs w:val="32"/>
        </w:rPr>
        <w:t>代表残疾人共同利益，维护残疾人合法权益；</w:t>
      </w:r>
    </w:p>
    <w:p>
      <w:pPr>
        <w:pageBreakBefore w:val="0"/>
        <w:widowControl w:val="0"/>
        <w:kinsoku/>
        <w:wordWrap/>
        <w:overflowPunct/>
        <w:autoSpaceDE/>
        <w:autoSpaceDN/>
        <w:bidi w:val="0"/>
        <w:adjustRightInd/>
        <w:snapToGrid/>
        <w:spacing w:line="600" w:lineRule="exact"/>
        <w:textAlignment w:val="auto"/>
        <w:rPr>
          <w:rFonts w:hint="eastAsia"/>
          <w:sz w:val="32"/>
          <w:szCs w:val="32"/>
        </w:rPr>
      </w:pPr>
      <w:r>
        <w:rPr>
          <w:rFonts w:hint="eastAsia"/>
          <w:sz w:val="32"/>
          <w:szCs w:val="32"/>
          <w:lang w:val="en-US" w:eastAsia="zh-CN"/>
        </w:rPr>
        <w:t>2.</w:t>
      </w:r>
      <w:r>
        <w:rPr>
          <w:rFonts w:hint="eastAsia"/>
          <w:sz w:val="32"/>
          <w:szCs w:val="32"/>
        </w:rPr>
        <w:t>团结教育残疾人，为残疾人务；</w:t>
      </w:r>
    </w:p>
    <w:p>
      <w:pPr>
        <w:pageBreakBefore w:val="0"/>
        <w:widowControl w:val="0"/>
        <w:kinsoku/>
        <w:wordWrap/>
        <w:overflowPunct/>
        <w:autoSpaceDE/>
        <w:autoSpaceDN/>
        <w:bidi w:val="0"/>
        <w:adjustRightInd/>
        <w:snapToGrid/>
        <w:spacing w:line="600" w:lineRule="exact"/>
        <w:textAlignment w:val="auto"/>
        <w:rPr>
          <w:rFonts w:hint="eastAsia" w:eastAsia="仿宋_GB2312"/>
          <w:sz w:val="32"/>
          <w:szCs w:val="32"/>
          <w:lang w:val="en-US" w:eastAsia="zh-CN"/>
        </w:rPr>
      </w:pPr>
      <w:r>
        <w:rPr>
          <w:rFonts w:hint="eastAsia"/>
          <w:sz w:val="32"/>
          <w:szCs w:val="32"/>
          <w:lang w:val="en-US" w:eastAsia="zh-CN"/>
        </w:rPr>
        <w:t>3.</w:t>
      </w:r>
      <w:r>
        <w:rPr>
          <w:rFonts w:hint="eastAsia"/>
          <w:sz w:val="32"/>
          <w:szCs w:val="32"/>
        </w:rPr>
        <w:t>履行法律赋予的职责，承担政府委托的任务，管理和发展残疾人事业</w:t>
      </w:r>
      <w:r>
        <w:rPr>
          <w:rFonts w:hint="eastAsia"/>
          <w:sz w:val="32"/>
          <w:szCs w:val="32"/>
          <w:lang w:val="en-US" w:eastAsia="zh-CN"/>
        </w:rPr>
        <w:t>。</w:t>
      </w:r>
    </w:p>
    <w:p>
      <w:pPr>
        <w:pStyle w:val="4"/>
        <w:pageBreakBefore w:val="0"/>
        <w:widowControl w:val="0"/>
        <w:kinsoku/>
        <w:wordWrap/>
        <w:overflowPunct/>
        <w:autoSpaceDE/>
        <w:autoSpaceDN/>
        <w:bidi w:val="0"/>
        <w:adjustRightInd/>
        <w:snapToGrid/>
        <w:spacing w:line="600" w:lineRule="exact"/>
        <w:textAlignment w:val="auto"/>
        <w:rPr>
          <w:rFonts w:hint="eastAsia" w:ascii="楷体_GB2312" w:hAnsi="楷体_GB2312" w:eastAsia="楷体_GB2312" w:cs="楷体_GB2312"/>
          <w:sz w:val="32"/>
          <w:szCs w:val="32"/>
        </w:rPr>
      </w:pPr>
      <w:r>
        <w:rPr>
          <w:rFonts w:hint="eastAsia" w:ascii="楷体_GB2312" w:hAnsi="楷体_GB2312" w:eastAsia="楷体_GB2312" w:cs="楷体_GB2312"/>
          <w:sz w:val="32"/>
          <w:szCs w:val="32"/>
        </w:rPr>
        <w:t>（三）部门工作完成情况</w:t>
      </w:r>
    </w:p>
    <w:p>
      <w:pPr>
        <w:pageBreakBefore w:val="0"/>
        <w:widowControl w:val="0"/>
        <w:kinsoku/>
        <w:wordWrap/>
        <w:overflowPunct/>
        <w:autoSpaceDE/>
        <w:autoSpaceDN/>
        <w:bidi w:val="0"/>
        <w:adjustRightInd/>
        <w:snapToGrid/>
        <w:spacing w:line="600" w:lineRule="exact"/>
        <w:textAlignment w:val="auto"/>
        <w:rPr>
          <w:rFonts w:hint="eastAsia"/>
          <w:sz w:val="32"/>
          <w:szCs w:val="32"/>
          <w:lang w:val="en-US" w:eastAsia="zh-CN"/>
        </w:rPr>
      </w:pPr>
      <w:r>
        <w:rPr>
          <w:rFonts w:hint="eastAsia"/>
          <w:sz w:val="32"/>
          <w:szCs w:val="32"/>
          <w:lang w:val="en-US" w:eastAsia="zh-CN"/>
        </w:rPr>
        <w:t>1.残疾人康复工作</w:t>
      </w:r>
    </w:p>
    <w:p>
      <w:pPr>
        <w:pageBreakBefore w:val="0"/>
        <w:widowControl w:val="0"/>
        <w:kinsoku/>
        <w:wordWrap/>
        <w:overflowPunct/>
        <w:autoSpaceDE/>
        <w:autoSpaceDN/>
        <w:bidi w:val="0"/>
        <w:adjustRightInd/>
        <w:snapToGrid/>
        <w:spacing w:line="600" w:lineRule="exact"/>
        <w:textAlignment w:val="auto"/>
        <w:rPr>
          <w:rFonts w:hint="eastAsia"/>
          <w:sz w:val="32"/>
          <w:szCs w:val="32"/>
          <w:lang w:val="en-US" w:eastAsia="zh-CN"/>
        </w:rPr>
      </w:pPr>
      <w:r>
        <w:rPr>
          <w:rFonts w:hint="eastAsia"/>
          <w:sz w:val="32"/>
          <w:szCs w:val="32"/>
          <w:lang w:eastAsia="zh-CN"/>
        </w:rPr>
        <w:t>全年全区开展残疾人社区康复服务</w:t>
      </w:r>
      <w:r>
        <w:rPr>
          <w:rFonts w:hint="eastAsia"/>
          <w:sz w:val="32"/>
          <w:szCs w:val="32"/>
          <w:lang w:val="en-US" w:eastAsia="zh-CN"/>
        </w:rPr>
        <w:t>6587人次，其中：发放免费服药404人，共计配发药品4848人次，参加社区康复融合活动1361人次，发放辅助器具140人次，儿童康复救助52人次，个性化精神残疾助残服务186人次。</w:t>
      </w:r>
    </w:p>
    <w:p>
      <w:pPr>
        <w:pageBreakBefore w:val="0"/>
        <w:widowControl w:val="0"/>
        <w:kinsoku/>
        <w:wordWrap/>
        <w:overflowPunct/>
        <w:autoSpaceDE/>
        <w:autoSpaceDN/>
        <w:bidi w:val="0"/>
        <w:adjustRightInd/>
        <w:snapToGrid/>
        <w:spacing w:line="600" w:lineRule="exact"/>
        <w:textAlignment w:val="auto"/>
        <w:rPr>
          <w:rFonts w:hint="eastAsia"/>
          <w:sz w:val="32"/>
          <w:szCs w:val="32"/>
          <w:lang w:val="en-US" w:eastAsia="zh-CN"/>
        </w:rPr>
      </w:pPr>
      <w:r>
        <w:rPr>
          <w:rFonts w:hint="eastAsia"/>
          <w:sz w:val="32"/>
          <w:szCs w:val="32"/>
          <w:lang w:val="en-US" w:eastAsia="zh-CN"/>
        </w:rPr>
        <w:t>2.残疾人教育就业和扶贫工作</w:t>
      </w:r>
    </w:p>
    <w:p>
      <w:pPr>
        <w:pageBreakBefore w:val="0"/>
        <w:widowControl w:val="0"/>
        <w:kinsoku/>
        <w:wordWrap/>
        <w:overflowPunct/>
        <w:autoSpaceDE/>
        <w:autoSpaceDN/>
        <w:bidi w:val="0"/>
        <w:adjustRightInd/>
        <w:snapToGrid/>
        <w:spacing w:line="600" w:lineRule="exact"/>
        <w:textAlignment w:val="auto"/>
        <w:rPr>
          <w:rFonts w:hint="eastAsia"/>
          <w:sz w:val="32"/>
          <w:szCs w:val="32"/>
          <w:lang w:val="en-US" w:eastAsia="zh-CN"/>
        </w:rPr>
      </w:pPr>
      <w:r>
        <w:rPr>
          <w:rFonts w:hint="eastAsia"/>
          <w:sz w:val="32"/>
          <w:szCs w:val="32"/>
          <w:lang w:val="en-US" w:eastAsia="zh-CN"/>
        </w:rPr>
        <w:t>完成辖区内190家用人单位按比例安置残疾人就业年审工作，安置残疾人就业人数为420.68人。开展残疾人就业创业扶持工作，为辖区内11名自主创业残疾人提供一次性创业补助；为辖区内34名稳定创业的残疾人提供持续经营补助。为辖区内符合条件的451名义务教育阶段和高中、大专阶段的残疾学生及贫困残疾人家庭子女发放教育补助资金。为辖区内124名残疾人提供面点熟制、插花和乡村公共岗位培训，并办法相关培训证书。春节、六一国际儿童节、中秋国庆期间，分别对辖区内贫困残疾人、残疾儿童开展慰问工作，共计慰问6098人次。为173名残疾人提供能够满足其意愿、需求的个别化支持的居家照料、日间照料和集中托养服务，丰富了服务内容、扩展了服务形式，实现了以生活照料为主要服务内容向生活照料、心理疏导、运动功能训练、社会适应能训练、职业重建服务内容并行的转变。同时建章立制，细化监管措施，加强服务跟踪，加强对托养服务机构的监管。切实做好贫困残疾人突发性、临时性生活困难救助工作。全年对辖区内94名贫困残疾人给予临时生活、医疗困难救助，帮其渡过难关。为辖区内55名肢体残疾人发放残疾人机动轮椅车燃油补贴。共为辖区符合购买条件的677名三、四级残疾人发放城乡居民社会养老保险参保缴费补助。为辖区符合购买条件的2019名残疾人购买了城镇居民医疗保险，覆盖率达到100%。为辖区内15户农村贫困残疾危房户提供危房改造补助。</w:t>
      </w:r>
    </w:p>
    <w:p>
      <w:pPr>
        <w:pageBreakBefore w:val="0"/>
        <w:widowControl w:val="0"/>
        <w:kinsoku/>
        <w:wordWrap/>
        <w:overflowPunct/>
        <w:autoSpaceDE/>
        <w:autoSpaceDN/>
        <w:bidi w:val="0"/>
        <w:adjustRightInd/>
        <w:snapToGrid/>
        <w:spacing w:line="600" w:lineRule="exact"/>
        <w:textAlignment w:val="auto"/>
        <w:rPr>
          <w:rFonts w:hint="eastAsia"/>
          <w:sz w:val="32"/>
          <w:szCs w:val="32"/>
          <w:lang w:val="en-US" w:eastAsia="zh-CN"/>
        </w:rPr>
      </w:pPr>
      <w:r>
        <w:rPr>
          <w:rFonts w:hint="eastAsia"/>
          <w:sz w:val="32"/>
          <w:szCs w:val="32"/>
          <w:lang w:val="en-US" w:eastAsia="zh-CN"/>
        </w:rPr>
        <w:t>3.残疾人生活和护理补贴工作</w:t>
      </w:r>
    </w:p>
    <w:p>
      <w:pPr>
        <w:pageBreakBefore w:val="0"/>
        <w:widowControl w:val="0"/>
        <w:kinsoku/>
        <w:wordWrap/>
        <w:overflowPunct/>
        <w:autoSpaceDE/>
        <w:autoSpaceDN/>
        <w:bidi w:val="0"/>
        <w:adjustRightInd/>
        <w:snapToGrid/>
        <w:spacing w:line="600" w:lineRule="exact"/>
        <w:textAlignment w:val="auto"/>
        <w:rPr>
          <w:rFonts w:hint="default"/>
          <w:sz w:val="32"/>
          <w:szCs w:val="32"/>
          <w:lang w:val="en-US" w:eastAsia="zh-CN"/>
        </w:rPr>
      </w:pPr>
      <w:r>
        <w:rPr>
          <w:rFonts w:hint="default"/>
          <w:sz w:val="32"/>
          <w:szCs w:val="32"/>
          <w:lang w:val="en-US" w:eastAsia="zh-CN"/>
        </w:rPr>
        <w:t>全年辖区内共2749名贫困残疾人享受困难残疾人生活补贴，3745名重度残疾人享受重度残疾人护理补贴</w:t>
      </w:r>
      <w:r>
        <w:rPr>
          <w:rFonts w:hint="eastAsia"/>
          <w:sz w:val="32"/>
          <w:szCs w:val="32"/>
          <w:lang w:val="en-US" w:eastAsia="zh-CN"/>
        </w:rPr>
        <w:t>。</w:t>
      </w:r>
    </w:p>
    <w:p>
      <w:pPr>
        <w:pageBreakBefore w:val="0"/>
        <w:widowControl w:val="0"/>
        <w:kinsoku/>
        <w:wordWrap/>
        <w:overflowPunct/>
        <w:autoSpaceDE/>
        <w:autoSpaceDN/>
        <w:bidi w:val="0"/>
        <w:adjustRightInd/>
        <w:snapToGrid/>
        <w:spacing w:line="600" w:lineRule="exact"/>
        <w:textAlignment w:val="auto"/>
        <w:rPr>
          <w:rFonts w:hint="default"/>
          <w:sz w:val="32"/>
          <w:szCs w:val="32"/>
          <w:lang w:val="en-US" w:eastAsia="zh-CN"/>
        </w:rPr>
      </w:pPr>
      <w:r>
        <w:rPr>
          <w:rFonts w:hint="eastAsia"/>
          <w:sz w:val="32"/>
          <w:szCs w:val="32"/>
          <w:lang w:val="en-US" w:eastAsia="zh-CN"/>
        </w:rPr>
        <w:t>4.其他残疾人事业支出工作</w:t>
      </w:r>
    </w:p>
    <w:p>
      <w:pPr>
        <w:pageBreakBefore w:val="0"/>
        <w:widowControl w:val="0"/>
        <w:kinsoku/>
        <w:wordWrap/>
        <w:overflowPunct/>
        <w:autoSpaceDE/>
        <w:autoSpaceDN/>
        <w:bidi w:val="0"/>
        <w:adjustRightInd/>
        <w:snapToGrid/>
        <w:spacing w:line="600" w:lineRule="exact"/>
        <w:textAlignment w:val="auto"/>
        <w:rPr>
          <w:rFonts w:hint="eastAsia"/>
          <w:sz w:val="32"/>
          <w:szCs w:val="32"/>
          <w:lang w:val="en-US" w:eastAsia="zh-CN"/>
        </w:rPr>
      </w:pPr>
      <w:r>
        <w:rPr>
          <w:rFonts w:hint="eastAsia"/>
          <w:sz w:val="32"/>
          <w:szCs w:val="32"/>
          <w:lang w:val="en-US" w:eastAsia="zh-CN"/>
        </w:rPr>
        <w:t>建立盘龙区残联微博公众号，及时发布盘龙区残疾人事业信息，让公众了解残疾人服务动态。开展残疾人事业宣传活动。借助全国助残日、残疾预防日等重大特殊节日契机组织开展残疾人事业宣传活动，呼吁社会各界关心、关注残疾人事业。全年累计组织辖区336名残疾人开展残疾人文化进家庭“五个一”活动，弘扬祖国传统文化，丰富残疾人文化生活。组织开展残疾人文艺体育活动。全年累计开展残疾人文体活动9次。继续健全社区（村）残疾人协会组织，配置了46名社区残协专职委员，服务全区持证残疾人。向4个涉农街道43名村级联络员按月发放村级联络员工作补贴。丰富协会活动，全年分别组织盲人协会、肢残协会、聋人协会累计开展活动4次。加大基层残联建设力度，为辖区内105个社区拨付社区社区工作经费。完成辖区内11549名残疾人服务状况和需求信息数据更新工作。</w:t>
      </w:r>
    </w:p>
    <w:p>
      <w:pPr>
        <w:pageBreakBefore w:val="0"/>
        <w:widowControl w:val="0"/>
        <w:kinsoku/>
        <w:wordWrap/>
        <w:overflowPunct/>
        <w:autoSpaceDE/>
        <w:autoSpaceDN/>
        <w:bidi w:val="0"/>
        <w:adjustRightInd/>
        <w:snapToGrid/>
        <w:spacing w:line="600" w:lineRule="exact"/>
        <w:textAlignment w:val="auto"/>
        <w:rPr>
          <w:rFonts w:hint="default"/>
          <w:sz w:val="32"/>
          <w:szCs w:val="32"/>
          <w:lang w:val="en-US" w:eastAsia="zh-CN"/>
        </w:rPr>
      </w:pPr>
      <w:r>
        <w:rPr>
          <w:rFonts w:hint="eastAsia"/>
          <w:sz w:val="32"/>
          <w:szCs w:val="32"/>
          <w:lang w:val="en-US" w:eastAsia="zh-CN"/>
        </w:rPr>
        <w:t xml:space="preserve">5.日常办公维持工作 </w:t>
      </w:r>
    </w:p>
    <w:p>
      <w:pPr>
        <w:pageBreakBefore w:val="0"/>
        <w:widowControl w:val="0"/>
        <w:kinsoku/>
        <w:wordWrap/>
        <w:overflowPunct/>
        <w:autoSpaceDE/>
        <w:autoSpaceDN/>
        <w:bidi w:val="0"/>
        <w:adjustRightInd/>
        <w:snapToGrid/>
        <w:spacing w:line="600" w:lineRule="exact"/>
        <w:textAlignment w:val="auto"/>
        <w:rPr>
          <w:rFonts w:hint="default"/>
          <w:sz w:val="32"/>
          <w:szCs w:val="32"/>
          <w:lang w:val="en-US" w:eastAsia="zh-CN"/>
        </w:rPr>
      </w:pPr>
      <w:r>
        <w:rPr>
          <w:rFonts w:hint="eastAsia"/>
          <w:sz w:val="32"/>
          <w:szCs w:val="32"/>
          <w:lang w:val="en-US" w:eastAsia="zh-CN"/>
        </w:rPr>
        <w:t>维持残疾人联合会及残疾人综合服务中心日常工作正常开展，保障区残联及下属事业单位18名工作人员工资社保正常有序发放、办公用品得到及时补给、符合条件并有需求的工作人员得到应有的业务培训等，为残疾人工作的顺利开展提供充分的后勤保障。</w:t>
      </w:r>
    </w:p>
    <w:p>
      <w:pPr>
        <w:pStyle w:val="4"/>
        <w:pageBreakBefore w:val="0"/>
        <w:widowControl w:val="0"/>
        <w:kinsoku/>
        <w:wordWrap/>
        <w:overflowPunct/>
        <w:autoSpaceDE/>
        <w:autoSpaceDN/>
        <w:bidi w:val="0"/>
        <w:adjustRightInd/>
        <w:snapToGrid/>
        <w:spacing w:line="600" w:lineRule="exact"/>
        <w:textAlignment w:val="auto"/>
        <w:rPr>
          <w:rFonts w:hint="eastAsia" w:ascii="楷体_GB2312" w:hAnsi="楷体_GB2312" w:eastAsia="楷体_GB2312" w:cs="楷体_GB2312"/>
          <w:sz w:val="32"/>
          <w:szCs w:val="32"/>
        </w:rPr>
      </w:pPr>
      <w:r>
        <w:rPr>
          <w:rFonts w:hint="eastAsia" w:ascii="楷体_GB2312" w:hAnsi="楷体_GB2312" w:eastAsia="楷体_GB2312" w:cs="楷体_GB2312"/>
          <w:sz w:val="32"/>
          <w:szCs w:val="32"/>
        </w:rPr>
        <w:t>（四）部门管理制度</w:t>
      </w:r>
    </w:p>
    <w:p>
      <w:pPr>
        <w:pageBreakBefore w:val="0"/>
        <w:widowControl w:val="0"/>
        <w:kinsoku/>
        <w:wordWrap/>
        <w:overflowPunct/>
        <w:autoSpaceDE/>
        <w:autoSpaceDN/>
        <w:bidi w:val="0"/>
        <w:adjustRightInd/>
        <w:snapToGrid/>
        <w:spacing w:line="600" w:lineRule="exact"/>
        <w:textAlignment w:val="auto"/>
        <w:rPr>
          <w:rFonts w:hint="eastAsia"/>
          <w:sz w:val="32"/>
          <w:szCs w:val="32"/>
        </w:rPr>
      </w:pPr>
      <w:r>
        <w:rPr>
          <w:rFonts w:hint="eastAsia"/>
          <w:sz w:val="32"/>
          <w:szCs w:val="32"/>
          <w:lang w:val="en-US" w:eastAsia="zh-CN"/>
        </w:rPr>
        <w:t>《盘龙区残联内部管理制度》、《盘龙区残疾人联合会“三重一大”集体决策制度》、《盘龙残联理事长办公会议事规则》、《盘龙区残联财务管理制度（试行）》等。</w:t>
      </w:r>
    </w:p>
    <w:p>
      <w:pPr>
        <w:pStyle w:val="4"/>
        <w:pageBreakBefore w:val="0"/>
        <w:widowControl w:val="0"/>
        <w:kinsoku/>
        <w:wordWrap/>
        <w:overflowPunct/>
        <w:autoSpaceDE/>
        <w:autoSpaceDN/>
        <w:bidi w:val="0"/>
        <w:adjustRightInd/>
        <w:snapToGrid/>
        <w:spacing w:line="600" w:lineRule="exact"/>
        <w:textAlignment w:val="auto"/>
        <w:rPr>
          <w:rFonts w:hint="eastAsia" w:ascii="楷体_GB2312" w:hAnsi="楷体_GB2312" w:eastAsia="楷体_GB2312" w:cs="楷体_GB2312"/>
          <w:sz w:val="32"/>
          <w:szCs w:val="32"/>
        </w:rPr>
      </w:pPr>
      <w:r>
        <w:rPr>
          <w:rFonts w:hint="eastAsia" w:ascii="楷体_GB2312" w:hAnsi="楷体_GB2312" w:eastAsia="楷体_GB2312" w:cs="楷体_GB2312"/>
          <w:sz w:val="32"/>
          <w:szCs w:val="32"/>
        </w:rPr>
        <w:t>（五）部门资金来源及使用情况</w:t>
      </w:r>
    </w:p>
    <w:p>
      <w:pPr>
        <w:pageBreakBefore w:val="0"/>
        <w:widowControl w:val="0"/>
        <w:kinsoku/>
        <w:wordWrap/>
        <w:overflowPunct/>
        <w:autoSpaceDE/>
        <w:autoSpaceDN/>
        <w:bidi w:val="0"/>
        <w:adjustRightInd/>
        <w:snapToGrid/>
        <w:spacing w:line="600" w:lineRule="exact"/>
        <w:textAlignment w:val="auto"/>
        <w:rPr>
          <w:rFonts w:hint="default"/>
          <w:sz w:val="32"/>
          <w:szCs w:val="32"/>
          <w:lang w:val="en-US" w:eastAsia="zh-CN"/>
        </w:rPr>
      </w:pPr>
      <w:r>
        <w:rPr>
          <w:rFonts w:hint="eastAsia"/>
          <w:sz w:val="32"/>
          <w:szCs w:val="32"/>
          <w:lang w:val="en-US" w:eastAsia="zh-CN"/>
        </w:rPr>
        <w:t>1.部门资金来源:2019年盘龙区残联资金收入共计2026.2万元，来源主要有区级预算收入、纳入预算管理的非税收入、和上级（中央、省、市级）转移支付资金。</w:t>
      </w:r>
    </w:p>
    <w:p>
      <w:pPr>
        <w:pageBreakBefore w:val="0"/>
        <w:widowControl w:val="0"/>
        <w:kinsoku/>
        <w:wordWrap/>
        <w:overflowPunct/>
        <w:autoSpaceDE/>
        <w:autoSpaceDN/>
        <w:bidi w:val="0"/>
        <w:adjustRightInd/>
        <w:snapToGrid/>
        <w:spacing w:line="600" w:lineRule="exact"/>
        <w:textAlignment w:val="auto"/>
        <w:rPr>
          <w:rFonts w:hint="eastAsia"/>
          <w:sz w:val="32"/>
          <w:szCs w:val="32"/>
          <w:lang w:val="en-US" w:eastAsia="zh-CN"/>
        </w:rPr>
      </w:pPr>
      <w:r>
        <w:rPr>
          <w:rFonts w:hint="eastAsia"/>
          <w:sz w:val="32"/>
          <w:szCs w:val="32"/>
          <w:lang w:val="en-US" w:eastAsia="zh-CN"/>
        </w:rPr>
        <w:t>（1）盘龙区残联2019年区级预算收入为1526.01万元，年初预算为1961.11万元，年度减经费435.1万元。其中基本支出预算收入342.74万元，年初预算341.57万元（含41.8万元纳入预算管理的非税收入），追加经费1.17万元；项目支出项目支出预算收入1183.27万元，年出预算1619.54万元，追减经费436.27万元。</w:t>
      </w:r>
    </w:p>
    <w:p>
      <w:pPr>
        <w:pageBreakBefore w:val="0"/>
        <w:widowControl w:val="0"/>
        <w:kinsoku/>
        <w:wordWrap/>
        <w:overflowPunct/>
        <w:autoSpaceDE/>
        <w:autoSpaceDN/>
        <w:bidi w:val="0"/>
        <w:adjustRightInd/>
        <w:snapToGrid/>
        <w:spacing w:line="600" w:lineRule="exact"/>
        <w:textAlignment w:val="auto"/>
        <w:rPr>
          <w:rFonts w:hint="default"/>
          <w:sz w:val="32"/>
          <w:szCs w:val="32"/>
          <w:lang w:val="en-US" w:eastAsia="zh-CN"/>
        </w:rPr>
      </w:pPr>
      <w:r>
        <w:rPr>
          <w:rFonts w:hint="eastAsia"/>
          <w:sz w:val="32"/>
          <w:szCs w:val="32"/>
          <w:lang w:val="en-US" w:eastAsia="zh-CN"/>
        </w:rPr>
        <w:t>（2）盘龙区残联2019年上级转移支付资金收入500.19万元，其中中央补助94.20万元，省级补助68.33万元，市级补助323.43万元，国际助残项目及配套经费14.23万元。</w:t>
      </w:r>
    </w:p>
    <w:p>
      <w:pPr>
        <w:pageBreakBefore w:val="0"/>
        <w:widowControl w:val="0"/>
        <w:kinsoku/>
        <w:wordWrap/>
        <w:overflowPunct/>
        <w:autoSpaceDE/>
        <w:autoSpaceDN/>
        <w:bidi w:val="0"/>
        <w:adjustRightInd/>
        <w:snapToGrid/>
        <w:spacing w:line="600" w:lineRule="exact"/>
        <w:textAlignment w:val="auto"/>
        <w:rPr>
          <w:rFonts w:hint="default"/>
          <w:sz w:val="32"/>
          <w:szCs w:val="32"/>
          <w:lang w:val="en-US" w:eastAsia="zh-CN"/>
        </w:rPr>
      </w:pPr>
      <w:r>
        <w:rPr>
          <w:rFonts w:hint="eastAsia"/>
          <w:sz w:val="32"/>
          <w:szCs w:val="32"/>
          <w:lang w:val="en-US" w:eastAsia="zh-CN"/>
        </w:rPr>
        <w:t>2.部门资金使用情况。2019年区残联经费共计支出1832.03万元，其中，区级预算支出1526.01万元，上级拨款支出306.02万元；基本支出支出342.74万元，项目支出支出1489.29万元（残疾人康复项目支出194.42万元，残疾人就业和扶贫项目支出429.11万元，残疾人生活和护理补贴项目支出552万元，其他残疾人事业支出项目支出313.76万元）。</w:t>
      </w:r>
    </w:p>
    <w:p>
      <w:pPr>
        <w:pStyle w:val="4"/>
        <w:pageBreakBefore w:val="0"/>
        <w:widowControl w:val="0"/>
        <w:kinsoku/>
        <w:wordWrap/>
        <w:overflowPunct/>
        <w:autoSpaceDE/>
        <w:autoSpaceDN/>
        <w:bidi w:val="0"/>
        <w:adjustRightInd/>
        <w:snapToGrid/>
        <w:spacing w:line="600" w:lineRule="exact"/>
        <w:textAlignment w:val="auto"/>
        <w:rPr>
          <w:rFonts w:hint="eastAsia" w:ascii="楷体_GB2312" w:hAnsi="楷体_GB2312" w:eastAsia="楷体_GB2312" w:cs="楷体_GB2312"/>
          <w:sz w:val="32"/>
          <w:szCs w:val="32"/>
        </w:rPr>
      </w:pPr>
      <w:r>
        <w:rPr>
          <w:rFonts w:hint="eastAsia" w:ascii="楷体_GB2312" w:hAnsi="楷体_GB2312" w:eastAsia="楷体_GB2312" w:cs="楷体_GB2312"/>
          <w:sz w:val="32"/>
          <w:szCs w:val="32"/>
        </w:rPr>
        <w:t>（六）政府采购情况</w:t>
      </w:r>
    </w:p>
    <w:p>
      <w:pPr>
        <w:pageBreakBefore w:val="0"/>
        <w:widowControl w:val="0"/>
        <w:kinsoku/>
        <w:wordWrap/>
        <w:overflowPunct/>
        <w:autoSpaceDE/>
        <w:autoSpaceDN/>
        <w:bidi w:val="0"/>
        <w:adjustRightInd/>
        <w:snapToGrid/>
        <w:spacing w:line="600" w:lineRule="exact"/>
        <w:textAlignment w:val="auto"/>
        <w:rPr>
          <w:rFonts w:hint="default" w:ascii="楷体" w:hAnsi="楷体" w:eastAsia="楷体"/>
          <w:sz w:val="32"/>
          <w:szCs w:val="32"/>
          <w:lang w:val="en-US" w:eastAsia="zh-CN"/>
        </w:rPr>
      </w:pPr>
      <w:r>
        <w:rPr>
          <w:rFonts w:hint="eastAsia"/>
          <w:sz w:val="32"/>
          <w:szCs w:val="32"/>
          <w:lang w:val="en-US" w:eastAsia="zh-CN"/>
        </w:rPr>
        <w:t>盘龙区残联2019年共涉及4项政府购买服务项目，分别是助残活动举办、残疾人托养服务、残疾人职业技能培训服务、残疾人专职委员劳务派遣服务，全年涉及购买服务经费265万元。</w:t>
      </w:r>
    </w:p>
    <w:p>
      <w:pPr>
        <w:pStyle w:val="4"/>
        <w:pageBreakBefore w:val="0"/>
        <w:widowControl w:val="0"/>
        <w:kinsoku/>
        <w:wordWrap/>
        <w:overflowPunct/>
        <w:autoSpaceDE/>
        <w:autoSpaceDN/>
        <w:bidi w:val="0"/>
        <w:adjustRightInd/>
        <w:snapToGrid/>
        <w:spacing w:line="600" w:lineRule="exact"/>
        <w:textAlignment w:val="auto"/>
        <w:rPr>
          <w:rFonts w:hint="eastAsia" w:ascii="楷体_GB2312" w:hAnsi="楷体_GB2312" w:eastAsia="楷体_GB2312" w:cs="楷体_GB2312"/>
          <w:sz w:val="32"/>
          <w:szCs w:val="32"/>
        </w:rPr>
      </w:pPr>
      <w:r>
        <w:rPr>
          <w:rFonts w:hint="eastAsia" w:ascii="楷体_GB2312" w:hAnsi="楷体_GB2312" w:eastAsia="楷体_GB2312" w:cs="楷体_GB2312"/>
          <w:sz w:val="32"/>
          <w:szCs w:val="32"/>
        </w:rPr>
        <w:t>（七）固定资产情况</w:t>
      </w:r>
    </w:p>
    <w:p>
      <w:pPr>
        <w:pageBreakBefore w:val="0"/>
        <w:widowControl w:val="0"/>
        <w:kinsoku/>
        <w:wordWrap/>
        <w:overflowPunct/>
        <w:autoSpaceDE/>
        <w:autoSpaceDN/>
        <w:bidi w:val="0"/>
        <w:adjustRightInd/>
        <w:snapToGrid/>
        <w:spacing w:line="600" w:lineRule="exact"/>
        <w:textAlignment w:val="auto"/>
        <w:rPr>
          <w:rFonts w:hint="default"/>
          <w:sz w:val="32"/>
          <w:szCs w:val="32"/>
          <w:lang w:val="en-US" w:eastAsia="zh-CN"/>
        </w:rPr>
      </w:pPr>
      <w:r>
        <w:rPr>
          <w:rFonts w:hint="eastAsia"/>
          <w:sz w:val="32"/>
          <w:szCs w:val="32"/>
        </w:rPr>
        <w:t>截至201</w:t>
      </w:r>
      <w:r>
        <w:rPr>
          <w:rFonts w:hint="eastAsia"/>
          <w:sz w:val="32"/>
          <w:szCs w:val="32"/>
          <w:lang w:val="en-US" w:eastAsia="zh-CN"/>
        </w:rPr>
        <w:t>9</w:t>
      </w:r>
      <w:r>
        <w:rPr>
          <w:rFonts w:hint="eastAsia"/>
          <w:sz w:val="32"/>
          <w:szCs w:val="32"/>
        </w:rPr>
        <w:t>年12月31日，昆明市</w:t>
      </w:r>
      <w:r>
        <w:rPr>
          <w:rFonts w:hint="eastAsia"/>
          <w:sz w:val="32"/>
          <w:szCs w:val="32"/>
          <w:lang w:eastAsia="zh-CN"/>
        </w:rPr>
        <w:t>盘龙区残</w:t>
      </w:r>
      <w:r>
        <w:rPr>
          <w:rFonts w:hint="eastAsia"/>
          <w:sz w:val="32"/>
          <w:szCs w:val="32"/>
        </w:rPr>
        <w:t>疾人联合会固定资产</w:t>
      </w:r>
      <w:r>
        <w:rPr>
          <w:rFonts w:hint="eastAsia"/>
          <w:sz w:val="32"/>
          <w:szCs w:val="32"/>
          <w:lang w:eastAsia="zh-CN"/>
        </w:rPr>
        <w:t>原值</w:t>
      </w:r>
      <w:r>
        <w:rPr>
          <w:rFonts w:hint="eastAsia"/>
          <w:sz w:val="32"/>
          <w:szCs w:val="32"/>
          <w:lang w:val="en-US" w:eastAsia="zh-CN"/>
        </w:rPr>
        <w:t>650.21万元</w:t>
      </w:r>
      <w:r>
        <w:rPr>
          <w:rFonts w:hint="eastAsia"/>
          <w:sz w:val="32"/>
          <w:szCs w:val="32"/>
        </w:rPr>
        <w:t>，</w:t>
      </w:r>
      <w:r>
        <w:rPr>
          <w:rFonts w:hint="eastAsia"/>
          <w:sz w:val="32"/>
          <w:szCs w:val="32"/>
          <w:lang w:eastAsia="zh-CN"/>
        </w:rPr>
        <w:t>固定资产累计折旧</w:t>
      </w:r>
      <w:r>
        <w:rPr>
          <w:rFonts w:hint="eastAsia"/>
          <w:sz w:val="32"/>
          <w:szCs w:val="32"/>
          <w:lang w:val="en-US" w:eastAsia="zh-CN"/>
        </w:rPr>
        <w:t>420.99万元，固定资产净值为229.22万元；</w:t>
      </w:r>
      <w:r>
        <w:rPr>
          <w:rFonts w:hint="eastAsia"/>
          <w:sz w:val="32"/>
          <w:szCs w:val="32"/>
          <w:lang w:eastAsia="zh-CN"/>
        </w:rPr>
        <w:t>无形资产</w:t>
      </w:r>
      <w:r>
        <w:rPr>
          <w:rFonts w:hint="eastAsia"/>
          <w:sz w:val="32"/>
          <w:szCs w:val="32"/>
          <w:lang w:val="en-US" w:eastAsia="zh-CN"/>
        </w:rPr>
        <w:t>28.28万元，无形资产累计摊销6万元，无形资产净值为22.28万元</w:t>
      </w:r>
      <w:r>
        <w:rPr>
          <w:rFonts w:hint="eastAsia"/>
          <w:sz w:val="32"/>
          <w:szCs w:val="32"/>
        </w:rPr>
        <w:t>。</w:t>
      </w:r>
      <w:r>
        <w:rPr>
          <w:rFonts w:hint="eastAsia"/>
          <w:sz w:val="32"/>
          <w:szCs w:val="32"/>
          <w:lang w:val="en-US" w:eastAsia="zh-CN"/>
        </w:rPr>
        <w:t>2019年当年无新增固定资产。</w:t>
      </w:r>
    </w:p>
    <w:p>
      <w:pPr>
        <w:pStyle w:val="3"/>
        <w:pageBreakBefore w:val="0"/>
        <w:widowControl w:val="0"/>
        <w:kinsoku/>
        <w:wordWrap/>
        <w:overflowPunct/>
        <w:autoSpaceDE/>
        <w:autoSpaceDN/>
        <w:bidi w:val="0"/>
        <w:adjustRightInd/>
        <w:snapToGrid/>
        <w:spacing w:line="600" w:lineRule="exact"/>
        <w:textAlignment w:val="auto"/>
        <w:rPr>
          <w:b w:val="0"/>
          <w:bCs/>
          <w:sz w:val="32"/>
          <w:szCs w:val="32"/>
        </w:rPr>
      </w:pPr>
      <w:r>
        <w:rPr>
          <w:rFonts w:hint="eastAsia"/>
          <w:b w:val="0"/>
          <w:bCs/>
          <w:sz w:val="32"/>
          <w:szCs w:val="32"/>
        </w:rPr>
        <w:t>二、绩效目标</w:t>
      </w:r>
    </w:p>
    <w:p>
      <w:pPr>
        <w:pStyle w:val="4"/>
        <w:pageBreakBefore w:val="0"/>
        <w:widowControl w:val="0"/>
        <w:kinsoku/>
        <w:wordWrap/>
        <w:overflowPunct/>
        <w:autoSpaceDE/>
        <w:autoSpaceDN/>
        <w:bidi w:val="0"/>
        <w:adjustRightInd/>
        <w:snapToGrid/>
        <w:spacing w:line="600" w:lineRule="exact"/>
        <w:textAlignment w:val="auto"/>
        <w:rPr>
          <w:rFonts w:hint="eastAsia" w:ascii="楷体" w:hAnsi="楷体" w:eastAsia="楷体" w:cs="楷体"/>
          <w:sz w:val="32"/>
          <w:szCs w:val="32"/>
        </w:rPr>
      </w:pPr>
      <w:r>
        <w:rPr>
          <w:rFonts w:hint="eastAsia" w:ascii="楷体" w:hAnsi="楷体" w:eastAsia="楷体" w:cs="楷体"/>
          <w:sz w:val="32"/>
          <w:szCs w:val="32"/>
        </w:rPr>
        <w:t>（一）部门总目标</w:t>
      </w:r>
    </w:p>
    <w:p>
      <w:pPr>
        <w:pageBreakBefore w:val="0"/>
        <w:widowControl w:val="0"/>
        <w:kinsoku/>
        <w:wordWrap/>
        <w:overflowPunct/>
        <w:autoSpaceDE/>
        <w:autoSpaceDN/>
        <w:bidi w:val="0"/>
        <w:adjustRightInd/>
        <w:snapToGrid/>
        <w:spacing w:line="600" w:lineRule="exact"/>
        <w:textAlignment w:val="auto"/>
        <w:rPr>
          <w:rFonts w:hint="eastAsia"/>
          <w:sz w:val="32"/>
          <w:szCs w:val="32"/>
          <w:lang w:val="en-US" w:eastAsia="zh-CN"/>
        </w:rPr>
      </w:pPr>
      <w:r>
        <w:rPr>
          <w:rFonts w:hint="eastAsia"/>
          <w:sz w:val="32"/>
          <w:szCs w:val="32"/>
          <w:lang w:val="en-US" w:eastAsia="zh-CN"/>
        </w:rPr>
        <w:t>1.社区残疾人康复、残疾人康复普及型康复用品配发、精神病防治康复、社区精准康复服务工作等经费支出。</w:t>
      </w:r>
    </w:p>
    <w:p>
      <w:pPr>
        <w:pageBreakBefore w:val="0"/>
        <w:widowControl w:val="0"/>
        <w:kinsoku/>
        <w:wordWrap/>
        <w:overflowPunct/>
        <w:autoSpaceDE/>
        <w:autoSpaceDN/>
        <w:bidi w:val="0"/>
        <w:adjustRightInd/>
        <w:snapToGrid/>
        <w:spacing w:line="600" w:lineRule="exact"/>
        <w:textAlignment w:val="auto"/>
        <w:rPr>
          <w:rFonts w:hint="eastAsia"/>
          <w:sz w:val="32"/>
          <w:szCs w:val="32"/>
          <w:lang w:val="en-US" w:eastAsia="zh-CN"/>
        </w:rPr>
      </w:pPr>
      <w:r>
        <w:rPr>
          <w:rFonts w:hint="eastAsia"/>
          <w:sz w:val="32"/>
          <w:szCs w:val="32"/>
          <w:lang w:val="en-US" w:eastAsia="zh-CN"/>
        </w:rPr>
        <w:t>2.残疾人自主创业扶持、职业技能培训、按比例安置残疾人就业工作、“春雨行动”扶残助学、贫困残疾人家庭危房改造及贫困救助和托养服务、重大节日走访慰问、社会保障工作等经费支出。</w:t>
      </w:r>
    </w:p>
    <w:p>
      <w:pPr>
        <w:pageBreakBefore w:val="0"/>
        <w:widowControl w:val="0"/>
        <w:kinsoku/>
        <w:wordWrap/>
        <w:overflowPunct/>
        <w:autoSpaceDE/>
        <w:autoSpaceDN/>
        <w:bidi w:val="0"/>
        <w:adjustRightInd/>
        <w:snapToGrid/>
        <w:spacing w:line="600" w:lineRule="exact"/>
        <w:textAlignment w:val="auto"/>
        <w:rPr>
          <w:rFonts w:hint="eastAsia"/>
          <w:sz w:val="32"/>
          <w:szCs w:val="32"/>
          <w:lang w:val="en-US" w:eastAsia="zh-CN"/>
        </w:rPr>
      </w:pPr>
      <w:r>
        <w:rPr>
          <w:rFonts w:hint="eastAsia"/>
          <w:sz w:val="32"/>
          <w:szCs w:val="32"/>
          <w:lang w:val="en-US" w:eastAsia="zh-CN"/>
        </w:rPr>
        <w:t>3.基层残疾人组织建设工作、残疾人基本服务状况和需求调查工作、扶残助残社会氛围营造宣传工作、区残疾人综合服务设施支持性服务经费等经费支出。</w:t>
      </w:r>
    </w:p>
    <w:p>
      <w:pPr>
        <w:pageBreakBefore w:val="0"/>
        <w:widowControl w:val="0"/>
        <w:kinsoku/>
        <w:wordWrap/>
        <w:overflowPunct/>
        <w:autoSpaceDE/>
        <w:autoSpaceDN/>
        <w:bidi w:val="0"/>
        <w:adjustRightInd/>
        <w:snapToGrid/>
        <w:spacing w:line="600" w:lineRule="exact"/>
        <w:textAlignment w:val="auto"/>
        <w:rPr>
          <w:rFonts w:hint="eastAsia" w:ascii="仿宋_GB2312" w:hAnsi="仿宋_GB2312" w:eastAsia="仿宋_GB2312" w:cs="仿宋_GB2312"/>
          <w:sz w:val="32"/>
          <w:szCs w:val="32"/>
          <w:lang w:val="en-US" w:eastAsia="zh-CN"/>
        </w:rPr>
      </w:pPr>
      <w:r>
        <w:rPr>
          <w:rFonts w:hint="eastAsia"/>
          <w:sz w:val="32"/>
          <w:szCs w:val="32"/>
          <w:lang w:val="en-US" w:eastAsia="zh-CN"/>
        </w:rPr>
        <w:t>4.发放全区困难残疾人生活补贴和重度残疾人护理补贴。</w:t>
      </w:r>
    </w:p>
    <w:p>
      <w:pPr>
        <w:pStyle w:val="4"/>
        <w:pageBreakBefore w:val="0"/>
        <w:widowControl w:val="0"/>
        <w:kinsoku/>
        <w:wordWrap/>
        <w:overflowPunct/>
        <w:autoSpaceDE/>
        <w:autoSpaceDN/>
        <w:bidi w:val="0"/>
        <w:adjustRightInd/>
        <w:snapToGrid/>
        <w:spacing w:line="600" w:lineRule="exact"/>
        <w:textAlignment w:val="auto"/>
        <w:rPr>
          <w:rFonts w:hint="eastAsia" w:ascii="楷体_GB2312" w:hAnsi="楷体_GB2312" w:eastAsia="楷体_GB2312" w:cs="楷体_GB2312"/>
          <w:sz w:val="32"/>
          <w:szCs w:val="32"/>
        </w:rPr>
      </w:pPr>
      <w:r>
        <w:rPr>
          <w:rFonts w:hint="eastAsia" w:ascii="楷体_GB2312" w:hAnsi="楷体_GB2312" w:eastAsia="楷体_GB2312" w:cs="楷体_GB2312"/>
          <w:sz w:val="32"/>
          <w:szCs w:val="32"/>
        </w:rPr>
        <w:t>（二）部门项目具体计划目标</w:t>
      </w:r>
    </w:p>
    <w:p>
      <w:pPr>
        <w:pageBreakBefore w:val="0"/>
        <w:widowControl w:val="0"/>
        <w:kinsoku/>
        <w:wordWrap/>
        <w:overflowPunct/>
        <w:autoSpaceDE/>
        <w:autoSpaceDN/>
        <w:bidi w:val="0"/>
        <w:adjustRightInd/>
        <w:snapToGrid/>
        <w:spacing w:line="600" w:lineRule="exact"/>
        <w:textAlignment w:val="auto"/>
        <w:rPr>
          <w:rFonts w:hint="eastAsia"/>
          <w:sz w:val="32"/>
          <w:szCs w:val="32"/>
          <w:lang w:val="en-US" w:eastAsia="zh-CN"/>
        </w:rPr>
      </w:pPr>
      <w:r>
        <w:rPr>
          <w:rFonts w:hint="eastAsia"/>
          <w:sz w:val="32"/>
          <w:szCs w:val="32"/>
          <w:lang w:val="en-US" w:eastAsia="zh-CN"/>
        </w:rPr>
        <w:t>1.残疾人康复工作：组织开展残疾人社区康复活动，为辖区残疾人提供针对性的康复服务。区贫困精神病人实现免费服药补助全覆盖，组织开展区“精防”康复对象工疗、娱疗活动。为贫困区残疾人配发普及型康复用品用具。为贫困残疾人配发生活用具。</w:t>
      </w:r>
      <w:r>
        <w:rPr>
          <w:rFonts w:hint="eastAsia"/>
          <w:sz w:val="32"/>
          <w:szCs w:val="32"/>
          <w:lang w:val="en-US" w:eastAsia="zh-CN"/>
        </w:rPr>
        <w:tab/>
      </w:r>
      <w:r>
        <w:rPr>
          <w:rFonts w:hint="eastAsia"/>
          <w:sz w:val="32"/>
          <w:szCs w:val="32"/>
          <w:lang w:val="en-US" w:eastAsia="zh-CN"/>
        </w:rPr>
        <w:tab/>
      </w:r>
      <w:r>
        <w:rPr>
          <w:rFonts w:hint="eastAsia"/>
          <w:sz w:val="32"/>
          <w:szCs w:val="32"/>
          <w:lang w:val="en-US" w:eastAsia="zh-CN"/>
        </w:rPr>
        <w:tab/>
      </w:r>
    </w:p>
    <w:p>
      <w:pPr>
        <w:pageBreakBefore w:val="0"/>
        <w:widowControl w:val="0"/>
        <w:kinsoku/>
        <w:wordWrap/>
        <w:overflowPunct/>
        <w:autoSpaceDE/>
        <w:autoSpaceDN/>
        <w:bidi w:val="0"/>
        <w:adjustRightInd/>
        <w:snapToGrid/>
        <w:spacing w:line="600" w:lineRule="exact"/>
        <w:textAlignment w:val="auto"/>
        <w:rPr>
          <w:rFonts w:hint="eastAsia"/>
          <w:sz w:val="32"/>
          <w:szCs w:val="32"/>
          <w:lang w:val="en-US" w:eastAsia="zh-CN"/>
        </w:rPr>
      </w:pPr>
      <w:r>
        <w:rPr>
          <w:rFonts w:hint="eastAsia"/>
          <w:sz w:val="32"/>
          <w:szCs w:val="32"/>
          <w:lang w:val="en-US" w:eastAsia="zh-CN"/>
        </w:rPr>
        <w:t>2.残疾人就业和扶贫工作：开展残疾人学生教育助学工作，大力推行残疾人集中就业、按比例就业、自主创业、庇护性就业，加强残疾人扶贫工作，确保残疾人有受公平教育的权利、有就业能力和就业愿望的残疾人实现充分稳定就业，保障残疾人基本生活。</w:t>
      </w:r>
    </w:p>
    <w:p>
      <w:pPr>
        <w:pageBreakBefore w:val="0"/>
        <w:widowControl w:val="0"/>
        <w:kinsoku/>
        <w:wordWrap/>
        <w:overflowPunct/>
        <w:autoSpaceDE/>
        <w:autoSpaceDN/>
        <w:bidi w:val="0"/>
        <w:adjustRightInd/>
        <w:snapToGrid/>
        <w:spacing w:line="600" w:lineRule="exact"/>
        <w:textAlignment w:val="auto"/>
        <w:rPr>
          <w:rFonts w:hint="eastAsia"/>
          <w:sz w:val="32"/>
          <w:szCs w:val="32"/>
          <w:lang w:val="en-US" w:eastAsia="zh-CN"/>
        </w:rPr>
      </w:pPr>
      <w:r>
        <w:rPr>
          <w:rFonts w:hint="eastAsia"/>
          <w:sz w:val="32"/>
          <w:szCs w:val="32"/>
          <w:lang w:val="en-US" w:eastAsia="zh-CN"/>
        </w:rPr>
        <w:t>3.其他残疾人事业支出：大力宣传残疾人事业、组织开展残疾人文艺体育活动、丰富残疾人精神、文化、体育生活，促进残疾人重返社会。鼓励社会关爱残疾人。全面推开基层残疾人工作规范化建设。继续完善乡镇（街道）一级的残疾人组织建设，建立健全村（社区）残疾人协会组织，合理安排配置社区残疾人专职委员。</w:t>
      </w:r>
    </w:p>
    <w:p>
      <w:pPr>
        <w:pageBreakBefore w:val="0"/>
        <w:widowControl w:val="0"/>
        <w:kinsoku/>
        <w:wordWrap/>
        <w:overflowPunct/>
        <w:autoSpaceDE/>
        <w:autoSpaceDN/>
        <w:bidi w:val="0"/>
        <w:adjustRightInd/>
        <w:snapToGrid/>
        <w:spacing w:line="600" w:lineRule="exact"/>
        <w:textAlignment w:val="auto"/>
        <w:rPr>
          <w:rFonts w:hint="eastAsia" w:ascii="楷体" w:hAnsi="楷体" w:eastAsia="楷体"/>
          <w:sz w:val="32"/>
          <w:szCs w:val="32"/>
          <w:lang w:val="en-US" w:eastAsia="zh-CN"/>
        </w:rPr>
      </w:pPr>
      <w:r>
        <w:rPr>
          <w:rFonts w:hint="eastAsia"/>
          <w:sz w:val="32"/>
          <w:szCs w:val="32"/>
          <w:lang w:val="en-US" w:eastAsia="zh-CN"/>
        </w:rPr>
        <w:t>4.残疾人生活和护理补贴：发放全区困难残疾人生活补贴和重度残疾人护理补贴，切实改善困难残疾人的生活状况和重度残疾人的护理状况，加快推进困难残疾人的小康进程。</w:t>
      </w:r>
      <w:r>
        <w:rPr>
          <w:rFonts w:hint="eastAsia"/>
          <w:sz w:val="32"/>
          <w:szCs w:val="32"/>
          <w:lang w:val="en-US" w:eastAsia="zh-CN"/>
        </w:rPr>
        <w:tab/>
      </w:r>
      <w:r>
        <w:rPr>
          <w:rFonts w:hint="eastAsia" w:ascii="楷体" w:hAnsi="楷体" w:eastAsia="楷体"/>
          <w:sz w:val="32"/>
          <w:szCs w:val="32"/>
          <w:lang w:val="en-US" w:eastAsia="zh-CN"/>
        </w:rPr>
        <w:tab/>
      </w:r>
    </w:p>
    <w:p>
      <w:pPr>
        <w:pStyle w:val="3"/>
        <w:pageBreakBefore w:val="0"/>
        <w:widowControl w:val="0"/>
        <w:kinsoku/>
        <w:wordWrap/>
        <w:overflowPunct/>
        <w:autoSpaceDE/>
        <w:autoSpaceDN/>
        <w:bidi w:val="0"/>
        <w:adjustRightInd/>
        <w:snapToGrid/>
        <w:spacing w:line="600" w:lineRule="exact"/>
        <w:textAlignment w:val="auto"/>
        <w:rPr>
          <w:b w:val="0"/>
          <w:bCs/>
          <w:sz w:val="32"/>
          <w:szCs w:val="32"/>
        </w:rPr>
      </w:pPr>
      <w:r>
        <w:rPr>
          <w:rFonts w:hint="eastAsia"/>
          <w:b w:val="0"/>
          <w:bCs/>
          <w:sz w:val="32"/>
          <w:szCs w:val="32"/>
        </w:rPr>
        <w:t>三、评价思路和过程</w:t>
      </w:r>
    </w:p>
    <w:p>
      <w:pPr>
        <w:pageBreakBefore w:val="0"/>
        <w:widowControl w:val="0"/>
        <w:kinsoku/>
        <w:wordWrap/>
        <w:overflowPunct/>
        <w:topLinePunct/>
        <w:autoSpaceDE/>
        <w:autoSpaceDN/>
        <w:bidi w:val="0"/>
        <w:adjustRightInd/>
        <w:snapToGrid/>
        <w:spacing w:line="600" w:lineRule="exact"/>
        <w:ind w:firstLine="803" w:firstLineChars="250"/>
        <w:textAlignment w:val="auto"/>
        <w:rPr>
          <w:rStyle w:val="12"/>
          <w:rFonts w:hint="eastAsia" w:ascii="楷体_GB2312" w:hAnsi="楷体_GB2312" w:eastAsia="楷体_GB2312" w:cs="楷体_GB2312"/>
          <w:sz w:val="32"/>
          <w:szCs w:val="32"/>
        </w:rPr>
      </w:pPr>
      <w:r>
        <w:rPr>
          <w:rStyle w:val="12"/>
          <w:rFonts w:hint="eastAsia" w:ascii="楷体_GB2312" w:hAnsi="楷体_GB2312" w:eastAsia="楷体_GB2312" w:cs="楷体_GB2312"/>
          <w:sz w:val="32"/>
          <w:szCs w:val="32"/>
        </w:rPr>
        <w:t>（一）评价思路</w:t>
      </w:r>
    </w:p>
    <w:p>
      <w:pPr>
        <w:pageBreakBefore w:val="0"/>
        <w:widowControl w:val="0"/>
        <w:kinsoku/>
        <w:wordWrap/>
        <w:overflowPunct/>
        <w:autoSpaceDE/>
        <w:autoSpaceDN/>
        <w:bidi w:val="0"/>
        <w:adjustRightInd/>
        <w:snapToGrid/>
        <w:spacing w:line="600" w:lineRule="exact"/>
        <w:textAlignment w:val="auto"/>
        <w:rPr>
          <w:rFonts w:ascii="仿宋_GB2312" w:hAnsi="楷体" w:eastAsia="仿宋_GB2312"/>
          <w:sz w:val="32"/>
          <w:szCs w:val="32"/>
        </w:rPr>
      </w:pPr>
      <w:r>
        <w:rPr>
          <w:rFonts w:hint="eastAsia"/>
          <w:sz w:val="32"/>
          <w:szCs w:val="32"/>
        </w:rPr>
        <w:t>确认当年度部门整体支出的绩效目标→梳理部门内部管理制度及存量资源→分析确定当年度部门整体支出的评价重点→构建绩效评价指标体系。</w:t>
      </w:r>
    </w:p>
    <w:p>
      <w:pPr>
        <w:pStyle w:val="4"/>
        <w:pageBreakBefore w:val="0"/>
        <w:widowControl w:val="0"/>
        <w:numPr>
          <w:ilvl w:val="0"/>
          <w:numId w:val="1"/>
        </w:numPr>
        <w:kinsoku/>
        <w:wordWrap/>
        <w:overflowPunct/>
        <w:autoSpaceDE/>
        <w:autoSpaceDN/>
        <w:bidi w:val="0"/>
        <w:adjustRightInd/>
        <w:snapToGrid/>
        <w:spacing w:line="600" w:lineRule="exact"/>
        <w:textAlignment w:val="auto"/>
        <w:rPr>
          <w:rFonts w:hint="eastAsia" w:ascii="楷体_GB2312" w:hAnsi="楷体_GB2312" w:eastAsia="楷体_GB2312" w:cs="楷体_GB2312"/>
          <w:sz w:val="32"/>
          <w:szCs w:val="32"/>
        </w:rPr>
      </w:pPr>
      <w:r>
        <w:rPr>
          <w:rFonts w:hint="eastAsia" w:ascii="楷体_GB2312" w:hAnsi="楷体_GB2312" w:eastAsia="楷体_GB2312" w:cs="楷体_GB2312"/>
          <w:sz w:val="32"/>
          <w:szCs w:val="32"/>
        </w:rPr>
        <w:t>评价目的</w:t>
      </w:r>
    </w:p>
    <w:p>
      <w:pPr>
        <w:pageBreakBefore w:val="0"/>
        <w:widowControl w:val="0"/>
        <w:kinsoku/>
        <w:wordWrap/>
        <w:overflowPunct/>
        <w:autoSpaceDE/>
        <w:autoSpaceDN/>
        <w:bidi w:val="0"/>
        <w:adjustRightInd/>
        <w:snapToGrid/>
        <w:spacing w:line="600" w:lineRule="exact"/>
        <w:textAlignment w:val="auto"/>
        <w:rPr>
          <w:sz w:val="32"/>
          <w:szCs w:val="32"/>
        </w:rPr>
      </w:pPr>
      <w:r>
        <w:rPr>
          <w:rFonts w:hint="eastAsia"/>
          <w:sz w:val="32"/>
          <w:szCs w:val="32"/>
        </w:rPr>
        <w:t>通过收集</w:t>
      </w:r>
      <w:r>
        <w:rPr>
          <w:rFonts w:hint="eastAsia"/>
          <w:sz w:val="32"/>
          <w:szCs w:val="32"/>
          <w:lang w:eastAsia="zh-CN"/>
        </w:rPr>
        <w:t>单位</w:t>
      </w:r>
      <w:r>
        <w:rPr>
          <w:rFonts w:hint="eastAsia"/>
          <w:sz w:val="32"/>
          <w:szCs w:val="32"/>
        </w:rPr>
        <w:t>基本情况、</w:t>
      </w:r>
      <w:r>
        <w:rPr>
          <w:rFonts w:hint="eastAsia"/>
          <w:sz w:val="32"/>
          <w:szCs w:val="32"/>
          <w:lang w:val="en-US" w:eastAsia="zh-CN"/>
        </w:rPr>
        <w:t>2019年</w:t>
      </w:r>
      <w:r>
        <w:rPr>
          <w:rFonts w:hint="eastAsia"/>
          <w:sz w:val="32"/>
          <w:szCs w:val="32"/>
        </w:rPr>
        <w:t>预算制定与</w:t>
      </w:r>
      <w:r>
        <w:rPr>
          <w:rFonts w:hint="eastAsia"/>
          <w:sz w:val="32"/>
          <w:szCs w:val="32"/>
          <w:lang w:eastAsia="zh-CN"/>
        </w:rPr>
        <w:t>预算</w:t>
      </w:r>
      <w:r>
        <w:rPr>
          <w:rFonts w:hint="eastAsia"/>
          <w:sz w:val="32"/>
          <w:szCs w:val="32"/>
        </w:rPr>
        <w:t>明细、</w:t>
      </w:r>
      <w:r>
        <w:rPr>
          <w:rFonts w:hint="eastAsia"/>
          <w:sz w:val="32"/>
          <w:szCs w:val="32"/>
          <w:lang w:val="en-US" w:eastAsia="zh-CN"/>
        </w:rPr>
        <w:t>2019年年度工作计划</w:t>
      </w:r>
      <w:r>
        <w:rPr>
          <w:rFonts w:hint="eastAsia"/>
          <w:sz w:val="32"/>
          <w:szCs w:val="32"/>
        </w:rPr>
        <w:t>及组织架构等信息，分析</w:t>
      </w:r>
      <w:r>
        <w:rPr>
          <w:rFonts w:hint="eastAsia"/>
          <w:sz w:val="32"/>
          <w:szCs w:val="32"/>
          <w:lang w:eastAsia="zh-CN"/>
        </w:rPr>
        <w:t>本单位</w:t>
      </w:r>
      <w:r>
        <w:rPr>
          <w:rFonts w:hint="eastAsia"/>
          <w:sz w:val="32"/>
          <w:szCs w:val="32"/>
        </w:rPr>
        <w:t>资源配置的合理性及中长期规划目标完成与履职情况，总结经验做法，找出预算绩效管理中的薄弱环节，提出改进建议，提高财政资金的使用效益。</w:t>
      </w:r>
    </w:p>
    <w:p>
      <w:pPr>
        <w:pStyle w:val="4"/>
        <w:pageBreakBefore w:val="0"/>
        <w:widowControl w:val="0"/>
        <w:kinsoku/>
        <w:wordWrap/>
        <w:overflowPunct/>
        <w:autoSpaceDE/>
        <w:autoSpaceDN/>
        <w:bidi w:val="0"/>
        <w:adjustRightInd/>
        <w:snapToGrid/>
        <w:spacing w:line="600" w:lineRule="exact"/>
        <w:textAlignment w:val="auto"/>
        <w:rPr>
          <w:rFonts w:hint="eastAsia" w:ascii="楷体_GB2312" w:hAnsi="楷体_GB2312" w:eastAsia="楷体_GB2312" w:cs="楷体_GB2312"/>
          <w:sz w:val="32"/>
          <w:szCs w:val="32"/>
        </w:rPr>
      </w:pPr>
      <w:r>
        <w:rPr>
          <w:rFonts w:hint="eastAsia" w:ascii="楷体_GB2312" w:hAnsi="楷体_GB2312" w:eastAsia="楷体_GB2312" w:cs="楷体_GB2312"/>
          <w:sz w:val="32"/>
          <w:szCs w:val="32"/>
        </w:rPr>
        <w:t>（三）评价依据</w:t>
      </w:r>
    </w:p>
    <w:p>
      <w:pPr>
        <w:pageBreakBefore w:val="0"/>
        <w:widowControl w:val="0"/>
        <w:kinsoku/>
        <w:wordWrap/>
        <w:overflowPunct/>
        <w:autoSpaceDE/>
        <w:autoSpaceDN/>
        <w:bidi w:val="0"/>
        <w:adjustRightInd/>
        <w:snapToGrid/>
        <w:spacing w:line="600" w:lineRule="exact"/>
        <w:textAlignment w:val="auto"/>
        <w:rPr>
          <w:rFonts w:hint="eastAsia"/>
          <w:sz w:val="32"/>
          <w:szCs w:val="32"/>
          <w:lang w:eastAsia="zh-CN"/>
        </w:rPr>
      </w:pPr>
      <w:r>
        <w:rPr>
          <w:rFonts w:hint="eastAsia"/>
          <w:sz w:val="32"/>
          <w:szCs w:val="32"/>
          <w:lang w:eastAsia="zh-CN"/>
        </w:rPr>
        <w:t>盘龙区残疾人联合会</w:t>
      </w:r>
      <w:r>
        <w:rPr>
          <w:rFonts w:hint="eastAsia"/>
          <w:sz w:val="32"/>
          <w:szCs w:val="32"/>
          <w:lang w:val="en-US" w:eastAsia="zh-CN"/>
        </w:rPr>
        <w:t>2019年整体绩效评价主要依据是参照：</w:t>
      </w:r>
      <w:r>
        <w:rPr>
          <w:rFonts w:hint="eastAsia"/>
          <w:sz w:val="32"/>
          <w:szCs w:val="32"/>
          <w:lang w:eastAsia="zh-CN"/>
        </w:rPr>
        <w:t>《昆明市盘龙区财政局关于下达</w:t>
      </w:r>
      <w:r>
        <w:rPr>
          <w:rFonts w:hint="eastAsia"/>
          <w:sz w:val="32"/>
          <w:szCs w:val="32"/>
          <w:lang w:val="en-US" w:eastAsia="zh-CN"/>
        </w:rPr>
        <w:t>2019年部门预算的批复</w:t>
      </w:r>
      <w:r>
        <w:rPr>
          <w:rFonts w:hint="eastAsia"/>
          <w:sz w:val="32"/>
          <w:szCs w:val="32"/>
          <w:lang w:eastAsia="zh-CN"/>
        </w:rPr>
        <w:t>》（盘财〔</w:t>
      </w:r>
      <w:r>
        <w:rPr>
          <w:rFonts w:hint="eastAsia"/>
          <w:sz w:val="32"/>
          <w:szCs w:val="32"/>
          <w:lang w:val="en-US" w:eastAsia="zh-CN"/>
        </w:rPr>
        <w:t>2019〕1号</w:t>
      </w:r>
      <w:r>
        <w:rPr>
          <w:rFonts w:hint="eastAsia"/>
          <w:sz w:val="32"/>
          <w:szCs w:val="32"/>
          <w:lang w:eastAsia="zh-CN"/>
        </w:rPr>
        <w:t>）、</w:t>
      </w:r>
      <w:r>
        <w:rPr>
          <w:rFonts w:hint="eastAsia"/>
          <w:sz w:val="32"/>
          <w:szCs w:val="32"/>
        </w:rPr>
        <w:t>《</w:t>
      </w:r>
      <w:r>
        <w:rPr>
          <w:rFonts w:hint="eastAsia"/>
          <w:sz w:val="32"/>
          <w:szCs w:val="32"/>
          <w:lang w:eastAsia="zh-CN"/>
        </w:rPr>
        <w:t>昆明市盘龙区财政局</w:t>
      </w:r>
      <w:r>
        <w:rPr>
          <w:rFonts w:hint="eastAsia"/>
          <w:sz w:val="32"/>
          <w:szCs w:val="32"/>
        </w:rPr>
        <w:t>关于</w:t>
      </w:r>
      <w:r>
        <w:rPr>
          <w:rFonts w:hint="eastAsia"/>
          <w:sz w:val="32"/>
          <w:szCs w:val="32"/>
          <w:lang w:eastAsia="zh-CN"/>
        </w:rPr>
        <w:t>开展</w:t>
      </w:r>
      <w:r>
        <w:rPr>
          <w:rFonts w:hint="eastAsia"/>
          <w:sz w:val="32"/>
          <w:szCs w:val="32"/>
          <w:lang w:val="en-US" w:eastAsia="zh-CN"/>
        </w:rPr>
        <w:t>2019年度区级预算支出绩效</w:t>
      </w:r>
      <w:r>
        <w:rPr>
          <w:rFonts w:hint="eastAsia"/>
          <w:sz w:val="32"/>
          <w:szCs w:val="32"/>
        </w:rPr>
        <w:t>自评工作的通知》（</w:t>
      </w:r>
      <w:r>
        <w:rPr>
          <w:rFonts w:hint="eastAsia"/>
          <w:sz w:val="32"/>
          <w:szCs w:val="32"/>
          <w:lang w:eastAsia="zh-CN"/>
        </w:rPr>
        <w:t>盘财绩</w:t>
      </w:r>
      <w:r>
        <w:rPr>
          <w:rFonts w:hint="eastAsia"/>
          <w:sz w:val="32"/>
          <w:szCs w:val="32"/>
        </w:rPr>
        <w:t>〔</w:t>
      </w:r>
      <w:r>
        <w:rPr>
          <w:rFonts w:hint="eastAsia"/>
          <w:sz w:val="32"/>
          <w:szCs w:val="32"/>
          <w:lang w:val="en-US" w:eastAsia="zh-CN"/>
        </w:rPr>
        <w:t>2020</w:t>
      </w:r>
      <w:r>
        <w:rPr>
          <w:rFonts w:hint="eastAsia"/>
          <w:sz w:val="32"/>
          <w:szCs w:val="32"/>
        </w:rPr>
        <w:t>〕</w:t>
      </w:r>
      <w:r>
        <w:rPr>
          <w:rFonts w:hint="eastAsia"/>
          <w:sz w:val="32"/>
          <w:szCs w:val="32"/>
          <w:lang w:val="en-US" w:eastAsia="zh-CN"/>
        </w:rPr>
        <w:t>1号</w:t>
      </w:r>
      <w:r>
        <w:rPr>
          <w:rFonts w:hint="eastAsia"/>
          <w:sz w:val="32"/>
          <w:szCs w:val="32"/>
        </w:rPr>
        <w:t>）</w:t>
      </w:r>
      <w:r>
        <w:rPr>
          <w:rFonts w:hint="eastAsia"/>
          <w:sz w:val="32"/>
          <w:szCs w:val="32"/>
          <w:lang w:eastAsia="zh-CN"/>
        </w:rPr>
        <w:t>、《盘龙区区级部门预算绩效自评管理暂行办法》（盘财〔</w:t>
      </w:r>
      <w:r>
        <w:rPr>
          <w:rFonts w:hint="eastAsia"/>
          <w:sz w:val="32"/>
          <w:szCs w:val="32"/>
          <w:lang w:val="en-US" w:eastAsia="zh-CN"/>
        </w:rPr>
        <w:t>2018〕71号</w:t>
      </w:r>
      <w:r>
        <w:rPr>
          <w:rFonts w:hint="eastAsia"/>
          <w:sz w:val="32"/>
          <w:szCs w:val="32"/>
          <w:lang w:eastAsia="zh-CN"/>
        </w:rPr>
        <w:t>）、</w:t>
      </w:r>
      <w:r>
        <w:rPr>
          <w:rFonts w:hint="eastAsia"/>
          <w:sz w:val="32"/>
          <w:szCs w:val="32"/>
          <w:lang w:val="en-US" w:eastAsia="zh-CN"/>
        </w:rPr>
        <w:t>2019年度盘龙区残疾人联合会预算执行情况表</w:t>
      </w:r>
      <w:r>
        <w:rPr>
          <w:rFonts w:hint="eastAsia"/>
          <w:sz w:val="32"/>
          <w:szCs w:val="32"/>
          <w:lang w:eastAsia="zh-CN"/>
        </w:rPr>
        <w:t>、</w:t>
      </w:r>
      <w:r>
        <w:rPr>
          <w:rFonts w:hint="eastAsia"/>
          <w:sz w:val="32"/>
          <w:szCs w:val="32"/>
          <w:lang w:val="en-US" w:eastAsia="zh-CN"/>
        </w:rPr>
        <w:t>2019年1-12月预算绩效跟踪表</w:t>
      </w:r>
      <w:r>
        <w:rPr>
          <w:rFonts w:hint="eastAsia"/>
          <w:sz w:val="32"/>
          <w:szCs w:val="32"/>
          <w:lang w:eastAsia="zh-CN"/>
        </w:rPr>
        <w:t>、中央、省、市、区党委政府对于部门或该项目的相关要求等，对</w:t>
      </w:r>
      <w:r>
        <w:rPr>
          <w:rFonts w:hint="eastAsia"/>
          <w:sz w:val="32"/>
          <w:szCs w:val="32"/>
          <w:lang w:val="en-US" w:eastAsia="zh-CN"/>
        </w:rPr>
        <w:t>2019年度预算支出情况进行分析评价</w:t>
      </w:r>
      <w:r>
        <w:rPr>
          <w:rFonts w:hint="eastAsia"/>
          <w:sz w:val="32"/>
          <w:szCs w:val="32"/>
          <w:lang w:eastAsia="zh-CN"/>
        </w:rPr>
        <w:t>。</w:t>
      </w:r>
    </w:p>
    <w:p>
      <w:pPr>
        <w:pStyle w:val="4"/>
        <w:pageBreakBefore w:val="0"/>
        <w:widowControl w:val="0"/>
        <w:kinsoku/>
        <w:wordWrap/>
        <w:overflowPunct/>
        <w:autoSpaceDE/>
        <w:autoSpaceDN/>
        <w:bidi w:val="0"/>
        <w:adjustRightInd/>
        <w:snapToGrid/>
        <w:spacing w:line="600" w:lineRule="exact"/>
        <w:textAlignment w:val="auto"/>
        <w:rPr>
          <w:rFonts w:hint="eastAsia" w:ascii="楷体_GB2312" w:hAnsi="楷体_GB2312" w:eastAsia="楷体_GB2312" w:cs="楷体_GB2312"/>
          <w:sz w:val="32"/>
          <w:szCs w:val="32"/>
        </w:rPr>
      </w:pPr>
      <w:r>
        <w:rPr>
          <w:rFonts w:hint="eastAsia" w:ascii="楷体_GB2312" w:hAnsi="楷体_GB2312" w:eastAsia="楷体_GB2312" w:cs="楷体_GB2312"/>
          <w:sz w:val="32"/>
          <w:szCs w:val="32"/>
        </w:rPr>
        <w:t>（四）评价对象及评价时段</w:t>
      </w:r>
    </w:p>
    <w:p>
      <w:pPr>
        <w:pageBreakBefore w:val="0"/>
        <w:widowControl w:val="0"/>
        <w:kinsoku/>
        <w:wordWrap/>
        <w:overflowPunct/>
        <w:autoSpaceDE/>
        <w:autoSpaceDN/>
        <w:bidi w:val="0"/>
        <w:adjustRightInd/>
        <w:snapToGrid/>
        <w:spacing w:line="600" w:lineRule="exact"/>
        <w:textAlignment w:val="auto"/>
        <w:rPr>
          <w:rFonts w:hint="eastAsia"/>
          <w:sz w:val="32"/>
          <w:szCs w:val="32"/>
        </w:rPr>
      </w:pPr>
      <w:r>
        <w:rPr>
          <w:rFonts w:hint="eastAsia"/>
          <w:sz w:val="32"/>
          <w:szCs w:val="32"/>
          <w:lang w:val="en-US" w:eastAsia="zh-CN"/>
        </w:rPr>
        <w:t>盘龙区残联对2019年度区级预算安排的基本支出、项目支出（包括残疾人康复经费、残疾人就业和扶贫经费、残疾人生活和护理补贴经费及其他残疾人事业支出经费共四个项目）和中央、省、市及安排的专项资金全面的进行评价。评价分为季度评价和年度评价，每个季度对整体支出绩效和项目支出绩效跟踪，及时将跟踪结果反馈区级财政部门，年度终了，对整个会计年度的支出情况做全面绩效分析。</w:t>
      </w:r>
    </w:p>
    <w:p>
      <w:pPr>
        <w:pStyle w:val="3"/>
        <w:pageBreakBefore w:val="0"/>
        <w:widowControl w:val="0"/>
        <w:kinsoku/>
        <w:wordWrap/>
        <w:overflowPunct/>
        <w:autoSpaceDE/>
        <w:autoSpaceDN/>
        <w:bidi w:val="0"/>
        <w:adjustRightInd/>
        <w:snapToGrid/>
        <w:spacing w:line="600" w:lineRule="exact"/>
        <w:textAlignment w:val="auto"/>
        <w:rPr>
          <w:b w:val="0"/>
          <w:bCs/>
          <w:sz w:val="32"/>
          <w:szCs w:val="32"/>
        </w:rPr>
      </w:pPr>
      <w:r>
        <w:rPr>
          <w:rFonts w:hint="eastAsia"/>
          <w:b w:val="0"/>
          <w:bCs/>
          <w:sz w:val="32"/>
          <w:szCs w:val="32"/>
        </w:rPr>
        <w:t>四、评价结论和绩效分析</w:t>
      </w:r>
    </w:p>
    <w:p>
      <w:pPr>
        <w:pStyle w:val="4"/>
        <w:pageBreakBefore w:val="0"/>
        <w:widowControl w:val="0"/>
        <w:kinsoku/>
        <w:wordWrap/>
        <w:overflowPunct/>
        <w:autoSpaceDE/>
        <w:autoSpaceDN/>
        <w:bidi w:val="0"/>
        <w:adjustRightInd/>
        <w:snapToGrid/>
        <w:spacing w:line="600" w:lineRule="exact"/>
        <w:textAlignment w:val="auto"/>
        <w:rPr>
          <w:rFonts w:hint="eastAsia" w:ascii="楷体_GB2312" w:hAnsi="楷体_GB2312" w:eastAsia="楷体_GB2312" w:cs="楷体_GB2312"/>
          <w:sz w:val="32"/>
          <w:szCs w:val="32"/>
        </w:rPr>
      </w:pPr>
      <w:r>
        <w:rPr>
          <w:rFonts w:hint="eastAsia" w:ascii="楷体_GB2312" w:hAnsi="楷体_GB2312" w:eastAsia="楷体_GB2312" w:cs="楷体_GB2312"/>
          <w:sz w:val="32"/>
          <w:szCs w:val="32"/>
        </w:rPr>
        <w:t>（一）评价结论</w:t>
      </w:r>
    </w:p>
    <w:p>
      <w:pPr>
        <w:pageBreakBefore w:val="0"/>
        <w:widowControl w:val="0"/>
        <w:kinsoku/>
        <w:wordWrap/>
        <w:overflowPunct/>
        <w:autoSpaceDE/>
        <w:autoSpaceDN/>
        <w:bidi w:val="0"/>
        <w:adjustRightInd/>
        <w:snapToGrid/>
        <w:spacing w:line="600" w:lineRule="exact"/>
        <w:textAlignment w:val="auto"/>
        <w:rPr>
          <w:sz w:val="32"/>
          <w:szCs w:val="32"/>
        </w:rPr>
      </w:pPr>
      <w:r>
        <w:rPr>
          <w:rFonts w:hint="eastAsia"/>
          <w:sz w:val="32"/>
          <w:szCs w:val="32"/>
        </w:rPr>
        <w:t>1.评价结果</w:t>
      </w:r>
    </w:p>
    <w:p>
      <w:pPr>
        <w:pageBreakBefore w:val="0"/>
        <w:widowControl w:val="0"/>
        <w:kinsoku/>
        <w:wordWrap/>
        <w:overflowPunct/>
        <w:autoSpaceDE/>
        <w:autoSpaceDN/>
        <w:bidi w:val="0"/>
        <w:adjustRightInd/>
        <w:snapToGrid/>
        <w:spacing w:line="600" w:lineRule="exact"/>
        <w:textAlignment w:val="auto"/>
        <w:rPr>
          <w:rFonts w:hint="default"/>
          <w:sz w:val="32"/>
          <w:szCs w:val="32"/>
          <w:lang w:val="en-US" w:eastAsia="zh-CN"/>
        </w:rPr>
      </w:pPr>
      <w:r>
        <w:rPr>
          <w:rFonts w:hint="eastAsia"/>
          <w:sz w:val="32"/>
          <w:szCs w:val="32"/>
          <w:lang w:val="en-US" w:eastAsia="zh-CN"/>
        </w:rPr>
        <w:t>2</w:t>
      </w:r>
      <w:r>
        <w:rPr>
          <w:rFonts w:hint="eastAsia"/>
          <w:sz w:val="32"/>
          <w:szCs w:val="32"/>
        </w:rPr>
        <w:t>01</w:t>
      </w:r>
      <w:r>
        <w:rPr>
          <w:rFonts w:hint="eastAsia"/>
          <w:sz w:val="32"/>
          <w:szCs w:val="32"/>
          <w:lang w:val="en-US" w:eastAsia="zh-CN"/>
        </w:rPr>
        <w:t>9</w:t>
      </w:r>
      <w:r>
        <w:rPr>
          <w:rFonts w:hint="eastAsia"/>
          <w:sz w:val="32"/>
          <w:szCs w:val="32"/>
        </w:rPr>
        <w:t>年</w:t>
      </w:r>
      <w:r>
        <w:rPr>
          <w:rFonts w:hint="eastAsia"/>
          <w:sz w:val="32"/>
          <w:szCs w:val="32"/>
          <w:lang w:eastAsia="zh-CN"/>
        </w:rPr>
        <w:t>残疾人基本支出和项目支出</w:t>
      </w:r>
      <w:r>
        <w:rPr>
          <w:rFonts w:hint="eastAsia"/>
          <w:sz w:val="32"/>
          <w:szCs w:val="32"/>
        </w:rPr>
        <w:t>资金使用</w:t>
      </w:r>
      <w:r>
        <w:rPr>
          <w:rFonts w:hint="eastAsia"/>
          <w:sz w:val="32"/>
          <w:szCs w:val="32"/>
          <w:lang w:eastAsia="zh-CN"/>
        </w:rPr>
        <w:t>严格按照《预算法》、《会计法》执行，</w:t>
      </w:r>
      <w:r>
        <w:rPr>
          <w:rFonts w:hint="eastAsia"/>
          <w:sz w:val="32"/>
          <w:szCs w:val="32"/>
        </w:rPr>
        <w:t>符合中央、省、市文件要求</w:t>
      </w:r>
      <w:r>
        <w:rPr>
          <w:rFonts w:hint="eastAsia"/>
          <w:sz w:val="32"/>
          <w:szCs w:val="32"/>
          <w:lang w:eastAsia="zh-CN"/>
        </w:rPr>
        <w:t>，</w:t>
      </w:r>
      <w:r>
        <w:rPr>
          <w:rFonts w:hint="eastAsia"/>
          <w:sz w:val="32"/>
          <w:szCs w:val="32"/>
        </w:rPr>
        <w:t>财政资金的投入，</w:t>
      </w:r>
      <w:r>
        <w:rPr>
          <w:rFonts w:hint="eastAsia"/>
          <w:sz w:val="32"/>
          <w:szCs w:val="32"/>
          <w:lang w:eastAsia="zh-CN"/>
        </w:rPr>
        <w:t>进一步</w:t>
      </w:r>
      <w:r>
        <w:rPr>
          <w:rFonts w:hint="eastAsia"/>
          <w:sz w:val="32"/>
          <w:szCs w:val="32"/>
        </w:rPr>
        <w:t>完善</w:t>
      </w:r>
      <w:r>
        <w:rPr>
          <w:rFonts w:hint="eastAsia"/>
          <w:sz w:val="32"/>
          <w:szCs w:val="32"/>
          <w:lang w:eastAsia="zh-CN"/>
        </w:rPr>
        <w:t>了为残疾人服务</w:t>
      </w:r>
      <w:r>
        <w:rPr>
          <w:rFonts w:hint="eastAsia"/>
          <w:sz w:val="32"/>
          <w:szCs w:val="32"/>
        </w:rPr>
        <w:t>体系，</w:t>
      </w:r>
      <w:r>
        <w:rPr>
          <w:rFonts w:hint="eastAsia"/>
          <w:sz w:val="32"/>
          <w:szCs w:val="32"/>
          <w:lang w:eastAsia="zh-CN"/>
        </w:rPr>
        <w:t>使残疾人得到康复范围拓宽，</w:t>
      </w:r>
      <w:r>
        <w:rPr>
          <w:rFonts w:hint="eastAsia"/>
          <w:sz w:val="32"/>
          <w:szCs w:val="32"/>
        </w:rPr>
        <w:t>提高</w:t>
      </w:r>
      <w:r>
        <w:rPr>
          <w:rFonts w:hint="eastAsia"/>
          <w:sz w:val="32"/>
          <w:szCs w:val="32"/>
          <w:lang w:eastAsia="zh-CN"/>
        </w:rPr>
        <w:t>了</w:t>
      </w:r>
      <w:r>
        <w:rPr>
          <w:rFonts w:hint="eastAsia"/>
          <w:sz w:val="32"/>
          <w:szCs w:val="32"/>
        </w:rPr>
        <w:t>残疾人受教育水平，健全</w:t>
      </w:r>
      <w:r>
        <w:rPr>
          <w:rFonts w:hint="eastAsia"/>
          <w:sz w:val="32"/>
          <w:szCs w:val="32"/>
          <w:lang w:eastAsia="zh-CN"/>
        </w:rPr>
        <w:t>了</w:t>
      </w:r>
      <w:r>
        <w:rPr>
          <w:rFonts w:hint="eastAsia"/>
          <w:sz w:val="32"/>
          <w:szCs w:val="32"/>
        </w:rPr>
        <w:t>残疾人学生助学保障机制，</w:t>
      </w:r>
      <w:r>
        <w:rPr>
          <w:rFonts w:hint="eastAsia"/>
          <w:sz w:val="32"/>
          <w:szCs w:val="32"/>
          <w:lang w:eastAsia="zh-CN"/>
        </w:rPr>
        <w:t>多种形式促进了残疾人就业，以创业带动就业，</w:t>
      </w:r>
      <w:r>
        <w:rPr>
          <w:rFonts w:hint="eastAsia"/>
          <w:sz w:val="32"/>
          <w:szCs w:val="32"/>
        </w:rPr>
        <w:t>确保残疾人有受公平教育的权利、有就业能力和就业愿望的残疾人实现充分稳定就业，着力保障残疾人基本生活，不断改善对残疾人的服务，</w:t>
      </w:r>
      <w:r>
        <w:rPr>
          <w:rFonts w:hint="eastAsia"/>
          <w:sz w:val="32"/>
          <w:szCs w:val="32"/>
          <w:lang w:eastAsia="zh-CN"/>
        </w:rPr>
        <w:t>增加残疾人幸福感和社会参与感，</w:t>
      </w:r>
      <w:r>
        <w:rPr>
          <w:rFonts w:hint="eastAsia"/>
          <w:sz w:val="32"/>
          <w:szCs w:val="32"/>
        </w:rPr>
        <w:t>促进残疾人全面发展。</w:t>
      </w:r>
      <w:r>
        <w:rPr>
          <w:rFonts w:hint="eastAsia"/>
          <w:sz w:val="32"/>
          <w:szCs w:val="32"/>
          <w:lang w:eastAsia="zh-CN"/>
        </w:rPr>
        <w:t>本单位整体绩效指标评价体系总分</w:t>
      </w:r>
      <w:r>
        <w:rPr>
          <w:rFonts w:hint="eastAsia"/>
          <w:sz w:val="32"/>
          <w:szCs w:val="32"/>
          <w:lang w:val="en-US" w:eastAsia="zh-CN"/>
        </w:rPr>
        <w:t>100分，自评得分98分。</w:t>
      </w:r>
    </w:p>
    <w:p>
      <w:pPr>
        <w:pageBreakBefore w:val="0"/>
        <w:widowControl w:val="0"/>
        <w:kinsoku/>
        <w:wordWrap/>
        <w:overflowPunct/>
        <w:autoSpaceDE/>
        <w:autoSpaceDN/>
        <w:bidi w:val="0"/>
        <w:adjustRightInd/>
        <w:snapToGrid/>
        <w:spacing w:line="600" w:lineRule="exact"/>
        <w:textAlignment w:val="auto"/>
        <w:rPr>
          <w:rFonts w:hint="eastAsia"/>
          <w:sz w:val="32"/>
          <w:szCs w:val="32"/>
          <w:lang w:val="en-US" w:eastAsia="zh-CN"/>
        </w:rPr>
      </w:pPr>
      <w:r>
        <w:rPr>
          <w:rFonts w:hint="eastAsia"/>
          <w:sz w:val="32"/>
          <w:szCs w:val="32"/>
        </w:rPr>
        <w:t>2.主要绩效</w:t>
      </w:r>
    </w:p>
    <w:p>
      <w:pPr>
        <w:pageBreakBefore w:val="0"/>
        <w:widowControl w:val="0"/>
        <w:kinsoku/>
        <w:wordWrap/>
        <w:overflowPunct/>
        <w:autoSpaceDE/>
        <w:autoSpaceDN/>
        <w:bidi w:val="0"/>
        <w:adjustRightInd/>
        <w:snapToGrid/>
        <w:spacing w:line="600" w:lineRule="exact"/>
        <w:textAlignment w:val="auto"/>
        <w:rPr>
          <w:rFonts w:hint="eastAsia"/>
          <w:sz w:val="32"/>
          <w:szCs w:val="32"/>
          <w:lang w:val="en-US" w:eastAsia="zh-CN"/>
        </w:rPr>
      </w:pPr>
      <w:r>
        <w:rPr>
          <w:rFonts w:hint="eastAsia"/>
          <w:sz w:val="32"/>
          <w:szCs w:val="32"/>
          <w:lang w:val="en-US" w:eastAsia="zh-CN"/>
        </w:rPr>
        <w:t>1.残疾人康复工作：组织开展残疾人社区康复活动，为辖区残疾人提供针对性的康复服务。区贫困精神病人实现免费服药补助全覆盖，组织开展区“精防”康复对象工疗、娱疗活动。为贫困区残疾人配发普及型康复用品用具。</w:t>
      </w:r>
    </w:p>
    <w:p>
      <w:pPr>
        <w:pageBreakBefore w:val="0"/>
        <w:widowControl w:val="0"/>
        <w:kinsoku/>
        <w:wordWrap/>
        <w:overflowPunct/>
        <w:autoSpaceDE/>
        <w:autoSpaceDN/>
        <w:bidi w:val="0"/>
        <w:adjustRightInd/>
        <w:snapToGrid/>
        <w:spacing w:line="600" w:lineRule="exact"/>
        <w:textAlignment w:val="auto"/>
        <w:rPr>
          <w:rFonts w:hint="eastAsia"/>
          <w:sz w:val="32"/>
          <w:szCs w:val="32"/>
          <w:lang w:val="en-US" w:eastAsia="zh-CN"/>
        </w:rPr>
      </w:pPr>
      <w:r>
        <w:rPr>
          <w:rFonts w:hint="eastAsia"/>
          <w:sz w:val="32"/>
          <w:szCs w:val="32"/>
          <w:lang w:val="en-US" w:eastAsia="zh-CN"/>
        </w:rPr>
        <w:t>2.残疾人就业和扶贫工作：开展残疾人学生教育助学工作，大力推行残疾人集中就业、按比例就业、自主创业、庇护性就业，加强残疾人扶贫工作，确保残疾人有受公平教育的权利、有就业能力和就业愿望的残疾人实现充分稳定就业，保障残疾人基本生活。</w:t>
      </w:r>
    </w:p>
    <w:p>
      <w:pPr>
        <w:pageBreakBefore w:val="0"/>
        <w:widowControl w:val="0"/>
        <w:kinsoku/>
        <w:wordWrap/>
        <w:overflowPunct/>
        <w:autoSpaceDE/>
        <w:autoSpaceDN/>
        <w:bidi w:val="0"/>
        <w:adjustRightInd/>
        <w:snapToGrid/>
        <w:spacing w:line="600" w:lineRule="exact"/>
        <w:textAlignment w:val="auto"/>
        <w:rPr>
          <w:rFonts w:hint="eastAsia"/>
          <w:sz w:val="32"/>
          <w:szCs w:val="32"/>
          <w:lang w:val="en-US" w:eastAsia="zh-CN"/>
        </w:rPr>
      </w:pPr>
      <w:r>
        <w:rPr>
          <w:rFonts w:hint="eastAsia"/>
          <w:sz w:val="32"/>
          <w:szCs w:val="32"/>
          <w:lang w:val="en-US" w:eastAsia="zh-CN"/>
        </w:rPr>
        <w:t>3.其他残疾人事业支出：大力宣传残疾人事业、组织开展残疾人文艺体育活动、丰富残疾人精神、文化、体育生活，促进残疾人重返社会。鼓励社会关爱残疾人。全面推开基层残疾人工作规范化建设。继续完善乡镇（街道）一级的残疾人组织建设，建立健全村（社区）残疾人协会组织。</w:t>
      </w:r>
    </w:p>
    <w:p>
      <w:pPr>
        <w:pageBreakBefore w:val="0"/>
        <w:widowControl w:val="0"/>
        <w:kinsoku/>
        <w:wordWrap/>
        <w:overflowPunct/>
        <w:autoSpaceDE/>
        <w:autoSpaceDN/>
        <w:bidi w:val="0"/>
        <w:adjustRightInd/>
        <w:snapToGrid/>
        <w:spacing w:line="600" w:lineRule="exact"/>
        <w:textAlignment w:val="auto"/>
        <w:rPr>
          <w:rFonts w:hint="eastAsia"/>
          <w:sz w:val="32"/>
          <w:szCs w:val="32"/>
          <w:lang w:val="en-US" w:eastAsia="zh-CN"/>
        </w:rPr>
      </w:pPr>
      <w:r>
        <w:rPr>
          <w:rFonts w:hint="eastAsia"/>
          <w:sz w:val="32"/>
          <w:szCs w:val="32"/>
          <w:lang w:val="en-US" w:eastAsia="zh-CN"/>
        </w:rPr>
        <w:t>4.残疾人生活和护理补贴：发放全区困难残疾人生活补贴和重度残疾人护理补贴，切实改善困难残疾人的生活状况和重度残疾人的护理状况，加快推进困难残疾人的小康进程。</w:t>
      </w:r>
      <w:r>
        <w:rPr>
          <w:rFonts w:hint="eastAsia"/>
          <w:sz w:val="32"/>
          <w:szCs w:val="32"/>
          <w:lang w:val="en-US" w:eastAsia="zh-CN"/>
        </w:rPr>
        <w:tab/>
      </w:r>
    </w:p>
    <w:p>
      <w:pPr>
        <w:pStyle w:val="4"/>
        <w:pageBreakBefore w:val="0"/>
        <w:widowControl w:val="0"/>
        <w:kinsoku/>
        <w:wordWrap/>
        <w:overflowPunct/>
        <w:autoSpaceDE/>
        <w:autoSpaceDN/>
        <w:bidi w:val="0"/>
        <w:adjustRightInd/>
        <w:snapToGrid/>
        <w:spacing w:line="600" w:lineRule="exact"/>
        <w:textAlignment w:val="auto"/>
        <w:rPr>
          <w:rFonts w:hint="eastAsia" w:ascii="楷体_GB2312" w:hAnsi="楷体_GB2312" w:eastAsia="楷体_GB2312" w:cs="楷体_GB2312"/>
          <w:b/>
          <w:bCs w:val="0"/>
          <w:sz w:val="32"/>
          <w:szCs w:val="32"/>
        </w:rPr>
      </w:pPr>
      <w:r>
        <w:rPr>
          <w:rFonts w:hint="eastAsia" w:ascii="楷体_GB2312" w:hAnsi="楷体_GB2312" w:eastAsia="楷体_GB2312" w:cs="楷体_GB2312"/>
          <w:b/>
          <w:bCs w:val="0"/>
          <w:sz w:val="32"/>
          <w:szCs w:val="32"/>
        </w:rPr>
        <w:t>（二）具体绩效分析</w:t>
      </w:r>
    </w:p>
    <w:p>
      <w:pPr>
        <w:pageBreakBefore w:val="0"/>
        <w:widowControl w:val="0"/>
        <w:kinsoku/>
        <w:wordWrap/>
        <w:overflowPunct/>
        <w:autoSpaceDE/>
        <w:autoSpaceDN/>
        <w:bidi w:val="0"/>
        <w:adjustRightInd/>
        <w:snapToGrid/>
        <w:spacing w:line="600" w:lineRule="exact"/>
        <w:textAlignment w:val="auto"/>
        <w:rPr>
          <w:rFonts w:hint="eastAsia"/>
          <w:sz w:val="32"/>
          <w:szCs w:val="32"/>
          <w:lang w:val="en-US" w:eastAsia="zh-CN"/>
        </w:rPr>
      </w:pPr>
      <w:r>
        <w:rPr>
          <w:rFonts w:hint="eastAsia"/>
          <w:sz w:val="32"/>
          <w:szCs w:val="32"/>
        </w:rPr>
        <w:t>评价组对</w:t>
      </w:r>
      <w:r>
        <w:rPr>
          <w:rFonts w:hint="eastAsia"/>
          <w:sz w:val="32"/>
          <w:szCs w:val="32"/>
          <w:lang w:eastAsia="zh-CN"/>
        </w:rPr>
        <w:t>本单位整体绩效</w:t>
      </w:r>
      <w:r>
        <w:rPr>
          <w:rFonts w:hint="eastAsia"/>
          <w:sz w:val="32"/>
          <w:szCs w:val="32"/>
        </w:rPr>
        <w:t>从</w:t>
      </w:r>
      <w:r>
        <w:rPr>
          <w:rFonts w:hint="eastAsia"/>
          <w:sz w:val="32"/>
          <w:szCs w:val="32"/>
          <w:lang w:eastAsia="zh-CN"/>
        </w:rPr>
        <w:t>部门决策</w:t>
      </w:r>
      <w:r>
        <w:rPr>
          <w:rFonts w:hint="eastAsia"/>
          <w:sz w:val="32"/>
          <w:szCs w:val="32"/>
        </w:rPr>
        <w:t>、</w:t>
      </w:r>
      <w:r>
        <w:rPr>
          <w:rFonts w:hint="eastAsia"/>
          <w:sz w:val="32"/>
          <w:szCs w:val="32"/>
          <w:lang w:eastAsia="zh-CN"/>
        </w:rPr>
        <w:t>部门</w:t>
      </w:r>
      <w:r>
        <w:rPr>
          <w:rFonts w:hint="eastAsia"/>
          <w:sz w:val="32"/>
          <w:szCs w:val="32"/>
        </w:rPr>
        <w:t>管理和</w:t>
      </w:r>
      <w:r>
        <w:rPr>
          <w:rFonts w:hint="eastAsia"/>
          <w:sz w:val="32"/>
          <w:szCs w:val="32"/>
          <w:lang w:eastAsia="zh-CN"/>
        </w:rPr>
        <w:t>部门</w:t>
      </w:r>
      <w:r>
        <w:rPr>
          <w:rFonts w:hint="eastAsia"/>
          <w:sz w:val="32"/>
          <w:szCs w:val="32"/>
        </w:rPr>
        <w:t>绩效三个方面设立</w:t>
      </w:r>
      <w:r>
        <w:rPr>
          <w:rFonts w:hint="eastAsia"/>
          <w:sz w:val="32"/>
          <w:szCs w:val="32"/>
          <w:lang w:val="en-US" w:eastAsia="zh-CN"/>
        </w:rPr>
        <w:t>11</w:t>
      </w:r>
      <w:r>
        <w:rPr>
          <w:rFonts w:hint="eastAsia"/>
          <w:sz w:val="32"/>
          <w:szCs w:val="32"/>
        </w:rPr>
        <w:t>个二级指标、</w:t>
      </w:r>
      <w:r>
        <w:rPr>
          <w:rFonts w:hint="eastAsia"/>
          <w:sz w:val="32"/>
          <w:szCs w:val="32"/>
          <w:lang w:val="en-US" w:eastAsia="zh-CN"/>
        </w:rPr>
        <w:t>45</w:t>
      </w:r>
      <w:r>
        <w:rPr>
          <w:rFonts w:hint="eastAsia"/>
          <w:sz w:val="32"/>
          <w:szCs w:val="32"/>
        </w:rPr>
        <w:t>个三级指标，按照不同权重对项目绩效进行量化评价，具体评价情况如下：</w:t>
      </w:r>
    </w:p>
    <w:p>
      <w:pPr>
        <w:pageBreakBefore w:val="0"/>
        <w:widowControl w:val="0"/>
        <w:kinsoku/>
        <w:wordWrap/>
        <w:overflowPunct/>
        <w:autoSpaceDE/>
        <w:autoSpaceDN/>
        <w:bidi w:val="0"/>
        <w:adjustRightInd/>
        <w:snapToGrid/>
        <w:spacing w:line="600" w:lineRule="exact"/>
        <w:textAlignment w:val="auto"/>
        <w:rPr>
          <w:rFonts w:hint="eastAsia"/>
          <w:sz w:val="32"/>
          <w:szCs w:val="32"/>
          <w:lang w:val="en-US" w:eastAsia="zh-CN"/>
        </w:rPr>
      </w:pPr>
      <w:r>
        <w:rPr>
          <w:rFonts w:hint="eastAsia"/>
          <w:sz w:val="32"/>
          <w:szCs w:val="32"/>
          <w:lang w:val="en-US" w:eastAsia="zh-CN"/>
        </w:rPr>
        <w:t>1.部门决策（总分35分，评价得分35分）</w:t>
      </w:r>
    </w:p>
    <w:p>
      <w:pPr>
        <w:pageBreakBefore w:val="0"/>
        <w:widowControl w:val="0"/>
        <w:kinsoku/>
        <w:wordWrap/>
        <w:overflowPunct/>
        <w:autoSpaceDE/>
        <w:autoSpaceDN/>
        <w:bidi w:val="0"/>
        <w:adjustRightInd/>
        <w:snapToGrid/>
        <w:spacing w:line="600" w:lineRule="exact"/>
        <w:textAlignment w:val="auto"/>
        <w:rPr>
          <w:rFonts w:hint="eastAsia"/>
          <w:sz w:val="32"/>
          <w:szCs w:val="32"/>
          <w:lang w:val="en-US" w:eastAsia="zh-CN"/>
        </w:rPr>
      </w:pPr>
      <w:r>
        <w:rPr>
          <w:rFonts w:hint="eastAsia"/>
          <w:sz w:val="32"/>
          <w:szCs w:val="32"/>
          <w:lang w:val="en-US" w:eastAsia="zh-CN"/>
        </w:rPr>
        <w:t>（1）部门目标：部门中长期规划目标、年度规划目标明确，部门详细工作计划与年度工作目标对应匹配，绩效目标合理可量化，符合部门制定的中长期实施规划计，符合部门“三定”方案确定的职责，与部门年度工作目标、任务相一致。（总分12分，评价得分12分）</w:t>
      </w:r>
    </w:p>
    <w:p>
      <w:pPr>
        <w:pageBreakBefore w:val="0"/>
        <w:widowControl w:val="0"/>
        <w:kinsoku/>
        <w:wordWrap/>
        <w:overflowPunct/>
        <w:autoSpaceDE/>
        <w:autoSpaceDN/>
        <w:bidi w:val="0"/>
        <w:adjustRightInd/>
        <w:snapToGrid/>
        <w:spacing w:line="600" w:lineRule="exact"/>
        <w:textAlignment w:val="auto"/>
        <w:rPr>
          <w:rFonts w:hint="eastAsia"/>
          <w:sz w:val="32"/>
          <w:szCs w:val="32"/>
          <w:lang w:val="en-US" w:eastAsia="zh-CN"/>
        </w:rPr>
      </w:pPr>
      <w:r>
        <w:rPr>
          <w:rFonts w:hint="eastAsia"/>
          <w:sz w:val="32"/>
          <w:szCs w:val="32"/>
          <w:lang w:val="en-US" w:eastAsia="zh-CN"/>
        </w:rPr>
        <w:t>（2）部门职能：①职能明确、设定依据充分，有“三定”文件，部门详细工作目标与部门职能对应匹配，部门年度具体工作与部门职能对应匹配，部门内设科室及下属单位具体职责明确。（总分10分，评价得分10分）</w:t>
      </w:r>
    </w:p>
    <w:p>
      <w:pPr>
        <w:pageBreakBefore w:val="0"/>
        <w:widowControl w:val="0"/>
        <w:kinsoku/>
        <w:wordWrap/>
        <w:overflowPunct/>
        <w:autoSpaceDE/>
        <w:autoSpaceDN/>
        <w:bidi w:val="0"/>
        <w:adjustRightInd/>
        <w:snapToGrid/>
        <w:spacing w:line="600" w:lineRule="exact"/>
        <w:textAlignment w:val="auto"/>
        <w:rPr>
          <w:rFonts w:hint="eastAsia"/>
          <w:sz w:val="32"/>
          <w:szCs w:val="32"/>
          <w:lang w:val="en-US" w:eastAsia="zh-CN"/>
        </w:rPr>
      </w:pPr>
      <w:r>
        <w:rPr>
          <w:rFonts w:hint="eastAsia"/>
          <w:sz w:val="32"/>
          <w:szCs w:val="32"/>
          <w:lang w:val="en-US" w:eastAsia="zh-CN"/>
        </w:rPr>
        <w:t>（3）资源配置：部门年度基本支出预算根据人员经费、公用经费标准进行合理编制，部门年度项目支出预算程序、预算依据、适用范围合理，部门核定人员的编制与部门工作内容合理，部门现有办公资源能否满足部门日常工作需求。（总分13分，评价得分13分）</w:t>
      </w:r>
    </w:p>
    <w:p>
      <w:pPr>
        <w:pageBreakBefore w:val="0"/>
        <w:widowControl w:val="0"/>
        <w:kinsoku/>
        <w:wordWrap/>
        <w:overflowPunct/>
        <w:autoSpaceDE/>
        <w:autoSpaceDN/>
        <w:bidi w:val="0"/>
        <w:adjustRightInd/>
        <w:snapToGrid/>
        <w:spacing w:line="600" w:lineRule="exact"/>
        <w:textAlignment w:val="auto"/>
        <w:rPr>
          <w:rFonts w:hint="eastAsia"/>
          <w:sz w:val="32"/>
          <w:szCs w:val="32"/>
          <w:lang w:val="en-US" w:eastAsia="zh-CN"/>
        </w:rPr>
      </w:pPr>
      <w:r>
        <w:rPr>
          <w:rFonts w:hint="eastAsia"/>
          <w:sz w:val="32"/>
          <w:szCs w:val="32"/>
          <w:lang w:val="en-US" w:eastAsia="zh-CN"/>
        </w:rPr>
        <w:t>2.部门管理（总分20分，评价得分20分）</w:t>
      </w:r>
    </w:p>
    <w:p>
      <w:pPr>
        <w:pageBreakBefore w:val="0"/>
        <w:widowControl w:val="0"/>
        <w:kinsoku/>
        <w:wordWrap/>
        <w:overflowPunct/>
        <w:autoSpaceDE/>
        <w:autoSpaceDN/>
        <w:bidi w:val="0"/>
        <w:adjustRightInd/>
        <w:snapToGrid/>
        <w:spacing w:line="600" w:lineRule="exact"/>
        <w:textAlignment w:val="auto"/>
        <w:rPr>
          <w:rFonts w:hint="eastAsia"/>
          <w:sz w:val="32"/>
          <w:szCs w:val="32"/>
          <w:lang w:val="en-US" w:eastAsia="zh-CN"/>
        </w:rPr>
      </w:pPr>
      <w:r>
        <w:rPr>
          <w:rFonts w:hint="eastAsia"/>
          <w:sz w:val="32"/>
          <w:szCs w:val="32"/>
          <w:lang w:val="en-US" w:eastAsia="zh-CN"/>
        </w:rPr>
        <w:t>（1）</w:t>
      </w:r>
      <w:r>
        <w:rPr>
          <w:rFonts w:hint="default"/>
          <w:sz w:val="32"/>
          <w:szCs w:val="32"/>
          <w:lang w:val="en-US" w:eastAsia="zh-CN"/>
        </w:rPr>
        <w:t>预算管理</w:t>
      </w:r>
      <w:r>
        <w:rPr>
          <w:rFonts w:hint="eastAsia"/>
          <w:sz w:val="32"/>
          <w:szCs w:val="32"/>
          <w:lang w:val="en-US" w:eastAsia="zh-CN"/>
        </w:rPr>
        <w:t>：部门基本支出本年度决算数与预算数的比率为100%，项目支出本年度决算数与预算数的比率100%；部门本年度“三公”经费预算数与上年度“三公”经费预算数的变动比率0%；根据年中预算实际执行情况及时合规进行预算调整。（总分7分，评价得分7分）</w:t>
      </w:r>
    </w:p>
    <w:p>
      <w:pPr>
        <w:pageBreakBefore w:val="0"/>
        <w:widowControl w:val="0"/>
        <w:kinsoku/>
        <w:wordWrap/>
        <w:overflowPunct/>
        <w:autoSpaceDE/>
        <w:autoSpaceDN/>
        <w:bidi w:val="0"/>
        <w:adjustRightInd/>
        <w:snapToGrid/>
        <w:spacing w:line="600" w:lineRule="exact"/>
        <w:textAlignment w:val="auto"/>
        <w:rPr>
          <w:rFonts w:hint="default"/>
          <w:sz w:val="32"/>
          <w:szCs w:val="32"/>
          <w:lang w:val="en-US" w:eastAsia="zh-CN"/>
        </w:rPr>
      </w:pPr>
      <w:r>
        <w:rPr>
          <w:rFonts w:hint="eastAsia"/>
          <w:sz w:val="32"/>
          <w:szCs w:val="32"/>
          <w:lang w:val="en-US" w:eastAsia="zh-CN"/>
        </w:rPr>
        <w:t>（2）</w:t>
      </w:r>
      <w:r>
        <w:rPr>
          <w:rFonts w:hint="default"/>
          <w:sz w:val="32"/>
          <w:szCs w:val="32"/>
          <w:lang w:val="en-US" w:eastAsia="zh-CN"/>
        </w:rPr>
        <w:t>财务管理</w:t>
      </w:r>
      <w:r>
        <w:rPr>
          <w:rFonts w:hint="eastAsia"/>
          <w:sz w:val="32"/>
          <w:szCs w:val="32"/>
          <w:lang w:val="en-US" w:eastAsia="zh-CN"/>
        </w:rPr>
        <w:t>：财务管理制度健全；资金使用合规；有明确的财务监控监督措施，监控、监督措施执行有效。（总分6分，评价得分6分）</w:t>
      </w:r>
    </w:p>
    <w:p>
      <w:pPr>
        <w:pageBreakBefore w:val="0"/>
        <w:widowControl w:val="0"/>
        <w:kinsoku/>
        <w:wordWrap/>
        <w:overflowPunct/>
        <w:autoSpaceDE/>
        <w:autoSpaceDN/>
        <w:bidi w:val="0"/>
        <w:adjustRightInd/>
        <w:snapToGrid/>
        <w:spacing w:line="600" w:lineRule="exact"/>
        <w:textAlignment w:val="auto"/>
        <w:rPr>
          <w:rFonts w:hint="default"/>
          <w:sz w:val="32"/>
          <w:szCs w:val="32"/>
          <w:lang w:val="en-US" w:eastAsia="zh-CN"/>
        </w:rPr>
      </w:pPr>
      <w:r>
        <w:rPr>
          <w:rFonts w:hint="eastAsia"/>
          <w:sz w:val="32"/>
          <w:szCs w:val="32"/>
          <w:lang w:val="en-US" w:eastAsia="zh-CN"/>
        </w:rPr>
        <w:t>（3）</w:t>
      </w:r>
      <w:r>
        <w:rPr>
          <w:rFonts w:hint="default"/>
          <w:sz w:val="32"/>
          <w:szCs w:val="32"/>
          <w:lang w:val="en-US" w:eastAsia="zh-CN"/>
        </w:rPr>
        <w:t>人力资源管理</w:t>
      </w:r>
      <w:r>
        <w:rPr>
          <w:rFonts w:hint="eastAsia"/>
          <w:sz w:val="32"/>
          <w:szCs w:val="32"/>
          <w:lang w:val="en-US" w:eastAsia="zh-CN"/>
        </w:rPr>
        <w:t>：部门本年度实际在职人员数与编制数的比率为85.7%；有具体的人力资源管理制度文件和参照文件；严格按照相关文件对各类型人员进行管理和考核。（总分2分，评价得分2分）</w:t>
      </w:r>
    </w:p>
    <w:p>
      <w:pPr>
        <w:pageBreakBefore w:val="0"/>
        <w:widowControl w:val="0"/>
        <w:kinsoku/>
        <w:wordWrap/>
        <w:overflowPunct/>
        <w:autoSpaceDE/>
        <w:autoSpaceDN/>
        <w:bidi w:val="0"/>
        <w:adjustRightInd/>
        <w:snapToGrid/>
        <w:spacing w:line="600" w:lineRule="exact"/>
        <w:textAlignment w:val="auto"/>
        <w:rPr>
          <w:rFonts w:hint="default"/>
          <w:sz w:val="32"/>
          <w:szCs w:val="32"/>
          <w:lang w:val="en-US" w:eastAsia="zh-CN"/>
        </w:rPr>
      </w:pPr>
      <w:r>
        <w:rPr>
          <w:rFonts w:hint="eastAsia"/>
          <w:sz w:val="32"/>
          <w:szCs w:val="32"/>
          <w:lang w:val="en-US" w:eastAsia="zh-CN"/>
        </w:rPr>
        <w:t>（4）</w:t>
      </w:r>
      <w:r>
        <w:rPr>
          <w:rFonts w:hint="default"/>
          <w:sz w:val="32"/>
          <w:szCs w:val="32"/>
          <w:lang w:val="en-US" w:eastAsia="zh-CN"/>
        </w:rPr>
        <w:t>资产管理</w:t>
      </w:r>
      <w:r>
        <w:rPr>
          <w:rFonts w:hint="eastAsia"/>
          <w:sz w:val="32"/>
          <w:szCs w:val="32"/>
          <w:lang w:val="en-US" w:eastAsia="zh-CN"/>
        </w:rPr>
        <w:t>：固定资产在用率98%；已制定固定资产管理办法、资产使用办法等管理制度，相关管理制度合法、合规、完整，相关管理制度得到有效执行。（总分2分，评价得分2分）</w:t>
      </w:r>
    </w:p>
    <w:p>
      <w:pPr>
        <w:pageBreakBefore w:val="0"/>
        <w:widowControl w:val="0"/>
        <w:kinsoku/>
        <w:wordWrap/>
        <w:overflowPunct/>
        <w:autoSpaceDE/>
        <w:autoSpaceDN/>
        <w:bidi w:val="0"/>
        <w:adjustRightInd/>
        <w:snapToGrid/>
        <w:spacing w:line="600" w:lineRule="exact"/>
        <w:textAlignment w:val="auto"/>
        <w:rPr>
          <w:rFonts w:hint="default"/>
          <w:sz w:val="32"/>
          <w:szCs w:val="32"/>
          <w:lang w:val="en-US" w:eastAsia="zh-CN"/>
        </w:rPr>
      </w:pPr>
      <w:r>
        <w:rPr>
          <w:rFonts w:hint="eastAsia"/>
          <w:sz w:val="32"/>
          <w:szCs w:val="32"/>
          <w:lang w:val="en-US" w:eastAsia="zh-CN"/>
        </w:rPr>
        <w:t>（5）</w:t>
      </w:r>
      <w:r>
        <w:rPr>
          <w:rFonts w:hint="default"/>
          <w:sz w:val="32"/>
          <w:szCs w:val="32"/>
          <w:lang w:val="en-US" w:eastAsia="zh-CN"/>
        </w:rPr>
        <w:t>业务管理</w:t>
      </w:r>
      <w:r>
        <w:rPr>
          <w:rFonts w:hint="eastAsia"/>
          <w:sz w:val="32"/>
          <w:szCs w:val="32"/>
          <w:lang w:val="en-US" w:eastAsia="zh-CN"/>
        </w:rPr>
        <w:t>：已制定业务管理、项目管理等管理制度，相关管理制度合法、合规、完整，能得到有效执行；政府采购方式、程序都规范；有定期指导记录、考核结果。（总分3分，评价得分3分）</w:t>
      </w:r>
    </w:p>
    <w:p>
      <w:pPr>
        <w:pageBreakBefore w:val="0"/>
        <w:widowControl w:val="0"/>
        <w:kinsoku/>
        <w:wordWrap/>
        <w:overflowPunct/>
        <w:autoSpaceDE/>
        <w:autoSpaceDN/>
        <w:bidi w:val="0"/>
        <w:adjustRightInd/>
        <w:snapToGrid/>
        <w:spacing w:line="600" w:lineRule="exact"/>
        <w:textAlignment w:val="auto"/>
        <w:rPr>
          <w:rFonts w:hint="eastAsia"/>
          <w:sz w:val="32"/>
          <w:szCs w:val="32"/>
          <w:lang w:val="en-US" w:eastAsia="zh-CN"/>
        </w:rPr>
      </w:pPr>
      <w:r>
        <w:rPr>
          <w:rFonts w:hint="eastAsia"/>
          <w:sz w:val="32"/>
          <w:szCs w:val="32"/>
          <w:lang w:val="en-US" w:eastAsia="zh-CN"/>
        </w:rPr>
        <w:t>3.部门绩效（总分45分，评价得分43分）</w:t>
      </w:r>
    </w:p>
    <w:p>
      <w:pPr>
        <w:pageBreakBefore w:val="0"/>
        <w:widowControl w:val="0"/>
        <w:kinsoku/>
        <w:wordWrap/>
        <w:overflowPunct/>
        <w:autoSpaceDE/>
        <w:autoSpaceDN/>
        <w:bidi w:val="0"/>
        <w:adjustRightInd/>
        <w:snapToGrid/>
        <w:spacing w:line="600" w:lineRule="exact"/>
        <w:textAlignment w:val="auto"/>
        <w:rPr>
          <w:rFonts w:hint="eastAsia"/>
          <w:sz w:val="32"/>
          <w:szCs w:val="32"/>
          <w:lang w:val="en-US" w:eastAsia="zh-CN"/>
        </w:rPr>
      </w:pPr>
      <w:r>
        <w:rPr>
          <w:rFonts w:hint="eastAsia"/>
          <w:sz w:val="32"/>
          <w:szCs w:val="32"/>
          <w:lang w:val="en-US" w:eastAsia="zh-CN"/>
        </w:rPr>
        <w:t>（1）部门产出：重点项目全部完成；帮困、医疗补贴等社会保障工作全部完成；残疾人助学工作全部完成；各类康复服务计划除体育进家庭工作未开展和社区康复融合活动未完成外其余全部完成；就业安置及培训计划全部完成；残疾人信息化统计、阳光关爱服务等政府采购项目按制度严格执行政府采购流程；年度内部门实际完成工作数中达到上级部门和同级政府目标要求。（总分18分，评价得分17分）</w:t>
      </w:r>
    </w:p>
    <w:p>
      <w:pPr>
        <w:pageBreakBefore w:val="0"/>
        <w:widowControl w:val="0"/>
        <w:kinsoku/>
        <w:wordWrap/>
        <w:overflowPunct/>
        <w:autoSpaceDE/>
        <w:autoSpaceDN/>
        <w:bidi w:val="0"/>
        <w:adjustRightInd/>
        <w:snapToGrid/>
        <w:spacing w:line="600" w:lineRule="exact"/>
        <w:textAlignment w:val="auto"/>
        <w:rPr>
          <w:rFonts w:hint="default"/>
          <w:sz w:val="32"/>
          <w:szCs w:val="32"/>
          <w:lang w:val="en-US" w:eastAsia="zh-CN"/>
        </w:rPr>
      </w:pPr>
      <w:r>
        <w:rPr>
          <w:rFonts w:hint="eastAsia"/>
          <w:sz w:val="32"/>
          <w:szCs w:val="32"/>
          <w:lang w:val="en-US" w:eastAsia="zh-CN"/>
        </w:rPr>
        <w:t>（2）</w:t>
      </w:r>
      <w:r>
        <w:rPr>
          <w:rFonts w:hint="default"/>
          <w:sz w:val="32"/>
          <w:szCs w:val="32"/>
          <w:lang w:val="en-US" w:eastAsia="zh-CN"/>
        </w:rPr>
        <w:t>部门效果</w:t>
      </w:r>
      <w:r>
        <w:rPr>
          <w:rFonts w:hint="eastAsia"/>
          <w:sz w:val="32"/>
          <w:szCs w:val="32"/>
          <w:lang w:val="en-US" w:eastAsia="zh-CN"/>
        </w:rPr>
        <w:t>：投诉信访事件有所减少：助困、助学等社会保障项目在各类残疾人保障中的覆盖率达90%以上；各类康复服务项目有明显的康复效果；有效促进残疾人就业；残疾人对区残联现提供服务及补贴政策的知晓程度达80%以上；残联系统相关人员及辖区内残疾人对残联工作的满意达85%。（总分21分，评价得分20分）</w:t>
      </w:r>
    </w:p>
    <w:p>
      <w:pPr>
        <w:pageBreakBefore w:val="0"/>
        <w:widowControl w:val="0"/>
        <w:kinsoku/>
        <w:wordWrap/>
        <w:overflowPunct/>
        <w:autoSpaceDE/>
        <w:autoSpaceDN/>
        <w:bidi w:val="0"/>
        <w:adjustRightInd/>
        <w:snapToGrid/>
        <w:spacing w:line="600" w:lineRule="exact"/>
        <w:textAlignment w:val="auto"/>
        <w:rPr>
          <w:rFonts w:hint="default"/>
          <w:sz w:val="32"/>
          <w:szCs w:val="32"/>
          <w:lang w:val="en-US" w:eastAsia="zh-CN"/>
        </w:rPr>
      </w:pPr>
      <w:r>
        <w:rPr>
          <w:rFonts w:hint="eastAsia"/>
          <w:sz w:val="32"/>
          <w:szCs w:val="32"/>
          <w:lang w:val="en-US" w:eastAsia="zh-CN"/>
        </w:rPr>
        <w:t>（3）</w:t>
      </w:r>
      <w:r>
        <w:rPr>
          <w:rFonts w:hint="default"/>
          <w:sz w:val="32"/>
          <w:szCs w:val="32"/>
          <w:lang w:val="en-US" w:eastAsia="zh-CN"/>
        </w:rPr>
        <w:t>部门可持续发展</w:t>
      </w:r>
      <w:r>
        <w:rPr>
          <w:rFonts w:hint="eastAsia"/>
          <w:sz w:val="32"/>
          <w:szCs w:val="32"/>
          <w:lang w:val="en-US" w:eastAsia="zh-CN"/>
        </w:rPr>
        <w:t>：部门管理人员能期接受培训；按规定内容、规定时限公开预决算信息、绩效信息及其他信息，各处室、下属单位等信息共享。（总分6分，评价得分6分）</w:t>
      </w:r>
    </w:p>
    <w:p>
      <w:pPr>
        <w:pStyle w:val="3"/>
        <w:pageBreakBefore w:val="0"/>
        <w:widowControl w:val="0"/>
        <w:kinsoku/>
        <w:wordWrap/>
        <w:overflowPunct/>
        <w:autoSpaceDE/>
        <w:autoSpaceDN/>
        <w:bidi w:val="0"/>
        <w:adjustRightInd/>
        <w:snapToGrid/>
        <w:spacing w:line="600" w:lineRule="exact"/>
        <w:textAlignment w:val="auto"/>
        <w:rPr>
          <w:b w:val="0"/>
          <w:bCs/>
          <w:sz w:val="32"/>
          <w:szCs w:val="32"/>
        </w:rPr>
      </w:pPr>
      <w:r>
        <w:rPr>
          <w:rFonts w:hint="eastAsia"/>
          <w:b w:val="0"/>
          <w:bCs/>
          <w:sz w:val="32"/>
          <w:szCs w:val="32"/>
        </w:rPr>
        <w:t>五、主要经验做法</w:t>
      </w:r>
    </w:p>
    <w:p>
      <w:pPr>
        <w:pageBreakBefore w:val="0"/>
        <w:widowControl w:val="0"/>
        <w:kinsoku/>
        <w:wordWrap/>
        <w:overflowPunct/>
        <w:autoSpaceDE/>
        <w:autoSpaceDN/>
        <w:bidi w:val="0"/>
        <w:adjustRightInd/>
        <w:snapToGrid/>
        <w:spacing w:line="600" w:lineRule="exact"/>
        <w:textAlignment w:val="auto"/>
        <w:rPr>
          <w:rFonts w:hint="eastAsia"/>
          <w:sz w:val="32"/>
          <w:szCs w:val="32"/>
          <w:lang w:eastAsia="zh-CN"/>
        </w:rPr>
      </w:pPr>
      <w:r>
        <w:rPr>
          <w:rFonts w:hint="eastAsia"/>
          <w:sz w:val="32"/>
          <w:szCs w:val="32"/>
          <w:lang w:eastAsia="zh-CN"/>
        </w:rPr>
        <w:t>残联作为区委、区政府联系残疾人群众的桥梁和纽带，积极履职尽责，大胆实践，勇于开拓创新。一是加强工作宣传力度，增强社会公众对残联的认知和对残疾人群体的接纳程度；二是精细管理，提供工作质量和效率，全面落实绩效管理目标责任制，多部门协作，共同推进项目各项任务指标的落实。三是根据实际救助人数进行费用结算，保证财政资金使用效率；四是严格执行资金使用管理的相关规定。</w:t>
      </w:r>
    </w:p>
    <w:p>
      <w:pPr>
        <w:pageBreakBefore w:val="0"/>
        <w:widowControl w:val="0"/>
        <w:kinsoku/>
        <w:wordWrap/>
        <w:overflowPunct/>
        <w:autoSpaceDE/>
        <w:autoSpaceDN/>
        <w:bidi w:val="0"/>
        <w:adjustRightInd/>
        <w:snapToGrid/>
        <w:spacing w:line="600" w:lineRule="exact"/>
        <w:textAlignment w:val="auto"/>
        <w:rPr>
          <w:rFonts w:hint="eastAsia"/>
          <w:sz w:val="32"/>
          <w:szCs w:val="32"/>
          <w:lang w:eastAsia="zh-CN"/>
        </w:rPr>
      </w:pPr>
      <w:r>
        <w:rPr>
          <w:rFonts w:hint="eastAsia"/>
          <w:sz w:val="32"/>
          <w:szCs w:val="32"/>
          <w:lang w:eastAsia="zh-CN"/>
        </w:rPr>
        <w:t>强化领导，建立健全绩效自评组织体系；结合实际，确定自评范围及考评指标，在充分发挥历年开展目标考核经验的基础上结合上年实际，研究确定年度绩效考核范围和考评指标；措施到位，扎实推进绩效自评工作；制定指标做到全面、合理、公正，坚持定性与定量相结合，以定量为主，80%以上的指标进行量化；考评过程与考评结果相结合。</w:t>
      </w:r>
    </w:p>
    <w:p>
      <w:pPr>
        <w:pStyle w:val="3"/>
        <w:pageBreakBefore w:val="0"/>
        <w:widowControl w:val="0"/>
        <w:kinsoku/>
        <w:wordWrap/>
        <w:overflowPunct/>
        <w:autoSpaceDE/>
        <w:autoSpaceDN/>
        <w:bidi w:val="0"/>
        <w:adjustRightInd/>
        <w:snapToGrid/>
        <w:spacing w:line="600" w:lineRule="exact"/>
        <w:textAlignment w:val="auto"/>
        <w:rPr>
          <w:b w:val="0"/>
          <w:bCs/>
          <w:sz w:val="32"/>
          <w:szCs w:val="32"/>
        </w:rPr>
      </w:pPr>
      <w:r>
        <w:rPr>
          <w:rFonts w:hint="eastAsia"/>
          <w:b w:val="0"/>
          <w:bCs/>
          <w:sz w:val="32"/>
          <w:szCs w:val="32"/>
        </w:rPr>
        <w:t>六、存在的问题</w:t>
      </w:r>
    </w:p>
    <w:p>
      <w:pPr>
        <w:pageBreakBefore w:val="0"/>
        <w:widowControl w:val="0"/>
        <w:kinsoku/>
        <w:wordWrap/>
        <w:overflowPunct/>
        <w:autoSpaceDE/>
        <w:autoSpaceDN/>
        <w:bidi w:val="0"/>
        <w:adjustRightInd/>
        <w:snapToGrid/>
        <w:spacing w:line="600" w:lineRule="exact"/>
        <w:textAlignment w:val="auto"/>
        <w:rPr>
          <w:rFonts w:hint="eastAsia"/>
          <w:sz w:val="32"/>
          <w:szCs w:val="32"/>
        </w:rPr>
      </w:pPr>
      <w:r>
        <w:rPr>
          <w:sz w:val="32"/>
          <w:szCs w:val="32"/>
          <w:lang w:val="en-US"/>
        </w:rPr>
        <w:t>1</w:t>
      </w:r>
      <w:r>
        <w:rPr>
          <w:rFonts w:hint="eastAsia"/>
          <w:sz w:val="32"/>
          <w:szCs w:val="32"/>
          <w:lang w:val="en-US" w:eastAsia="zh-CN"/>
        </w:rPr>
        <w:t>.</w:t>
      </w:r>
      <w:r>
        <w:rPr>
          <w:rFonts w:hint="eastAsia"/>
          <w:sz w:val="32"/>
          <w:szCs w:val="32"/>
        </w:rPr>
        <w:t>基本支出没有得到有效的保障。人员配备不齐，导致单位财政支出一直得不到应有的保障。建议财政增加投入，统筹解决。</w:t>
      </w:r>
    </w:p>
    <w:p>
      <w:pPr>
        <w:pageBreakBefore w:val="0"/>
        <w:widowControl w:val="0"/>
        <w:kinsoku/>
        <w:wordWrap/>
        <w:overflowPunct/>
        <w:autoSpaceDE/>
        <w:autoSpaceDN/>
        <w:bidi w:val="0"/>
        <w:adjustRightInd/>
        <w:snapToGrid/>
        <w:spacing w:line="600" w:lineRule="exact"/>
        <w:textAlignment w:val="auto"/>
        <w:rPr>
          <w:rFonts w:hint="eastAsia"/>
          <w:sz w:val="32"/>
          <w:szCs w:val="32"/>
        </w:rPr>
      </w:pPr>
      <w:r>
        <w:rPr>
          <w:rFonts w:hint="eastAsia"/>
          <w:sz w:val="32"/>
          <w:szCs w:val="32"/>
          <w:lang w:val="en-US" w:eastAsia="zh-CN"/>
        </w:rPr>
        <w:t>2.</w:t>
      </w:r>
      <w:r>
        <w:rPr>
          <w:rFonts w:hint="eastAsia"/>
          <w:sz w:val="32"/>
          <w:szCs w:val="32"/>
          <w:lang w:eastAsia="zh-CN"/>
        </w:rPr>
        <w:t>残疾人事业项目经费主要由上级项目经费和区级预算组成，资金数量有限，而残疾人康复、救助项目服务群体大，投入成本高，残疾人对项目效果期望值高，如辅助器具和精神病药品就难以满足需求，对残疾人救助</w:t>
      </w:r>
      <w:r>
        <w:rPr>
          <w:rFonts w:hint="eastAsia"/>
          <w:sz w:val="32"/>
          <w:szCs w:val="32"/>
          <w:lang w:val="en-US" w:eastAsia="zh-CN"/>
        </w:rPr>
        <w:t>/</w:t>
      </w:r>
      <w:r>
        <w:rPr>
          <w:rFonts w:hint="eastAsia"/>
          <w:sz w:val="32"/>
          <w:szCs w:val="32"/>
          <w:lang w:eastAsia="zh-CN"/>
        </w:rPr>
        <w:t>补助杯水车薪，且服务成本日益提高，残疾人事业项目经费保障与广大残疾人康复需求矛盾突出。</w:t>
      </w:r>
    </w:p>
    <w:p>
      <w:pPr>
        <w:pStyle w:val="3"/>
        <w:pageBreakBefore w:val="0"/>
        <w:widowControl w:val="0"/>
        <w:kinsoku/>
        <w:wordWrap/>
        <w:overflowPunct/>
        <w:autoSpaceDE/>
        <w:autoSpaceDN/>
        <w:bidi w:val="0"/>
        <w:adjustRightInd/>
        <w:snapToGrid/>
        <w:spacing w:line="600" w:lineRule="exact"/>
        <w:textAlignment w:val="auto"/>
        <w:rPr>
          <w:b w:val="0"/>
          <w:bCs/>
          <w:sz w:val="32"/>
          <w:szCs w:val="32"/>
        </w:rPr>
      </w:pPr>
      <w:r>
        <w:rPr>
          <w:rFonts w:hint="eastAsia"/>
          <w:b w:val="0"/>
          <w:bCs/>
          <w:sz w:val="32"/>
          <w:szCs w:val="32"/>
        </w:rPr>
        <w:t>七、改进措施及建议</w:t>
      </w:r>
    </w:p>
    <w:p>
      <w:pPr>
        <w:pageBreakBefore w:val="0"/>
        <w:widowControl w:val="0"/>
        <w:kinsoku/>
        <w:wordWrap/>
        <w:overflowPunct/>
        <w:autoSpaceDE/>
        <w:autoSpaceDN/>
        <w:bidi w:val="0"/>
        <w:adjustRightInd/>
        <w:snapToGrid/>
        <w:spacing w:line="600" w:lineRule="exact"/>
        <w:textAlignment w:val="auto"/>
        <w:rPr>
          <w:rFonts w:hint="eastAsia"/>
          <w:sz w:val="32"/>
          <w:szCs w:val="32"/>
          <w:lang w:eastAsia="zh-CN"/>
        </w:rPr>
      </w:pPr>
      <w:r>
        <w:rPr>
          <w:rFonts w:hint="eastAsia"/>
          <w:sz w:val="32"/>
          <w:szCs w:val="32"/>
          <w:lang w:eastAsia="zh-CN"/>
        </w:rPr>
        <w:t>1. 加强政策学习，提高思想认识。加强单位对《预算法》等相关法规、制度的学习，提高单位领导对全面预算管理的重视程度，增强单位各业务科室及财务人员的预算意识，坚持先有预算、后有支出，没有预算不得支出的支出理念。</w:t>
      </w:r>
    </w:p>
    <w:p>
      <w:pPr>
        <w:pageBreakBefore w:val="0"/>
        <w:widowControl w:val="0"/>
        <w:kinsoku/>
        <w:wordWrap/>
        <w:overflowPunct/>
        <w:autoSpaceDE/>
        <w:autoSpaceDN/>
        <w:bidi w:val="0"/>
        <w:adjustRightInd/>
        <w:snapToGrid/>
        <w:spacing w:line="600" w:lineRule="exact"/>
        <w:textAlignment w:val="auto"/>
        <w:rPr>
          <w:rFonts w:hint="eastAsia"/>
          <w:sz w:val="32"/>
          <w:szCs w:val="32"/>
          <w:lang w:eastAsia="zh-CN"/>
        </w:rPr>
      </w:pPr>
      <w:r>
        <w:rPr>
          <w:rFonts w:hint="eastAsia"/>
          <w:sz w:val="32"/>
          <w:szCs w:val="32"/>
          <w:lang w:eastAsia="zh-CN"/>
        </w:rPr>
        <w:t>2. 结合工作实际，提高预算科学性。预算编制前根据年度内单位可预见的工作任务，确定单位年度预算目标，细化预算指标，科学合理编制部门预算，推进预算编制科学化、准确化。</w:t>
      </w:r>
    </w:p>
    <w:p>
      <w:pPr>
        <w:pageBreakBefore w:val="0"/>
        <w:widowControl w:val="0"/>
        <w:kinsoku/>
        <w:wordWrap/>
        <w:overflowPunct/>
        <w:autoSpaceDE/>
        <w:autoSpaceDN/>
        <w:bidi w:val="0"/>
        <w:adjustRightInd/>
        <w:snapToGrid/>
        <w:spacing w:line="600" w:lineRule="exact"/>
        <w:textAlignment w:val="auto"/>
        <w:rPr>
          <w:rFonts w:hint="eastAsia"/>
          <w:sz w:val="32"/>
          <w:szCs w:val="32"/>
          <w:lang w:val="en-US" w:eastAsia="zh-CN"/>
        </w:rPr>
      </w:pPr>
      <w:r>
        <w:rPr>
          <w:rFonts w:hint="eastAsia"/>
          <w:sz w:val="32"/>
          <w:szCs w:val="32"/>
          <w:lang w:val="en-US" w:eastAsia="zh-CN"/>
        </w:rPr>
        <w:t>3.加大对残疾人工作的经费投入，加强对残疾人工作的重视，更好的为残疾人提供服务。</w:t>
      </w:r>
    </w:p>
    <w:p>
      <w:pPr>
        <w:spacing w:line="520" w:lineRule="exact"/>
        <w:jc w:val="center"/>
        <w:rPr>
          <w:rFonts w:hint="eastAsia" w:ascii="方正小标宋_GBK" w:eastAsia="方正小标宋_GBK"/>
          <w:sz w:val="30"/>
          <w:szCs w:val="30"/>
        </w:rPr>
      </w:pPr>
    </w:p>
    <w:p>
      <w:pPr>
        <w:rPr>
          <w:sz w:val="30"/>
          <w:szCs w:val="30"/>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 w:name="方正小标宋简体">
    <w:panose1 w:val="02010601030101010101"/>
    <w:charset w:val="86"/>
    <w:family w:val="auto"/>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 w:name="Cambria">
    <w:panose1 w:val="02040503050406030204"/>
    <w:charset w:val="00"/>
    <w:family w:val="roman"/>
    <w:pitch w:val="default"/>
    <w:sig w:usb0="E00002FF" w:usb1="400004FF" w:usb2="00000000" w:usb3="00000000" w:csb0="2000019F" w:csb1="00000000"/>
  </w:font>
  <w:font w:name="PMingLiU">
    <w:panose1 w:val="02020500000000000000"/>
    <w:charset w:val="88"/>
    <w:family w:val="roman"/>
    <w:pitch w:val="default"/>
    <w:sig w:usb0="A00002FF" w:usb1="28CFFCFA" w:usb2="00000016" w:usb3="00000000" w:csb0="00100001" w:csb1="00000000"/>
  </w:font>
  <w:font w:name="方正小标宋_GBK">
    <w:panose1 w:val="03000509000000000000"/>
    <w:charset w:val="86"/>
    <w:family w:val="script"/>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r>
      <w:rPr>
        <w:sz w:val="18"/>
      </w:rPr>
      <mc:AlternateContent>
        <mc:Choice Requires="wps">
          <w:drawing>
            <wp:anchor distT="0" distB="0" distL="114300" distR="114300" simplePos="0" relativeHeight="251658240" behindDoc="0" locked="0" layoutInCell="1" allowOverlap="1">
              <wp:simplePos x="0" y="0"/>
              <wp:positionH relativeFrom="margin">
                <wp:align>outside</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r>
                            <w:fldChar w:fldCharType="begin"/>
                          </w:r>
                          <w:r>
                            <w:instrText xml:space="preserve"> PAGE   \* MERGEFORMAT </w:instrText>
                          </w:r>
                          <w:r>
                            <w:fldChar w:fldCharType="separate"/>
                          </w:r>
                          <w:r>
                            <w:rPr>
                              <w:lang w:val="zh-CN"/>
                            </w:rPr>
                            <w:t>39</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824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s0lY7tAAAAAFAQAADwAAAAAAAAABACAA&#10;AAAiAAAAZHJzL2Rvd25yZXYueG1sUEsBAhQAFAAAAAgAh07iQJvSDC8VAgAAEwQAAA4AAAAAAAAA&#10;AQAgAAAAHwEAAGRycy9lMm9Eb2MueG1sUEsFBgAAAAAGAAYAWQEAAKYFAAAAAA==&#10;">
              <v:fill on="f" focussize="0,0"/>
              <v:stroke on="f" weight="0.5pt"/>
              <v:imagedata o:title=""/>
              <o:lock v:ext="edit" aspectratio="f"/>
              <v:textbox inset="0mm,0mm,0mm,0mm" style="mso-fit-shape-to-text:t;">
                <w:txbxContent>
                  <w:p>
                    <w:pPr>
                      <w:pStyle w:val="5"/>
                    </w:pPr>
                    <w:r>
                      <w:fldChar w:fldCharType="begin"/>
                    </w:r>
                    <w:r>
                      <w:instrText xml:space="preserve"> PAGE   \* MERGEFORMAT </w:instrText>
                    </w:r>
                    <w:r>
                      <w:fldChar w:fldCharType="separate"/>
                    </w:r>
                    <w:r>
                      <w:rPr>
                        <w:lang w:val="zh-CN"/>
                      </w:rPr>
                      <w:t>39</w:t>
                    </w:r>
                    <w:r>
                      <w:fldChar w:fldCharType="end"/>
                    </w:r>
                  </w:p>
                </w:txbxContent>
              </v:textbox>
            </v:shape>
          </w:pict>
        </mc:Fallback>
      </mc:AlternateContent>
    </w:r>
  </w:p>
  <w:p>
    <w:pPr>
      <w:pStyle w:val="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rPr>
                              <w:rFonts w:hint="eastAsia"/>
                              <w:lang w:eastAsia="zh-CN"/>
                            </w:rPr>
                          </w:pP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">
              <v:fill on="f" focussize="0,0"/>
              <v:stroke on="f" weight="0.5pt"/>
              <v:imagedata o:title=""/>
              <o:lock v:ext="edit" aspectratio="f"/>
              <v:textbox inset="0mm,0mm,0mm,0mm" style="mso-fit-shape-to-text:t;">
                <w:txbxContent>
                  <w:p>
                    <w:pPr>
                      <w:rPr>
                        <w:rFonts w:hint="eastAsia"/>
                        <w:lang w:eastAsia="zh-CN"/>
                      </w:rPr>
                    </w:pP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C402E156"/>
    <w:multiLevelType w:val="singleLevel"/>
    <w:tmpl w:val="C402E156"/>
    <w:lvl w:ilvl="0" w:tentative="0">
      <w:start w:val="2"/>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B430E5C"/>
    <w:rsid w:val="1465358E"/>
    <w:rsid w:val="14AC5EC1"/>
    <w:rsid w:val="1A2746E7"/>
    <w:rsid w:val="1BB43181"/>
    <w:rsid w:val="21C32357"/>
    <w:rsid w:val="27EF494B"/>
    <w:rsid w:val="2B160365"/>
    <w:rsid w:val="2B44200B"/>
    <w:rsid w:val="2CEA1E31"/>
    <w:rsid w:val="2E1D55C2"/>
    <w:rsid w:val="2F1B0C91"/>
    <w:rsid w:val="35BD4AC5"/>
    <w:rsid w:val="36861E7B"/>
    <w:rsid w:val="381432B1"/>
    <w:rsid w:val="38273008"/>
    <w:rsid w:val="388E693A"/>
    <w:rsid w:val="38A7274C"/>
    <w:rsid w:val="3D8A0644"/>
    <w:rsid w:val="3E1638C8"/>
    <w:rsid w:val="3E521716"/>
    <w:rsid w:val="48936351"/>
    <w:rsid w:val="49E36398"/>
    <w:rsid w:val="4B6D462F"/>
    <w:rsid w:val="4D0E0A27"/>
    <w:rsid w:val="51D03A58"/>
    <w:rsid w:val="53880F5F"/>
    <w:rsid w:val="54CC7C15"/>
    <w:rsid w:val="56970990"/>
    <w:rsid w:val="59BB15D0"/>
    <w:rsid w:val="5B833A73"/>
    <w:rsid w:val="5E841717"/>
    <w:rsid w:val="67E903C3"/>
    <w:rsid w:val="69E112AA"/>
    <w:rsid w:val="6A6715BE"/>
    <w:rsid w:val="6EFE7E8F"/>
    <w:rsid w:val="72C34A85"/>
    <w:rsid w:val="774D1D19"/>
    <w:rsid w:val="7865792A"/>
    <w:rsid w:val="7D666535"/>
    <w:rsid w:val="7D7D2B7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iPriority="99"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360" w:lineRule="auto"/>
      <w:ind w:firstLine="1044" w:firstLineChars="200"/>
      <w:jc w:val="both"/>
    </w:pPr>
    <w:rPr>
      <w:rFonts w:ascii="Calibri" w:hAnsi="Calibri" w:eastAsia="仿宋_GB2312" w:cs="Times New Roman"/>
      <w:kern w:val="2"/>
      <w:sz w:val="30"/>
      <w:szCs w:val="22"/>
      <w:lang w:val="en-US" w:eastAsia="zh-CN" w:bidi="ar-SA"/>
    </w:rPr>
  </w:style>
  <w:style w:type="paragraph" w:styleId="2">
    <w:name w:val="heading 1"/>
    <w:basedOn w:val="1"/>
    <w:next w:val="1"/>
    <w:qFormat/>
    <w:uiPriority w:val="9"/>
    <w:pPr>
      <w:keepNext/>
      <w:keepLines/>
      <w:spacing w:before="340" w:after="330" w:line="578" w:lineRule="auto"/>
      <w:jc w:val="center"/>
      <w:outlineLvl w:val="0"/>
    </w:pPr>
    <w:rPr>
      <w:rFonts w:eastAsia="方正小标宋简体"/>
      <w:b/>
      <w:bCs/>
      <w:kern w:val="44"/>
      <w:sz w:val="44"/>
      <w:szCs w:val="44"/>
    </w:rPr>
  </w:style>
  <w:style w:type="paragraph" w:styleId="3">
    <w:name w:val="heading 2"/>
    <w:basedOn w:val="1"/>
    <w:next w:val="1"/>
    <w:unhideWhenUsed/>
    <w:qFormat/>
    <w:uiPriority w:val="0"/>
    <w:pPr>
      <w:keepNext/>
      <w:keepLines/>
      <w:spacing w:beforeLines="0" w:beforeAutospacing="0" w:afterLines="0" w:afterAutospacing="0" w:line="360" w:lineRule="auto"/>
      <w:ind w:firstLine="1044" w:firstLineChars="200"/>
      <w:jc w:val="left"/>
      <w:outlineLvl w:val="1"/>
    </w:pPr>
    <w:rPr>
      <w:rFonts w:ascii="Arial" w:hAnsi="Arial" w:eastAsia="黑体"/>
      <w:b/>
      <w:sz w:val="30"/>
    </w:rPr>
  </w:style>
  <w:style w:type="paragraph" w:styleId="4">
    <w:name w:val="heading 3"/>
    <w:basedOn w:val="1"/>
    <w:next w:val="1"/>
    <w:link w:val="12"/>
    <w:unhideWhenUsed/>
    <w:qFormat/>
    <w:uiPriority w:val="0"/>
    <w:pPr>
      <w:keepNext/>
      <w:keepLines/>
      <w:spacing w:beforeLines="0" w:beforeAutospacing="0" w:afterLines="0" w:afterAutospacing="0" w:line="360" w:lineRule="auto"/>
      <w:ind w:firstLine="1044" w:firstLineChars="200"/>
      <w:jc w:val="left"/>
      <w:outlineLvl w:val="2"/>
    </w:pPr>
    <w:rPr>
      <w:rFonts w:eastAsia="楷体"/>
      <w:b/>
      <w:sz w:val="30"/>
    </w:rPr>
  </w:style>
  <w:style w:type="character" w:default="1" w:styleId="9">
    <w:name w:val="Default Paragraph Font"/>
    <w:semiHidden/>
    <w:qFormat/>
    <w:uiPriority w:val="0"/>
  </w:style>
  <w:style w:type="table" w:default="1" w:styleId="8">
    <w:name w:val="Normal Table"/>
    <w:semiHidden/>
    <w:qFormat/>
    <w:uiPriority w:val="0"/>
    <w:tblPr>
      <w:tblLayout w:type="fixed"/>
      <w:tblCellMar>
        <w:top w:w="0" w:type="dxa"/>
        <w:left w:w="108" w:type="dxa"/>
        <w:bottom w:w="0" w:type="dxa"/>
        <w:right w:w="108" w:type="dxa"/>
      </w:tblCellMar>
    </w:tblPr>
  </w:style>
  <w:style w:type="paragraph" w:styleId="5">
    <w:name w:val="footer"/>
    <w:basedOn w:val="1"/>
    <w:unhideWhenUsed/>
    <w:qFormat/>
    <w:uiPriority w:val="99"/>
    <w:pPr>
      <w:tabs>
        <w:tab w:val="center" w:pos="4153"/>
        <w:tab w:val="right" w:pos="8306"/>
      </w:tabs>
      <w:snapToGrid w:val="0"/>
      <w:jc w:val="left"/>
    </w:pPr>
    <w:rPr>
      <w:kern w:val="0"/>
      <w:sz w:val="18"/>
      <w:szCs w:val="18"/>
    </w:rPr>
  </w:style>
  <w:style w:type="paragraph" w:styleId="6">
    <w:name w:val="header"/>
    <w:basedOn w:val="1"/>
    <w:unhideWhenUsed/>
    <w:qFormat/>
    <w:uiPriority w:val="99"/>
    <w:pPr>
      <w:pBdr>
        <w:bottom w:val="single" w:color="auto" w:sz="6" w:space="1"/>
      </w:pBdr>
      <w:tabs>
        <w:tab w:val="center" w:pos="4153"/>
        <w:tab w:val="right" w:pos="8306"/>
      </w:tabs>
      <w:snapToGrid w:val="0"/>
      <w:jc w:val="center"/>
    </w:pPr>
    <w:rPr>
      <w:kern w:val="0"/>
      <w:sz w:val="18"/>
      <w:szCs w:val="18"/>
    </w:rPr>
  </w:style>
  <w:style w:type="paragraph" w:styleId="7">
    <w:name w:val="Normal (Web)"/>
    <w:basedOn w:val="1"/>
    <w:qFormat/>
    <w:uiPriority w:val="0"/>
    <w:pPr>
      <w:spacing w:before="100" w:beforeAutospacing="1" w:after="100" w:afterAutospacing="1"/>
      <w:ind w:left="0" w:right="0"/>
      <w:jc w:val="left"/>
    </w:pPr>
    <w:rPr>
      <w:kern w:val="0"/>
      <w:sz w:val="24"/>
      <w:lang w:val="en-US" w:eastAsia="zh-CN" w:bidi="ar"/>
    </w:rPr>
  </w:style>
  <w:style w:type="paragraph" w:customStyle="1" w:styleId="10">
    <w:name w:val="正文 A"/>
    <w:qFormat/>
    <w:uiPriority w:val="99"/>
    <w:pPr>
      <w:spacing w:after="200" w:line="276" w:lineRule="auto"/>
    </w:pPr>
    <w:rPr>
      <w:rFonts w:ascii="Calibri" w:hAnsi="Calibri" w:eastAsia="宋体" w:cs="Calibri"/>
      <w:color w:val="000000"/>
      <w:sz w:val="22"/>
      <w:szCs w:val="22"/>
      <w:u w:val="none" w:color="000000"/>
      <w:lang w:val="en-US" w:eastAsia="zh-CN" w:bidi="ar-SA"/>
    </w:rPr>
  </w:style>
  <w:style w:type="paragraph" w:customStyle="1" w:styleId="11">
    <w:name w:val="TOC 标题1"/>
    <w:basedOn w:val="2"/>
    <w:next w:val="1"/>
    <w:qFormat/>
    <w:uiPriority w:val="99"/>
    <w:pPr>
      <w:widowControl/>
      <w:spacing w:before="480" w:after="0" w:line="276" w:lineRule="auto"/>
      <w:jc w:val="left"/>
      <w:outlineLvl w:val="9"/>
    </w:pPr>
    <w:rPr>
      <w:rFonts w:ascii="Cambria" w:hAnsi="Cambria" w:eastAsia="宋体" w:cs="Cambria"/>
      <w:color w:val="365F91"/>
      <w:kern w:val="0"/>
      <w:sz w:val="28"/>
      <w:szCs w:val="28"/>
    </w:rPr>
  </w:style>
  <w:style w:type="character" w:customStyle="1" w:styleId="12">
    <w:name w:val="标题 3 Char"/>
    <w:link w:val="4"/>
    <w:qFormat/>
    <w:uiPriority w:val="0"/>
    <w:rPr>
      <w:rFonts w:eastAsia="楷体"/>
      <w:b/>
      <w:sz w:val="30"/>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21</TotalTime>
  <ScaleCrop>false</ScaleCrop>
  <LinksUpToDate>false</LinksUpToDate>
  <CharactersWithSpaces>0</CharactersWithSpaces>
  <Application>WPS Office_11.8.6.8722_F1E327BC-269C-435d-A152-05C5408002CA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Administrator</dc:creator>
  <cp:lastModifiedBy>Administrator</cp:lastModifiedBy>
  <cp:lastPrinted>2020-05-07T02:44:00Z</cp:lastPrinted>
  <dcterms:modified xsi:type="dcterms:W3CDTF">2020-09-29T07:38:00Z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2052-11.8.6.8722</vt:lpwstr>
  </property>
</Properties>
</file>