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</w:rPr>
        <w:t>2019年盘龙区政府举借债务情况说明</w:t>
      </w: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</w:t>
      </w:r>
    </w:p>
    <w:p>
      <w:pPr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经市政府核定，并报经区人大常委会批准，盘龙区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2019年地方政府债务限额2.31亿元，其中，一般债务限额2.31亿元，专项债务限额0元，新增地方政府债务限额 0元，比2018年增加0.01亿元。</w:t>
      </w:r>
      <w:r>
        <w:rPr>
          <w:rFonts w:hint="default" w:ascii="Times New Roman" w:hAnsi="Times New Roman" w:eastAsia="仿宋_GB2312" w:cs="Times New Roman"/>
          <w:color w:val="000000"/>
          <w:kern w:val="32"/>
          <w:sz w:val="32"/>
          <w:szCs w:val="32"/>
        </w:rPr>
        <w:t>地方政府性债务余额11,319万元，其中：政府置换债券11,316万元，外债转贷3万元</w:t>
      </w:r>
      <w:r>
        <w:rPr>
          <w:rFonts w:hint="eastAsia" w:ascii="Times New Roman" w:hAnsi="Times New Roman" w:eastAsia="仿宋_GB2312" w:cs="Times New Roman"/>
          <w:color w:val="000000"/>
          <w:kern w:val="32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政府债务余额控制在政府债务限额以内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A6B05"/>
    <w:rsid w:val="00210923"/>
    <w:rsid w:val="006A6B05"/>
    <w:rsid w:val="00856392"/>
    <w:rsid w:val="00CF7CE0"/>
    <w:rsid w:val="0E433265"/>
    <w:rsid w:val="0F6E0ABA"/>
    <w:rsid w:val="3DA55D6C"/>
    <w:rsid w:val="43CB03B0"/>
    <w:rsid w:val="5E852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仿宋_GB2312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</Words>
  <Characters>93</Characters>
  <Lines>1</Lines>
  <Paragraphs>1</Paragraphs>
  <TotalTime>0</TotalTime>
  <ScaleCrop>false</ScaleCrop>
  <LinksUpToDate>false</LinksUpToDate>
  <CharactersWithSpaces>108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2020-09-14T03:16:00Z</dcterms:created>
  <dc:creator>Administrator</dc:creator>
  <cp:lastModifiedBy>hp</cp:lastModifiedBy>
  <dcterms:modified xsi:type="dcterms:W3CDTF">2020-09-28T06:11:17Z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