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70" w:lineRule="exact"/>
        <w:jc w:val="center"/>
        <w:rPr>
          <w:rFonts w:hint="eastAsia" w:ascii="方正小标宋简体" w:hAnsi="华文中宋" w:eastAsia="方正小标宋简体"/>
          <w:spacing w:val="14"/>
          <w:sz w:val="44"/>
          <w:szCs w:val="44"/>
        </w:rPr>
      </w:pPr>
    </w:p>
    <w:p>
      <w:pPr>
        <w:snapToGrid w:val="0"/>
        <w:spacing w:line="570" w:lineRule="exact"/>
        <w:jc w:val="center"/>
        <w:rPr>
          <w:rFonts w:hint="eastAsia" w:ascii="方正小标宋简体" w:eastAsia="方正小标宋简体"/>
          <w:sz w:val="36"/>
          <w:szCs w:val="36"/>
        </w:rPr>
      </w:pPr>
      <w:r>
        <w:rPr>
          <w:rFonts w:hint="eastAsia" w:ascii="方正小标宋简体" w:eastAsia="方正小标宋简体"/>
          <w:sz w:val="36"/>
          <w:szCs w:val="36"/>
          <w:lang w:eastAsia="zh-CN"/>
        </w:rPr>
        <w:t>盘龙区松华坝水库水源保护区管理局</w:t>
      </w:r>
      <w:r>
        <w:rPr>
          <w:rFonts w:hint="eastAsia" w:ascii="方正小标宋简体" w:eastAsia="方正小标宋简体"/>
          <w:sz w:val="36"/>
          <w:szCs w:val="36"/>
          <w:lang w:val="en-US" w:eastAsia="zh-CN"/>
        </w:rPr>
        <w:t>2021</w:t>
      </w:r>
      <w:r>
        <w:rPr>
          <w:rFonts w:hint="eastAsia" w:ascii="方正小标宋简体" w:eastAsia="方正小标宋简体"/>
          <w:sz w:val="36"/>
          <w:szCs w:val="36"/>
        </w:rPr>
        <w:t>年</w:t>
      </w:r>
    </w:p>
    <w:p>
      <w:pPr>
        <w:snapToGrid w:val="0"/>
        <w:spacing w:line="570" w:lineRule="exact"/>
        <w:jc w:val="center"/>
        <w:rPr>
          <w:rFonts w:hint="eastAsia" w:ascii="方正小标宋简体" w:hAnsi="华文中宋" w:eastAsia="方正小标宋简体"/>
          <w:spacing w:val="14"/>
          <w:sz w:val="36"/>
          <w:szCs w:val="36"/>
        </w:rPr>
      </w:pPr>
      <w:r>
        <w:rPr>
          <w:rFonts w:hint="eastAsia" w:ascii="方正小标宋简体" w:hAnsi="华文中宋" w:eastAsia="方正小标宋简体"/>
          <w:spacing w:val="14"/>
          <w:sz w:val="36"/>
          <w:szCs w:val="36"/>
        </w:rPr>
        <w:t>界标界桩和物理隔离栏管护经费项目</w:t>
      </w:r>
    </w:p>
    <w:p>
      <w:pPr>
        <w:snapToGrid w:val="0"/>
        <w:spacing w:line="570" w:lineRule="exact"/>
        <w:jc w:val="center"/>
        <w:rPr>
          <w:rFonts w:hint="eastAsia" w:ascii="方正小标宋简体" w:hAnsi="华文中宋" w:eastAsia="方正小标宋简体"/>
          <w:spacing w:val="14"/>
          <w:sz w:val="44"/>
          <w:szCs w:val="44"/>
        </w:rPr>
      </w:pPr>
    </w:p>
    <w:p>
      <w:pPr>
        <w:widowControl/>
        <w:numPr>
          <w:ilvl w:val="0"/>
          <w:numId w:val="1"/>
        </w:numPr>
        <w:ind w:firstLine="600" w:firstLineChars="200"/>
        <w:jc w:val="left"/>
        <w:rPr>
          <w:rFonts w:hint="eastAsia" w:ascii="黑体" w:hAnsi="黑体" w:eastAsia="黑体"/>
          <w:kern w:val="0"/>
          <w:sz w:val="30"/>
          <w:szCs w:val="30"/>
        </w:rPr>
      </w:pPr>
      <w:r>
        <w:rPr>
          <w:rFonts w:hint="eastAsia" w:ascii="黑体" w:hAnsi="黑体" w:eastAsia="黑体"/>
          <w:kern w:val="0"/>
          <w:sz w:val="30"/>
          <w:szCs w:val="30"/>
        </w:rPr>
        <w:t>项目名称</w:t>
      </w:r>
    </w:p>
    <w:p>
      <w:pPr>
        <w:widowControl/>
        <w:ind w:firstLine="600" w:firstLineChars="200"/>
        <w:jc w:val="left"/>
        <w:rPr>
          <w:rFonts w:eastAsia="仿宋_GB2312"/>
          <w:kern w:val="0"/>
          <w:sz w:val="30"/>
          <w:szCs w:val="30"/>
        </w:rPr>
      </w:pPr>
      <w:r>
        <w:rPr>
          <w:rFonts w:hint="eastAsia" w:eastAsia="仿宋_GB2312"/>
          <w:kern w:val="0"/>
          <w:sz w:val="30"/>
          <w:szCs w:val="30"/>
        </w:rPr>
        <w:t>界标界桩和物理隔离栏管护经费</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立项依据</w:t>
      </w:r>
    </w:p>
    <w:p>
      <w:pPr>
        <w:widowControl/>
        <w:ind w:firstLine="600" w:firstLineChars="200"/>
        <w:jc w:val="left"/>
        <w:rPr>
          <w:rFonts w:hint="eastAsia" w:eastAsia="仿宋_GB2312"/>
          <w:kern w:val="0"/>
          <w:sz w:val="30"/>
          <w:szCs w:val="30"/>
        </w:rPr>
      </w:pPr>
      <w:r>
        <w:rPr>
          <w:rFonts w:hint="eastAsia" w:eastAsia="仿宋_GB2312"/>
          <w:kern w:val="0"/>
          <w:sz w:val="30"/>
          <w:szCs w:val="30"/>
        </w:rPr>
        <w:t>根据“三定”方案内容，</w:t>
      </w:r>
      <w:r>
        <w:rPr>
          <w:rFonts w:hint="eastAsia" w:eastAsia="仿宋_GB2312"/>
          <w:kern w:val="0"/>
          <w:sz w:val="30"/>
          <w:szCs w:val="30"/>
          <w:lang w:val="en-US" w:eastAsia="zh-CN"/>
        </w:rPr>
        <w:t>盘龙</w:t>
      </w:r>
      <w:r>
        <w:rPr>
          <w:rFonts w:hint="eastAsia" w:eastAsia="仿宋_GB2312"/>
          <w:kern w:val="0"/>
          <w:sz w:val="30"/>
          <w:szCs w:val="30"/>
        </w:rPr>
        <w:t xml:space="preserve">区松华坝水库水源保护区管理局承担着在松华坝水库水源保护区开展界标界桩和物理隔离栏建设及管护工作任务。 </w:t>
      </w:r>
    </w:p>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rPr>
        <w:t>区政府2019年10月会议纪要明确此项经费每年安排20万元。如发生支出事项，不足部分当年另行追加预算；年度内未使用，资金原渠道退回</w:t>
      </w:r>
      <w:r>
        <w:rPr>
          <w:rFonts w:hint="eastAsia" w:eastAsia="仿宋_GB2312"/>
          <w:kern w:val="0"/>
          <w:sz w:val="30"/>
          <w:szCs w:val="30"/>
          <w:lang w:eastAsia="zh-CN"/>
        </w:rPr>
        <w:t>。</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项目实施单位</w:t>
      </w:r>
    </w:p>
    <w:p>
      <w:pPr>
        <w:widowControl/>
        <w:ind w:firstLine="600" w:firstLineChars="200"/>
        <w:jc w:val="left"/>
        <w:rPr>
          <w:rFonts w:hint="eastAsia" w:eastAsia="仿宋_GB2312"/>
          <w:kern w:val="0"/>
          <w:sz w:val="30"/>
          <w:szCs w:val="30"/>
        </w:rPr>
      </w:pPr>
      <w:r>
        <w:rPr>
          <w:rFonts w:hint="eastAsia" w:eastAsia="仿宋_GB2312"/>
          <w:kern w:val="0"/>
          <w:sz w:val="30"/>
          <w:szCs w:val="30"/>
        </w:rPr>
        <w:t>单位名称：盘龙区松华坝水库水源保护区管理局</w:t>
      </w:r>
    </w:p>
    <w:p>
      <w:pPr>
        <w:widowControl/>
        <w:ind w:firstLine="600" w:firstLineChars="200"/>
        <w:jc w:val="left"/>
        <w:rPr>
          <w:rFonts w:hint="eastAsia" w:eastAsia="仿宋_GB2312"/>
          <w:kern w:val="0"/>
          <w:sz w:val="30"/>
          <w:szCs w:val="30"/>
        </w:rPr>
      </w:pPr>
      <w:r>
        <w:rPr>
          <w:rFonts w:hint="eastAsia" w:eastAsia="仿宋_GB2312"/>
          <w:kern w:val="0"/>
          <w:sz w:val="30"/>
          <w:szCs w:val="30"/>
        </w:rPr>
        <w:t>组织机构代码：MB181900X</w:t>
      </w:r>
    </w:p>
    <w:p>
      <w:pPr>
        <w:widowControl/>
        <w:ind w:firstLine="600" w:firstLineChars="200"/>
        <w:jc w:val="left"/>
        <w:rPr>
          <w:rFonts w:hint="eastAsia" w:eastAsia="仿宋_GB2312"/>
          <w:kern w:val="0"/>
          <w:sz w:val="30"/>
          <w:szCs w:val="30"/>
        </w:rPr>
      </w:pPr>
      <w:r>
        <w:rPr>
          <w:rFonts w:hint="eastAsia" w:eastAsia="仿宋_GB2312"/>
          <w:kern w:val="0"/>
          <w:sz w:val="30"/>
          <w:szCs w:val="30"/>
        </w:rPr>
        <w:t>地址：昆明市白云路327号（盘龙区人民政府第二办公区）A幢204</w:t>
      </w:r>
    </w:p>
    <w:p>
      <w:pPr>
        <w:widowControl/>
        <w:ind w:firstLine="600" w:firstLineChars="200"/>
        <w:jc w:val="left"/>
        <w:rPr>
          <w:rFonts w:hint="eastAsia" w:eastAsia="仿宋_GB2312"/>
          <w:kern w:val="0"/>
          <w:sz w:val="30"/>
          <w:szCs w:val="30"/>
        </w:rPr>
      </w:pPr>
      <w:r>
        <w:rPr>
          <w:rFonts w:hint="eastAsia" w:eastAsia="仿宋_GB2312"/>
          <w:kern w:val="0"/>
          <w:sz w:val="30"/>
          <w:szCs w:val="30"/>
        </w:rPr>
        <w:t>联系电话：0871-65630655</w:t>
      </w:r>
    </w:p>
    <w:p>
      <w:pPr>
        <w:widowControl/>
        <w:ind w:firstLine="600" w:firstLineChars="200"/>
        <w:jc w:val="left"/>
        <w:rPr>
          <w:rFonts w:hint="eastAsia" w:eastAsia="仿宋_GB2312"/>
          <w:kern w:val="0"/>
          <w:sz w:val="30"/>
          <w:szCs w:val="30"/>
        </w:rPr>
      </w:pPr>
      <w:r>
        <w:rPr>
          <w:rFonts w:hint="eastAsia" w:eastAsia="仿宋_GB2312"/>
          <w:kern w:val="0"/>
          <w:sz w:val="30"/>
          <w:szCs w:val="30"/>
        </w:rPr>
        <w:t>法人代表：尹硕</w:t>
      </w:r>
    </w:p>
    <w:p>
      <w:pPr>
        <w:widowControl/>
        <w:ind w:firstLine="600" w:firstLineChars="200"/>
        <w:jc w:val="left"/>
        <w:rPr>
          <w:rFonts w:hint="eastAsia" w:eastAsia="仿宋_GB2312"/>
          <w:kern w:val="0"/>
          <w:sz w:val="30"/>
          <w:szCs w:val="30"/>
        </w:rPr>
      </w:pPr>
      <w:r>
        <w:rPr>
          <w:rFonts w:hint="eastAsia" w:eastAsia="仿宋_GB2312"/>
          <w:kern w:val="0"/>
          <w:sz w:val="30"/>
          <w:szCs w:val="30"/>
        </w:rPr>
        <w:t>经费来源：本级财力安排</w:t>
      </w:r>
    </w:p>
    <w:p>
      <w:pPr>
        <w:widowControl/>
        <w:ind w:firstLine="600" w:firstLineChars="200"/>
        <w:jc w:val="left"/>
        <w:rPr>
          <w:rFonts w:hint="eastAsia" w:eastAsia="仿宋_GB2312"/>
          <w:kern w:val="0"/>
          <w:sz w:val="30"/>
          <w:szCs w:val="30"/>
        </w:rPr>
      </w:pPr>
      <w:r>
        <w:rPr>
          <w:rFonts w:hint="eastAsia" w:eastAsia="仿宋_GB2312"/>
          <w:kern w:val="0"/>
          <w:sz w:val="30"/>
          <w:szCs w:val="30"/>
          <w:lang w:eastAsia="zh-CN"/>
        </w:rPr>
        <w:t>单位</w:t>
      </w:r>
      <w:r>
        <w:rPr>
          <w:rFonts w:hint="eastAsia" w:eastAsia="仿宋_GB2312"/>
          <w:kern w:val="0"/>
          <w:sz w:val="30"/>
          <w:szCs w:val="30"/>
        </w:rPr>
        <w:t>概况：</w:t>
      </w:r>
    </w:p>
    <w:p>
      <w:pPr>
        <w:widowControl/>
        <w:ind w:firstLine="600" w:firstLineChars="200"/>
        <w:jc w:val="left"/>
        <w:rPr>
          <w:rFonts w:eastAsia="仿宋_GB2312"/>
          <w:kern w:val="0"/>
          <w:sz w:val="30"/>
          <w:szCs w:val="30"/>
        </w:rPr>
      </w:pPr>
      <w:r>
        <w:rPr>
          <w:rFonts w:hint="eastAsia" w:eastAsia="仿宋_GB2312"/>
          <w:kern w:val="0"/>
          <w:sz w:val="30"/>
          <w:szCs w:val="30"/>
        </w:rPr>
        <w:t>盘龙区松华坝水库水源保护区管理局，为盘龙区政府直属事业单位，机构规格副县级，负责松华坝水库的保护和管理工作。负责宣传贯彻国家及省、市水源保护地管理保护相关法律、法规和《昆明市松华坝水库保护条例》，协调、服务各部门、各街道开展保护工作；负责牵头编制松华坝水库水源保护区保护规划；负责牵头制定松华坝水库水源保护区生态补偿机制，并配合实施；按照《昆明市松华坝水库保护条例》三级区划分，明确松华坝水库水源保护区界限，设置水源保护区界标、界碑；配合做好统计服务工作；做好政策性实施的农改林管理工作；做好与区水务（滇管）、农林、环保的协调配合工作及承办上级交办的其他工作。</w:t>
      </w:r>
    </w:p>
    <w:p>
      <w:pPr>
        <w:widowControl/>
        <w:ind w:firstLine="600" w:firstLineChars="200"/>
        <w:jc w:val="left"/>
        <w:rPr>
          <w:rFonts w:hint="eastAsia" w:eastAsia="仿宋_GB2312"/>
          <w:kern w:val="0"/>
          <w:sz w:val="30"/>
          <w:szCs w:val="30"/>
        </w:rPr>
      </w:pPr>
      <w:r>
        <w:rPr>
          <w:rFonts w:eastAsia="仿宋_GB2312"/>
          <w:kern w:val="0"/>
          <w:sz w:val="30"/>
          <w:szCs w:val="30"/>
        </w:rPr>
        <w:t>我</w:t>
      </w:r>
      <w:r>
        <w:rPr>
          <w:rFonts w:hint="eastAsia" w:eastAsia="仿宋_GB2312"/>
          <w:kern w:val="0"/>
          <w:sz w:val="30"/>
          <w:szCs w:val="30"/>
        </w:rPr>
        <w:t>单位为</w:t>
      </w:r>
      <w:r>
        <w:rPr>
          <w:rFonts w:eastAsia="仿宋_GB2312"/>
          <w:kern w:val="0"/>
          <w:sz w:val="30"/>
          <w:szCs w:val="30"/>
        </w:rPr>
        <w:t>财政全供给</w:t>
      </w:r>
      <w:r>
        <w:rPr>
          <w:rFonts w:hint="eastAsia" w:eastAsia="仿宋_GB2312"/>
          <w:kern w:val="0"/>
          <w:sz w:val="30"/>
          <w:szCs w:val="30"/>
        </w:rPr>
        <w:t>单位</w:t>
      </w:r>
      <w:r>
        <w:rPr>
          <w:rFonts w:eastAsia="仿宋_GB2312"/>
          <w:kern w:val="0"/>
          <w:sz w:val="30"/>
          <w:szCs w:val="30"/>
        </w:rPr>
        <w:t>。编制</w:t>
      </w:r>
      <w:r>
        <w:rPr>
          <w:rFonts w:hint="eastAsia" w:eastAsia="仿宋_GB2312"/>
          <w:kern w:val="0"/>
          <w:sz w:val="30"/>
          <w:szCs w:val="30"/>
        </w:rPr>
        <w:t>人员15</w:t>
      </w:r>
      <w:r>
        <w:rPr>
          <w:rFonts w:eastAsia="仿宋_GB2312"/>
          <w:kern w:val="0"/>
          <w:sz w:val="30"/>
          <w:szCs w:val="30"/>
        </w:rPr>
        <w:t>人，</w:t>
      </w:r>
      <w:r>
        <w:rPr>
          <w:rFonts w:hint="eastAsia" w:eastAsia="仿宋_GB2312"/>
          <w:kern w:val="0"/>
          <w:sz w:val="30"/>
          <w:szCs w:val="30"/>
        </w:rPr>
        <w:t>均为</w:t>
      </w:r>
      <w:r>
        <w:rPr>
          <w:rFonts w:eastAsia="仿宋_GB2312"/>
          <w:kern w:val="0"/>
          <w:sz w:val="30"/>
          <w:szCs w:val="30"/>
        </w:rPr>
        <w:t>事业编制。实有在职</w:t>
      </w:r>
      <w:r>
        <w:rPr>
          <w:rFonts w:hint="eastAsia" w:eastAsia="仿宋_GB2312"/>
          <w:kern w:val="0"/>
          <w:sz w:val="30"/>
          <w:szCs w:val="30"/>
        </w:rPr>
        <w:t>人员</w:t>
      </w:r>
      <w:r>
        <w:rPr>
          <w:rFonts w:hint="eastAsia" w:eastAsia="仿宋_GB2312"/>
          <w:kern w:val="0"/>
          <w:sz w:val="30"/>
          <w:szCs w:val="30"/>
          <w:lang w:val="en-US" w:eastAsia="zh-CN"/>
        </w:rPr>
        <w:t>11</w:t>
      </w:r>
      <w:r>
        <w:rPr>
          <w:rFonts w:eastAsia="仿宋_GB2312"/>
          <w:kern w:val="0"/>
          <w:sz w:val="30"/>
          <w:szCs w:val="30"/>
        </w:rPr>
        <w:t>人，</w:t>
      </w:r>
      <w:r>
        <w:rPr>
          <w:rFonts w:hint="eastAsia" w:eastAsia="仿宋_GB2312"/>
          <w:kern w:val="0"/>
          <w:sz w:val="30"/>
          <w:szCs w:val="30"/>
        </w:rPr>
        <w:t>无</w:t>
      </w:r>
      <w:r>
        <w:rPr>
          <w:rFonts w:eastAsia="仿宋_GB2312"/>
          <w:kern w:val="0"/>
          <w:sz w:val="30"/>
          <w:szCs w:val="30"/>
        </w:rPr>
        <w:t>离退休人员 。</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项目基本概况</w:t>
      </w:r>
    </w:p>
    <w:p>
      <w:pPr>
        <w:widowControl/>
        <w:ind w:firstLine="600" w:firstLineChars="200"/>
        <w:jc w:val="left"/>
        <w:rPr>
          <w:rFonts w:eastAsia="仿宋_GB2312"/>
          <w:kern w:val="0"/>
          <w:sz w:val="30"/>
          <w:szCs w:val="30"/>
        </w:rPr>
      </w:pPr>
      <w:r>
        <w:rPr>
          <w:rFonts w:hint="eastAsia" w:eastAsia="仿宋_GB2312"/>
          <w:kern w:val="0"/>
          <w:sz w:val="30"/>
          <w:szCs w:val="30"/>
        </w:rPr>
        <w:t>根据《饮用水水源保护区标志技术要求》及《昆明市松华坝水库保护条例》三级区划分，按工作计划、对水源区以前年度设置的不规范界桩、界标进行更换，对已损坏，破损的界桩、界标、警示牌、宣传牌进行日常修理维护。</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项目实施内容</w:t>
      </w:r>
    </w:p>
    <w:p>
      <w:pPr>
        <w:widowControl/>
        <w:ind w:firstLine="600" w:firstLineChars="200"/>
        <w:jc w:val="left"/>
        <w:rPr>
          <w:rFonts w:hint="eastAsia" w:ascii="黑体" w:hAnsi="黑体" w:eastAsia="仿宋_GB2312" w:cs="黑体"/>
          <w:kern w:val="0"/>
          <w:sz w:val="30"/>
          <w:szCs w:val="30"/>
          <w:lang w:val="en-US" w:eastAsia="zh-CN"/>
        </w:rPr>
      </w:pPr>
      <w:r>
        <w:rPr>
          <w:rFonts w:hint="eastAsia" w:eastAsia="仿宋_GB2312"/>
          <w:kern w:val="0"/>
          <w:sz w:val="30"/>
          <w:szCs w:val="30"/>
        </w:rPr>
        <w:t>界标界桩和物理隔离栏管护经费</w:t>
      </w:r>
      <w:r>
        <w:rPr>
          <w:rFonts w:hint="eastAsia" w:eastAsia="仿宋_GB2312"/>
          <w:kern w:val="0"/>
          <w:sz w:val="30"/>
          <w:szCs w:val="30"/>
          <w:lang w:val="en-US" w:eastAsia="zh-CN"/>
        </w:rPr>
        <w:t>主要</w:t>
      </w:r>
      <w:r>
        <w:rPr>
          <w:rFonts w:hint="eastAsia" w:eastAsia="仿宋_GB2312"/>
          <w:kern w:val="0"/>
          <w:sz w:val="30"/>
          <w:szCs w:val="30"/>
        </w:rPr>
        <w:t>对水源区以前年度设置的不规范界桩、界标、警示牌、宣传牌进行更换，对已损坏，破损的</w:t>
      </w:r>
      <w:r>
        <w:rPr>
          <w:rFonts w:hint="eastAsia" w:eastAsia="仿宋_GB2312"/>
          <w:kern w:val="0"/>
          <w:sz w:val="30"/>
          <w:szCs w:val="30"/>
          <w:lang w:val="en-US" w:eastAsia="zh-CN"/>
        </w:rPr>
        <w:t>隔离栏、</w:t>
      </w:r>
      <w:r>
        <w:rPr>
          <w:rFonts w:hint="eastAsia" w:eastAsia="仿宋_GB2312"/>
          <w:kern w:val="0"/>
          <w:sz w:val="30"/>
          <w:szCs w:val="30"/>
        </w:rPr>
        <w:t>界桩、界标</w:t>
      </w:r>
      <w:r>
        <w:rPr>
          <w:rFonts w:hint="eastAsia" w:eastAsia="仿宋_GB2312"/>
          <w:kern w:val="0"/>
          <w:sz w:val="30"/>
          <w:szCs w:val="30"/>
          <w:lang w:eastAsia="zh-CN"/>
        </w:rPr>
        <w:t>、</w:t>
      </w:r>
      <w:r>
        <w:rPr>
          <w:rFonts w:hint="eastAsia" w:eastAsia="仿宋_GB2312"/>
          <w:kern w:val="0"/>
          <w:sz w:val="30"/>
          <w:szCs w:val="30"/>
        </w:rPr>
        <w:t>警示牌、宣传牌进行日常修理维护</w:t>
      </w:r>
      <w:r>
        <w:rPr>
          <w:rFonts w:hint="eastAsia" w:eastAsia="仿宋_GB2312"/>
          <w:kern w:val="0"/>
          <w:sz w:val="30"/>
          <w:szCs w:val="30"/>
          <w:lang w:eastAsia="zh-CN"/>
        </w:rPr>
        <w:t>；</w:t>
      </w:r>
      <w:r>
        <w:rPr>
          <w:rFonts w:hint="eastAsia" w:eastAsia="仿宋_GB2312"/>
          <w:kern w:val="0"/>
          <w:sz w:val="30"/>
          <w:szCs w:val="30"/>
          <w:lang w:val="en-US" w:eastAsia="zh-CN"/>
        </w:rPr>
        <w:t>根据管理工作需要，新建、补建隔离栏、界桩界标等，</w:t>
      </w:r>
      <w:r>
        <w:rPr>
          <w:rFonts w:hint="eastAsia" w:eastAsia="仿宋_GB2312"/>
          <w:kern w:val="0"/>
          <w:sz w:val="30"/>
          <w:szCs w:val="30"/>
        </w:rPr>
        <w:t>有效减少</w:t>
      </w:r>
      <w:r>
        <w:rPr>
          <w:rFonts w:hint="eastAsia" w:eastAsia="仿宋_GB2312"/>
          <w:kern w:val="0"/>
          <w:sz w:val="30"/>
          <w:szCs w:val="30"/>
          <w:lang w:val="en-US" w:eastAsia="zh-CN"/>
        </w:rPr>
        <w:t>进入水源区重点区域游玩、放牧、垂钓等人员</w:t>
      </w:r>
      <w:r>
        <w:rPr>
          <w:rFonts w:hint="eastAsia" w:eastAsia="仿宋_GB2312"/>
          <w:kern w:val="0"/>
          <w:sz w:val="30"/>
          <w:szCs w:val="30"/>
        </w:rPr>
        <w:t>，</w:t>
      </w:r>
      <w:r>
        <w:rPr>
          <w:rFonts w:hint="eastAsia" w:eastAsia="仿宋_GB2312"/>
          <w:kern w:val="0"/>
          <w:sz w:val="30"/>
          <w:szCs w:val="30"/>
          <w:lang w:val="en-US" w:eastAsia="zh-CN"/>
        </w:rPr>
        <w:t>进一步</w:t>
      </w:r>
      <w:r>
        <w:rPr>
          <w:rFonts w:hint="eastAsia" w:eastAsia="仿宋_GB2312"/>
          <w:kern w:val="0"/>
          <w:sz w:val="30"/>
          <w:szCs w:val="30"/>
        </w:rPr>
        <w:t>提高管理效率，降低管理成本</w:t>
      </w:r>
      <w:r>
        <w:rPr>
          <w:rFonts w:hint="eastAsia" w:eastAsia="仿宋_GB2312"/>
          <w:kern w:val="0"/>
          <w:sz w:val="30"/>
          <w:szCs w:val="30"/>
          <w:lang w:eastAsia="zh-CN"/>
        </w:rPr>
        <w:t>。</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资金安排情况</w:t>
      </w:r>
    </w:p>
    <w:p>
      <w:pPr>
        <w:widowControl/>
        <w:ind w:firstLine="600" w:firstLineChars="200"/>
        <w:jc w:val="left"/>
        <w:rPr>
          <w:rFonts w:hint="eastAsia" w:ascii="黑体" w:hAnsi="黑体" w:eastAsia="黑体" w:cs="黑体"/>
          <w:kern w:val="0"/>
          <w:sz w:val="30"/>
          <w:szCs w:val="30"/>
        </w:rPr>
      </w:pPr>
      <w:r>
        <w:rPr>
          <w:rFonts w:hint="eastAsia" w:eastAsia="仿宋_GB2312"/>
          <w:kern w:val="0"/>
          <w:sz w:val="30"/>
          <w:szCs w:val="30"/>
        </w:rPr>
        <w:t>松华坝水源保护区管理局界标界桩和物理隔离栏管护经费项目年初预算安排资金20万元，主要用于开展辖区范围内</w:t>
      </w:r>
      <w:r>
        <w:rPr>
          <w:rFonts w:hint="eastAsia" w:eastAsia="仿宋_GB2312"/>
          <w:kern w:val="0"/>
          <w:sz w:val="30"/>
          <w:szCs w:val="30"/>
          <w:lang w:val="en-US" w:eastAsia="zh-CN"/>
        </w:rPr>
        <w:t>3</w:t>
      </w:r>
      <w:bookmarkStart w:id="0" w:name="_GoBack"/>
      <w:bookmarkEnd w:id="0"/>
      <w:r>
        <w:rPr>
          <w:rFonts w:hint="eastAsia" w:eastAsia="仿宋_GB2312"/>
          <w:kern w:val="0"/>
          <w:sz w:val="30"/>
          <w:szCs w:val="30"/>
        </w:rPr>
        <w:t>物理隔离栏管理、维护，辖区范围内界标、警示牌管理、维护，辖区范围内界桩管理、维护工作</w:t>
      </w:r>
      <w:r>
        <w:rPr>
          <w:rFonts w:hint="eastAsia" w:eastAsia="仿宋_GB2312"/>
          <w:kern w:val="0"/>
          <w:sz w:val="30"/>
          <w:szCs w:val="30"/>
          <w:lang w:val="en-US" w:eastAsia="zh-CN"/>
        </w:rPr>
        <w:t>及新建、补建界标界桩管护工作</w:t>
      </w:r>
      <w:r>
        <w:rPr>
          <w:rFonts w:hint="eastAsia" w:eastAsia="仿宋_GB2312"/>
          <w:kern w:val="0"/>
          <w:sz w:val="30"/>
          <w:szCs w:val="30"/>
        </w:rPr>
        <w:t>。</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项目实施计划</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rPr>
        <w:t>松华坝水源保护区管理局</w:t>
      </w:r>
      <w:r>
        <w:rPr>
          <w:rFonts w:hint="eastAsia" w:eastAsia="仿宋_GB2312"/>
          <w:kern w:val="0"/>
          <w:sz w:val="30"/>
          <w:szCs w:val="30"/>
          <w:lang w:val="en-US" w:eastAsia="zh-CN"/>
        </w:rPr>
        <w:t>根</w:t>
      </w:r>
      <w:r>
        <w:rPr>
          <w:rFonts w:hint="eastAsia" w:eastAsia="仿宋_GB2312"/>
          <w:kern w:val="0"/>
          <w:sz w:val="30"/>
          <w:szCs w:val="30"/>
        </w:rPr>
        <w:t>据《关于规范松华坝水库水源保护区标识标牌及物理隔离栏维护管理工作的通知》，针对松华坝水库水源保护区内还存在着一级、二级区保护区内标示、标牌、警示标志不完善问题，继续完善松华坝水源区内界标、界桩、宣传牌、警示牌等标示标牌的建设。做好水源区标识标牌及物理隔离栏维护管理工作</w:t>
      </w:r>
      <w:r>
        <w:rPr>
          <w:rFonts w:hint="eastAsia" w:eastAsia="仿宋_GB2312"/>
          <w:kern w:val="0"/>
          <w:sz w:val="30"/>
          <w:szCs w:val="30"/>
          <w:lang w:eastAsia="zh-CN"/>
        </w:rPr>
        <w:t>。</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项目实施成效</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rPr>
        <w:t>松华坝水源保护区管理局通过开展辖区范围内的物理隔离栏、界标、警示牌和界桩的管理、维护工作。能有效减少入库钓鱼人员，防止畜牧入库情况，让公众明确保护区的实际地界，并警示人们需谨慎行为，同时给管理者提供了管理实地界限和移动执法的管理手段；实施界标界桩和物理隔离栏管护工作，能进一步加强水源保护宣传力度，改善水源区群众生活环境，提高资源利用率，实现可持续发展。目前已完成对“千吨万人”饮用水源地的黄龙、闸坝、大石坝水库增设标识标牌工作，其中增设一级、二级保护区标识标牌10块，增设宣传牌2块。开展物理隔离栏维护，已完成破损物理隔离栏更换250米，标识标牌3块</w:t>
      </w:r>
      <w:r>
        <w:rPr>
          <w:rFonts w:hint="eastAsia" w:eastAsia="仿宋_GB2312"/>
          <w:kern w:val="0"/>
          <w:sz w:val="30"/>
          <w:szCs w:val="30"/>
          <w:lang w:eastAsia="zh-CN"/>
        </w:rPr>
        <w:t>。</w:t>
      </w:r>
    </w:p>
    <w:p>
      <w:pPr>
        <w:widowControl/>
        <w:numPr>
          <w:ilvl w:val="0"/>
          <w:numId w:val="1"/>
        </w:numPr>
        <w:ind w:firstLine="600" w:firstLineChars="200"/>
        <w:jc w:val="left"/>
        <w:rPr>
          <w:rFonts w:hint="eastAsia" w:ascii="黑体" w:hAnsi="黑体" w:eastAsia="黑体" w:cs="黑体"/>
          <w:kern w:val="0"/>
          <w:sz w:val="30"/>
          <w:szCs w:val="30"/>
        </w:rPr>
      </w:pPr>
      <w:r>
        <w:rPr>
          <w:rFonts w:hint="eastAsia" w:ascii="黑体" w:hAnsi="黑体" w:eastAsia="黑体" w:cs="黑体"/>
          <w:kern w:val="0"/>
          <w:sz w:val="30"/>
          <w:szCs w:val="30"/>
        </w:rPr>
        <w:t>项目绩效目标表</w:t>
      </w:r>
    </w:p>
    <w:p>
      <w:pPr>
        <w:widowControl/>
        <w:ind w:left="600"/>
        <w:jc w:val="left"/>
        <w:rPr>
          <w:rFonts w:ascii="黑体" w:hAnsi="黑体" w:eastAsia="黑体" w:cs="黑体"/>
          <w:kern w:val="0"/>
          <w:sz w:val="30"/>
          <w:szCs w:val="30"/>
        </w:rPr>
      </w:pPr>
    </w:p>
    <w:p>
      <w:pPr>
        <w:widowControl/>
        <w:ind w:left="600"/>
        <w:jc w:val="left"/>
        <w:rPr>
          <w:rFonts w:ascii="黑体" w:hAnsi="黑体" w:eastAsia="黑体" w:cs="黑体"/>
          <w:kern w:val="0"/>
          <w:sz w:val="30"/>
          <w:szCs w:val="30"/>
        </w:rPr>
      </w:pPr>
    </w:p>
    <w:p>
      <w:pPr>
        <w:widowControl/>
        <w:ind w:left="600"/>
        <w:jc w:val="left"/>
        <w:rPr>
          <w:rFonts w:ascii="黑体" w:hAnsi="黑体" w:eastAsia="黑体" w:cs="黑体"/>
          <w:kern w:val="0"/>
          <w:sz w:val="30"/>
          <w:szCs w:val="30"/>
        </w:rPr>
      </w:pPr>
    </w:p>
    <w:p>
      <w:pPr>
        <w:widowControl/>
        <w:ind w:left="600"/>
        <w:jc w:val="left"/>
        <w:rPr>
          <w:rFonts w:ascii="黑体" w:hAnsi="黑体" w:eastAsia="黑体" w:cs="黑体"/>
          <w:kern w:val="0"/>
          <w:sz w:val="30"/>
          <w:szCs w:val="30"/>
        </w:rPr>
      </w:pPr>
    </w:p>
    <w:p>
      <w:pPr>
        <w:widowControl/>
        <w:jc w:val="center"/>
        <w:rPr>
          <w:rFonts w:ascii="宋体" w:hAnsi="宋体" w:cs="宋体"/>
          <w:color w:val="000000"/>
          <w:kern w:val="0"/>
          <w:sz w:val="22"/>
          <w:szCs w:val="22"/>
        </w:rPr>
        <w:sectPr>
          <w:headerReference r:id="rId3" w:type="default"/>
          <w:headerReference r:id="rId4" w:type="even"/>
          <w:pgSz w:w="11906" w:h="16838"/>
          <w:pgMar w:top="1247" w:right="1797" w:bottom="1247" w:left="1797" w:header="851" w:footer="992" w:gutter="0"/>
          <w:cols w:space="720" w:num="1"/>
          <w:docGrid w:type="lines" w:linePitch="312" w:charSpace="0"/>
        </w:sectPr>
      </w:pPr>
    </w:p>
    <w:tbl>
      <w:tblPr>
        <w:tblStyle w:val="7"/>
        <w:tblW w:w="14175" w:type="dxa"/>
        <w:tblInd w:w="113" w:type="dxa"/>
        <w:tblLayout w:type="autofit"/>
        <w:tblCellMar>
          <w:top w:w="0" w:type="dxa"/>
          <w:left w:w="108" w:type="dxa"/>
          <w:bottom w:w="0" w:type="dxa"/>
          <w:right w:w="108" w:type="dxa"/>
        </w:tblCellMar>
      </w:tblPr>
      <w:tblGrid>
        <w:gridCol w:w="846"/>
        <w:gridCol w:w="1276"/>
        <w:gridCol w:w="708"/>
        <w:gridCol w:w="851"/>
        <w:gridCol w:w="2977"/>
        <w:gridCol w:w="1417"/>
        <w:gridCol w:w="2410"/>
        <w:gridCol w:w="3690"/>
      </w:tblGrid>
      <w:tr>
        <w:tblPrEx>
          <w:tblCellMar>
            <w:top w:w="0" w:type="dxa"/>
            <w:left w:w="108" w:type="dxa"/>
            <w:bottom w:w="0" w:type="dxa"/>
            <w:right w:w="108" w:type="dxa"/>
          </w:tblCellMar>
        </w:tblPrEx>
        <w:trPr>
          <w:trHeight w:val="54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r>
              <w:rPr>
                <w:rFonts w:hint="eastAsia" w:ascii="宋体" w:hAnsi="宋体" w:cs="宋体"/>
                <w:kern w:val="0"/>
                <w:sz w:val="20"/>
                <w:szCs w:val="20"/>
              </w:rPr>
              <w:t>项目名称</w:t>
            </w:r>
          </w:p>
        </w:tc>
        <w:tc>
          <w:tcPr>
            <w:tcW w:w="1276" w:type="dxa"/>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项目目标</w:t>
            </w:r>
          </w:p>
        </w:tc>
        <w:tc>
          <w:tcPr>
            <w:tcW w:w="708" w:type="dxa"/>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一级指标</w:t>
            </w:r>
          </w:p>
        </w:tc>
        <w:tc>
          <w:tcPr>
            <w:tcW w:w="851" w:type="dxa"/>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二级指标</w:t>
            </w:r>
          </w:p>
        </w:tc>
        <w:tc>
          <w:tcPr>
            <w:tcW w:w="2977" w:type="dxa"/>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三级指标</w:t>
            </w:r>
          </w:p>
        </w:tc>
        <w:tc>
          <w:tcPr>
            <w:tcW w:w="1417" w:type="dxa"/>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指标值</w:t>
            </w:r>
          </w:p>
        </w:tc>
        <w:tc>
          <w:tcPr>
            <w:tcW w:w="2410" w:type="dxa"/>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绩效指标值设定依据及数据来源</w:t>
            </w:r>
          </w:p>
        </w:tc>
        <w:tc>
          <w:tcPr>
            <w:tcW w:w="3690" w:type="dxa"/>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说明</w:t>
            </w:r>
          </w:p>
        </w:tc>
      </w:tr>
      <w:tr>
        <w:tblPrEx>
          <w:tblCellMar>
            <w:top w:w="0" w:type="dxa"/>
            <w:left w:w="108" w:type="dxa"/>
            <w:bottom w:w="0" w:type="dxa"/>
            <w:right w:w="108" w:type="dxa"/>
          </w:tblCellMar>
        </w:tblPrEx>
        <w:trPr>
          <w:trHeight w:val="900" w:hRule="atLeast"/>
        </w:trPr>
        <w:tc>
          <w:tcPr>
            <w:tcW w:w="846" w:type="dxa"/>
            <w:vMerge w:val="restart"/>
            <w:tcBorders>
              <w:top w:val="nil"/>
              <w:left w:val="single" w:color="000000" w:sz="4" w:space="0"/>
              <w:bottom w:val="single" w:color="000000" w:sz="4" w:space="0"/>
              <w:right w:val="single" w:color="000000" w:sz="4" w:space="0"/>
            </w:tcBorders>
            <w:shd w:val="clear" w:color="auto" w:fill="auto"/>
            <w:noWrap/>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 xml:space="preserve">    界标界桩和物理隔离栏管护经费</w:t>
            </w:r>
          </w:p>
        </w:tc>
        <w:tc>
          <w:tcPr>
            <w:tcW w:w="1276" w:type="dxa"/>
            <w:vMerge w:val="restart"/>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lang w:eastAsia="zh-CN"/>
              </w:rPr>
            </w:pPr>
            <w:r>
              <w:rPr>
                <w:rFonts w:hint="eastAsia" w:ascii="宋体" w:hAnsi="宋体" w:cs="宋体"/>
                <w:kern w:val="0"/>
                <w:sz w:val="20"/>
                <w:szCs w:val="20"/>
              </w:rPr>
              <w:t xml:space="preserve">  在水源区一、二、三级区内按规范完善界标、界标、宣传牌、警示牌的设置及修理维护，对水源区以前年度设置的不规范界桩、界标进行更换，对已损坏，破损的界桩、界标、警示牌、宣传牌进行日常修理维护，有效减少入库钓鱼人员，防止畜牧入库，改善保护区饮用水水质状况提高管理效率，降低管理成本，促进水源区的生态环境建设，提高水源区群众对生态环境保护的意识</w:t>
            </w:r>
            <w:r>
              <w:rPr>
                <w:rFonts w:hint="eastAsia" w:ascii="宋体" w:hAnsi="宋体" w:cs="宋体"/>
                <w:kern w:val="0"/>
                <w:sz w:val="20"/>
                <w:szCs w:val="20"/>
                <w:lang w:eastAsia="zh-CN"/>
              </w:rPr>
              <w:t>。</w:t>
            </w:r>
          </w:p>
          <w:p>
            <w:pPr>
              <w:widowControl/>
              <w:jc w:val="left"/>
              <w:rPr>
                <w:rFonts w:hint="eastAsia" w:ascii="宋体" w:hAnsi="宋体" w:cs="宋体"/>
                <w:kern w:val="0"/>
                <w:sz w:val="20"/>
                <w:szCs w:val="20"/>
              </w:rPr>
            </w:pPr>
          </w:p>
          <w:p>
            <w:pPr>
              <w:widowControl/>
              <w:jc w:val="left"/>
              <w:rPr>
                <w:rFonts w:hint="eastAsia" w:ascii="宋体" w:hAnsi="宋体" w:cs="宋体"/>
                <w:kern w:val="0"/>
                <w:sz w:val="20"/>
                <w:szCs w:val="20"/>
              </w:rPr>
            </w:pPr>
          </w:p>
          <w:p>
            <w:pPr>
              <w:widowControl/>
              <w:jc w:val="left"/>
              <w:rPr>
                <w:rFonts w:hint="eastAsia" w:ascii="宋体" w:hAnsi="宋体" w:cs="宋体"/>
                <w:kern w:val="0"/>
                <w:sz w:val="20"/>
                <w:szCs w:val="20"/>
              </w:rPr>
            </w:pPr>
          </w:p>
          <w:p>
            <w:pPr>
              <w:widowControl/>
              <w:jc w:val="left"/>
              <w:rPr>
                <w:rFonts w:hint="eastAsia" w:ascii="宋体" w:hAnsi="宋体" w:cs="宋体"/>
                <w:kern w:val="0"/>
                <w:sz w:val="20"/>
                <w:szCs w:val="20"/>
              </w:rPr>
            </w:pPr>
          </w:p>
          <w:p>
            <w:pPr>
              <w:widowControl/>
              <w:jc w:val="left"/>
              <w:rPr>
                <w:rFonts w:hint="eastAsia" w:ascii="宋体" w:hAnsi="宋体" w:cs="宋体"/>
                <w:kern w:val="0"/>
                <w:sz w:val="20"/>
                <w:szCs w:val="20"/>
              </w:rPr>
            </w:pPr>
          </w:p>
          <w:p>
            <w:pPr>
              <w:widowControl/>
              <w:jc w:val="left"/>
              <w:rPr>
                <w:rFonts w:hint="eastAsia" w:ascii="宋体" w:hAnsi="宋体" w:cs="宋体"/>
                <w:kern w:val="0"/>
                <w:sz w:val="20"/>
                <w:szCs w:val="20"/>
              </w:rPr>
            </w:pPr>
          </w:p>
          <w:p>
            <w:pPr>
              <w:widowControl/>
              <w:jc w:val="left"/>
              <w:rPr>
                <w:rFonts w:hint="eastAsia" w:ascii="宋体" w:hAnsi="宋体" w:cs="宋体"/>
                <w:kern w:val="0"/>
                <w:sz w:val="20"/>
                <w:szCs w:val="20"/>
              </w:rPr>
            </w:pPr>
          </w:p>
          <w:p>
            <w:pPr>
              <w:widowControl/>
              <w:jc w:val="left"/>
              <w:rPr>
                <w:rFonts w:hint="eastAsia" w:ascii="宋体" w:hAnsi="宋体" w:cs="宋体"/>
                <w:kern w:val="0"/>
                <w:sz w:val="20"/>
                <w:szCs w:val="20"/>
              </w:rPr>
            </w:pPr>
          </w:p>
          <w:p>
            <w:pPr>
              <w:widowControl/>
              <w:jc w:val="left"/>
              <w:rPr>
                <w:rFonts w:hint="eastAsia" w:ascii="宋体" w:hAnsi="宋体" w:cs="宋体"/>
                <w:kern w:val="0"/>
                <w:sz w:val="20"/>
                <w:szCs w:val="20"/>
              </w:rPr>
            </w:pPr>
          </w:p>
          <w:p>
            <w:pPr>
              <w:widowControl/>
              <w:jc w:val="left"/>
              <w:rPr>
                <w:rFonts w:hint="eastAsia" w:ascii="宋体" w:hAnsi="宋体" w:cs="宋体"/>
                <w:kern w:val="0"/>
                <w:sz w:val="20"/>
                <w:szCs w:val="20"/>
              </w:rPr>
            </w:pPr>
          </w:p>
          <w:p>
            <w:pPr>
              <w:widowControl/>
              <w:jc w:val="left"/>
              <w:rPr>
                <w:rFonts w:hint="eastAsia" w:ascii="宋体" w:hAnsi="宋体" w:cs="宋体"/>
                <w:kern w:val="0"/>
                <w:sz w:val="20"/>
                <w:szCs w:val="20"/>
              </w:rPr>
            </w:pPr>
          </w:p>
          <w:p>
            <w:pPr>
              <w:widowControl/>
              <w:jc w:val="left"/>
              <w:rPr>
                <w:rFonts w:hint="eastAsia" w:ascii="宋体" w:hAnsi="宋体" w:cs="宋体"/>
                <w:kern w:val="0"/>
                <w:sz w:val="20"/>
                <w:szCs w:val="20"/>
              </w:rPr>
            </w:pPr>
          </w:p>
          <w:p>
            <w:pPr>
              <w:widowControl/>
              <w:jc w:val="left"/>
              <w:rPr>
                <w:rFonts w:hint="eastAsia" w:ascii="宋体" w:hAnsi="宋体" w:cs="宋体"/>
                <w:kern w:val="0"/>
                <w:sz w:val="20"/>
                <w:szCs w:val="20"/>
              </w:rPr>
            </w:pPr>
          </w:p>
          <w:p>
            <w:pPr>
              <w:widowControl/>
              <w:jc w:val="left"/>
              <w:rPr>
                <w:rFonts w:hint="eastAsia" w:ascii="宋体" w:hAnsi="宋体" w:cs="宋体"/>
                <w:kern w:val="0"/>
                <w:sz w:val="20"/>
                <w:szCs w:val="20"/>
              </w:rPr>
            </w:pPr>
          </w:p>
          <w:p>
            <w:pPr>
              <w:widowControl/>
              <w:jc w:val="left"/>
              <w:rPr>
                <w:rFonts w:hint="eastAsia" w:ascii="宋体" w:hAnsi="宋体" w:cs="宋体"/>
                <w:color w:val="000000"/>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产出指标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数量指标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 xml:space="preserve">辖区范围内物理隔离栏新建、补建、管理、维护 </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 xml:space="preserve">物理隔离栏30公里 </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 xml:space="preserve">辖区范围内物理隔离栏新建、补建、管理、维护 </w:t>
            </w:r>
          </w:p>
        </w:tc>
      </w:tr>
      <w:tr>
        <w:tblPrEx>
          <w:tblCellMar>
            <w:top w:w="0" w:type="dxa"/>
            <w:left w:w="108" w:type="dxa"/>
            <w:bottom w:w="0" w:type="dxa"/>
            <w:right w:w="108" w:type="dxa"/>
          </w:tblCellMar>
        </w:tblPrEx>
        <w:trPr>
          <w:trHeight w:val="900"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产出指标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数量指标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 xml:space="preserve">辖区范围内物理隔离栏新建、补建、管理、维护 </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界标150块、警示牌30块</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 xml:space="preserve">辖区范围内物理隔离栏新建、补建、管理、维护 </w:t>
            </w:r>
          </w:p>
        </w:tc>
      </w:tr>
      <w:tr>
        <w:tblPrEx>
          <w:tblCellMar>
            <w:top w:w="0" w:type="dxa"/>
            <w:left w:w="108" w:type="dxa"/>
            <w:bottom w:w="0" w:type="dxa"/>
            <w:right w:w="108" w:type="dxa"/>
          </w:tblCellMar>
        </w:tblPrEx>
        <w:trPr>
          <w:trHeight w:val="900"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产出指标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数量指标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 xml:space="preserve">辖区范围内物理隔离栏新建、补建、管理、维护 </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界桩20个</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 xml:space="preserve">辖区范围内物理隔离栏新建、补建、管理、维护 </w:t>
            </w:r>
          </w:p>
        </w:tc>
      </w:tr>
      <w:tr>
        <w:tblPrEx>
          <w:tblCellMar>
            <w:top w:w="0" w:type="dxa"/>
            <w:left w:w="108" w:type="dxa"/>
            <w:bottom w:w="0" w:type="dxa"/>
            <w:right w:w="108" w:type="dxa"/>
          </w:tblCellMar>
        </w:tblPrEx>
        <w:trPr>
          <w:trHeight w:val="1350"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产出指标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质量指标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按《松华坝水源区物理防护隔离设施维护管理办法》相关要求实施</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《松华坝水源区物理防护隔离设施维护管理办法》</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按《松华坝水源区物理防护隔离设施维护管理办法》相关要求实施</w:t>
            </w:r>
          </w:p>
        </w:tc>
      </w:tr>
      <w:tr>
        <w:tblPrEx>
          <w:tblCellMar>
            <w:top w:w="0" w:type="dxa"/>
            <w:left w:w="108" w:type="dxa"/>
            <w:bottom w:w="0" w:type="dxa"/>
            <w:right w:w="108" w:type="dxa"/>
          </w:tblCellMar>
        </w:tblPrEx>
        <w:trPr>
          <w:trHeight w:val="1125"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产出指标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质量指标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 xml:space="preserve">按照上级主管部门的要求完成工作 </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上级主管部门的要求</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 xml:space="preserve">按照上级主管部门的要求完成工作 </w:t>
            </w:r>
          </w:p>
        </w:tc>
      </w:tr>
      <w:tr>
        <w:tblPrEx>
          <w:tblCellMar>
            <w:top w:w="0" w:type="dxa"/>
            <w:left w:w="108" w:type="dxa"/>
            <w:bottom w:w="0" w:type="dxa"/>
            <w:right w:w="108" w:type="dxa"/>
          </w:tblCellMar>
        </w:tblPrEx>
        <w:trPr>
          <w:trHeight w:val="675"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产出指标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时效指标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年终完成整体项目</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2021年12月31日 </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年终完成整体项目</w:t>
            </w:r>
          </w:p>
        </w:tc>
      </w:tr>
      <w:tr>
        <w:tblPrEx>
          <w:tblCellMar>
            <w:top w:w="0" w:type="dxa"/>
            <w:left w:w="108" w:type="dxa"/>
            <w:bottom w:w="0" w:type="dxa"/>
            <w:right w:w="108" w:type="dxa"/>
          </w:tblCellMar>
        </w:tblPrEx>
        <w:trPr>
          <w:trHeight w:val="900"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产出指标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时效指标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按工作计划、工作方案及部门的工作安排按时完成 </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2021年1-12月 </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按工作计划、工作方案及部门的工作安排按时完成 </w:t>
            </w:r>
          </w:p>
        </w:tc>
      </w:tr>
      <w:tr>
        <w:tblPrEx>
          <w:tblCellMar>
            <w:top w:w="0" w:type="dxa"/>
            <w:left w:w="108" w:type="dxa"/>
            <w:bottom w:w="0" w:type="dxa"/>
            <w:right w:w="108" w:type="dxa"/>
          </w:tblCellMar>
        </w:tblPrEx>
        <w:trPr>
          <w:trHeight w:val="1125"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产出指标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成本指标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控制在总预算范围内</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预算总额为20万元</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控制在总预算范围内</w:t>
            </w:r>
          </w:p>
        </w:tc>
      </w:tr>
      <w:tr>
        <w:tblPrEx>
          <w:tblCellMar>
            <w:top w:w="0" w:type="dxa"/>
            <w:left w:w="108" w:type="dxa"/>
            <w:bottom w:w="0" w:type="dxa"/>
            <w:right w:w="108" w:type="dxa"/>
          </w:tblCellMar>
        </w:tblPrEx>
        <w:trPr>
          <w:trHeight w:val="675"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产出指标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成本指标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辖区范围内物理隔离栏新建、补建、管理、维护费用 </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5万元 </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辖区范围内物理隔离栏新建、补建、管理、维护费用 </w:t>
            </w:r>
          </w:p>
        </w:tc>
      </w:tr>
      <w:tr>
        <w:tblPrEx>
          <w:tblCellMar>
            <w:top w:w="0" w:type="dxa"/>
            <w:left w:w="108" w:type="dxa"/>
            <w:bottom w:w="0" w:type="dxa"/>
            <w:right w:w="108" w:type="dxa"/>
          </w:tblCellMar>
        </w:tblPrEx>
        <w:trPr>
          <w:trHeight w:val="900"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产出指标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成本指标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辖区范围内界标、警示牌新建、补建、管理、维护费用 </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10万元 </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辖区范围内界标、警示牌新建、补建、管理、维护费用</w:t>
            </w:r>
          </w:p>
        </w:tc>
      </w:tr>
      <w:tr>
        <w:tblPrEx>
          <w:tblCellMar>
            <w:top w:w="0" w:type="dxa"/>
            <w:left w:w="108" w:type="dxa"/>
            <w:bottom w:w="0" w:type="dxa"/>
            <w:right w:w="108" w:type="dxa"/>
          </w:tblCellMar>
        </w:tblPrEx>
        <w:trPr>
          <w:trHeight w:val="1125"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cs="宋体"/>
                <w:color w:val="000000"/>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color w:val="000000"/>
                <w:kern w:val="0"/>
                <w:sz w:val="20"/>
                <w:szCs w:val="20"/>
              </w:rPr>
            </w:pPr>
            <w:r>
              <w:rPr>
                <w:rFonts w:hint="eastAsia" w:ascii="宋体" w:hAnsi="宋体" w:cs="宋体"/>
                <w:kern w:val="0"/>
                <w:sz w:val="20"/>
                <w:szCs w:val="20"/>
              </w:rPr>
              <w:t>产出指标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成本指标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辖区范围内界桩新建、补建、管理、维护费用 </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5万元 </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辖区范围内界桩新建、补建、管理、维护费用 </w:t>
            </w:r>
          </w:p>
        </w:tc>
      </w:tr>
      <w:tr>
        <w:tblPrEx>
          <w:tblCellMar>
            <w:top w:w="0" w:type="dxa"/>
            <w:left w:w="108" w:type="dxa"/>
            <w:bottom w:w="0" w:type="dxa"/>
            <w:right w:w="108" w:type="dxa"/>
          </w:tblCellMar>
        </w:tblPrEx>
        <w:trPr>
          <w:trHeight w:val="540"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p>
        </w:tc>
        <w:tc>
          <w:tcPr>
            <w:tcW w:w="1276" w:type="dxa"/>
            <w:vMerge w:val="continue"/>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p>
        </w:tc>
        <w:tc>
          <w:tcPr>
            <w:tcW w:w="708" w:type="dxa"/>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效益指标</w:t>
            </w:r>
          </w:p>
        </w:tc>
        <w:tc>
          <w:tcPr>
            <w:tcW w:w="851" w:type="dxa"/>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社会效益指标</w:t>
            </w:r>
          </w:p>
        </w:tc>
        <w:tc>
          <w:tcPr>
            <w:tcW w:w="2977" w:type="dxa"/>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加强界标、界桩、警示牌、宣传牌的日常管理维护工作，有效减少进入水库钓鱼人数、防止畜牧入库，提高水源区居民生态环境保护意识、参与意识 </w:t>
            </w:r>
          </w:p>
        </w:tc>
        <w:tc>
          <w:tcPr>
            <w:tcW w:w="1417" w:type="dxa"/>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有效减少进入水库钓鱼人数、防止畜牧入库 </w:t>
            </w:r>
          </w:p>
        </w:tc>
        <w:tc>
          <w:tcPr>
            <w:tcW w:w="2410" w:type="dxa"/>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single" w:color="000000" w:sz="4" w:space="0"/>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加强界标、界桩、警示牌、宣传牌的日常管理维护工作，有效减少进入水库钓鱼人数、防止畜牧入库，提高水源区居民生态环境保护意识、参与意识 </w:t>
            </w:r>
          </w:p>
        </w:tc>
      </w:tr>
      <w:tr>
        <w:tblPrEx>
          <w:tblCellMar>
            <w:top w:w="0" w:type="dxa"/>
            <w:left w:w="108" w:type="dxa"/>
            <w:bottom w:w="0" w:type="dxa"/>
            <w:right w:w="108" w:type="dxa"/>
          </w:tblCellMar>
        </w:tblPrEx>
        <w:trPr>
          <w:trHeight w:val="900"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ign w:val="center"/>
          </w:tcPr>
          <w:p>
            <w:pPr>
              <w:widowControl/>
              <w:jc w:val="left"/>
              <w:rPr>
                <w:rFonts w:hint="eastAsia" w:ascii="宋体" w:hAnsi="宋体" w:cs="宋体"/>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效益指标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社会效益指标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让公众明确保护区的实际地界，并警示人民需谨慎行为，同时给管理者提供了管理实地界限和移动执法的手段 </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明确保护区的实际地界，警示人民需谨慎行为 </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让公众明确保护区的实际地界，并警示人民需谨慎行为，同时给管理者提供了管理实地界限和移动执法的手段 </w:t>
            </w:r>
          </w:p>
        </w:tc>
      </w:tr>
      <w:tr>
        <w:tblPrEx>
          <w:tblCellMar>
            <w:top w:w="0" w:type="dxa"/>
            <w:left w:w="108" w:type="dxa"/>
            <w:bottom w:w="0" w:type="dxa"/>
            <w:right w:w="108" w:type="dxa"/>
          </w:tblCellMar>
        </w:tblPrEx>
        <w:trPr>
          <w:trHeight w:val="900"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效益指标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生态效益指标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开展水源区生态环境建设工作，改善水源保护区饮用水水质状况 </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改善水源区群众生活环境</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开展水源区生态环境建设工作，改善水源保护区饮用水水质状况 </w:t>
            </w:r>
          </w:p>
        </w:tc>
      </w:tr>
      <w:tr>
        <w:tblPrEx>
          <w:tblCellMar>
            <w:top w:w="0" w:type="dxa"/>
            <w:left w:w="108" w:type="dxa"/>
            <w:bottom w:w="0" w:type="dxa"/>
            <w:right w:w="108" w:type="dxa"/>
          </w:tblCellMar>
        </w:tblPrEx>
        <w:trPr>
          <w:trHeight w:val="900"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效益指标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可持续影响指标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加强界标、界桩、警示牌、宣传牌的日常管理维护工作，提高资源利用率，实现可持续发展</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提高资源利用率</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加强界标、界桩、警示牌、宣传牌的日常管理维护工作，提高资源利用率，实现可持续发展</w:t>
            </w:r>
          </w:p>
        </w:tc>
      </w:tr>
      <w:tr>
        <w:tblPrEx>
          <w:tblCellMar>
            <w:top w:w="0" w:type="dxa"/>
            <w:left w:w="108" w:type="dxa"/>
            <w:bottom w:w="0" w:type="dxa"/>
            <w:right w:w="108" w:type="dxa"/>
          </w:tblCellMar>
        </w:tblPrEx>
        <w:trPr>
          <w:trHeight w:val="1350" w:hRule="atLeast"/>
        </w:trPr>
        <w:tc>
          <w:tcPr>
            <w:tcW w:w="84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p>
        </w:tc>
        <w:tc>
          <w:tcPr>
            <w:tcW w:w="1276" w:type="dxa"/>
            <w:vMerge w:val="continue"/>
            <w:tcBorders>
              <w:top w:val="nil"/>
              <w:left w:val="single" w:color="000000" w:sz="4" w:space="0"/>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p>
        </w:tc>
        <w:tc>
          <w:tcPr>
            <w:tcW w:w="708"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满意度指标</w:t>
            </w:r>
          </w:p>
        </w:tc>
        <w:tc>
          <w:tcPr>
            <w:tcW w:w="851"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服务对象满意度指标</w:t>
            </w:r>
          </w:p>
        </w:tc>
        <w:tc>
          <w:tcPr>
            <w:tcW w:w="297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服务对象满意度达到80%以上 </w:t>
            </w:r>
          </w:p>
        </w:tc>
        <w:tc>
          <w:tcPr>
            <w:tcW w:w="1417"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80</w:t>
            </w:r>
          </w:p>
        </w:tc>
        <w:tc>
          <w:tcPr>
            <w:tcW w:w="241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rPr>
              <w:t>按</w:t>
            </w:r>
            <w:r>
              <w:rPr>
                <w:rFonts w:hint="eastAsia" w:ascii="宋体" w:hAnsi="宋体" w:cs="宋体"/>
                <w:kern w:val="0"/>
                <w:sz w:val="20"/>
                <w:szCs w:val="20"/>
                <w:lang w:val="en-US" w:eastAsia="zh-CN"/>
              </w:rPr>
              <w:t>2020</w:t>
            </w:r>
            <w:r>
              <w:rPr>
                <w:rFonts w:hint="eastAsia" w:ascii="宋体" w:hAnsi="宋体" w:cs="宋体"/>
                <w:kern w:val="0"/>
                <w:sz w:val="20"/>
                <w:szCs w:val="20"/>
              </w:rPr>
              <w:t>年工作总结和202</w:t>
            </w:r>
            <w:r>
              <w:rPr>
                <w:rFonts w:hint="eastAsia" w:ascii="宋体" w:hAnsi="宋体" w:cs="宋体"/>
                <w:kern w:val="0"/>
                <w:sz w:val="20"/>
                <w:szCs w:val="20"/>
                <w:lang w:val="en-US" w:eastAsia="zh-CN"/>
              </w:rPr>
              <w:t>1</w:t>
            </w:r>
            <w:r>
              <w:rPr>
                <w:rFonts w:hint="eastAsia" w:ascii="宋体" w:hAnsi="宋体" w:cs="宋体"/>
                <w:kern w:val="0"/>
                <w:sz w:val="20"/>
                <w:szCs w:val="20"/>
              </w:rPr>
              <w:t>年工作计划填报</w:t>
            </w:r>
          </w:p>
        </w:tc>
        <w:tc>
          <w:tcPr>
            <w:tcW w:w="3690" w:type="dxa"/>
            <w:tcBorders>
              <w:top w:val="nil"/>
              <w:left w:val="nil"/>
              <w:bottom w:val="single" w:color="000000" w:sz="4" w:space="0"/>
              <w:right w:val="single" w:color="000000" w:sz="4" w:space="0"/>
            </w:tcBorders>
            <w:shd w:val="clear" w:color="auto" w:fill="auto"/>
            <w:noWrap w:val="0"/>
            <w:vAlign w:val="center"/>
          </w:tcPr>
          <w:p>
            <w:pPr>
              <w:widowControl/>
              <w:jc w:val="left"/>
              <w:rPr>
                <w:rFonts w:hint="eastAsia" w:ascii="宋体" w:hAnsi="宋体" w:cs="宋体"/>
                <w:kern w:val="0"/>
                <w:sz w:val="20"/>
                <w:szCs w:val="20"/>
              </w:rPr>
            </w:pPr>
            <w:r>
              <w:rPr>
                <w:rFonts w:hint="eastAsia" w:ascii="宋体" w:hAnsi="宋体" w:cs="宋体"/>
                <w:kern w:val="0"/>
                <w:sz w:val="20"/>
                <w:szCs w:val="20"/>
                <w:lang w:val="en-US" w:eastAsia="zh-CN"/>
              </w:rPr>
              <w:t xml:space="preserve">服务对象满意度达到80%以上 </w:t>
            </w:r>
          </w:p>
        </w:tc>
      </w:tr>
    </w:tbl>
    <w:p>
      <w:pPr>
        <w:widowControl/>
        <w:jc w:val="left"/>
        <w:rPr>
          <w:rFonts w:hint="eastAsia" w:eastAsia="仿宋_GB2312"/>
          <w:kern w:val="0"/>
          <w:sz w:val="30"/>
          <w:szCs w:val="30"/>
        </w:rPr>
        <w:sectPr>
          <w:pgSz w:w="16838" w:h="11906" w:orient="landscape"/>
          <w:pgMar w:top="1797" w:right="1247" w:bottom="1797" w:left="1247" w:header="851" w:footer="992" w:gutter="0"/>
          <w:cols w:space="720" w:num="1"/>
          <w:docGrid w:type="linesAndChars" w:linePitch="312" w:charSpace="0"/>
        </w:sectPr>
      </w:pPr>
    </w:p>
    <w:p>
      <w:pPr>
        <w:widowControl/>
        <w:jc w:val="left"/>
        <w:rPr>
          <w:rFonts w:hint="eastAsia" w:ascii="黑体" w:hAnsi="黑体" w:eastAsia="黑体" w:cs="黑体"/>
          <w:kern w:val="0"/>
          <w:sz w:val="30"/>
          <w:szCs w:val="30"/>
        </w:rPr>
      </w:pPr>
    </w:p>
    <w:sectPr>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0CB686"/>
    <w:multiLevelType w:val="singleLevel"/>
    <w:tmpl w:val="650CB68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1FA4"/>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02FB"/>
    <w:rsid w:val="001418E2"/>
    <w:rsid w:val="0014446D"/>
    <w:rsid w:val="001446A5"/>
    <w:rsid w:val="0014486B"/>
    <w:rsid w:val="00144CF1"/>
    <w:rsid w:val="0014558B"/>
    <w:rsid w:val="00146960"/>
    <w:rsid w:val="00155639"/>
    <w:rsid w:val="00155D5E"/>
    <w:rsid w:val="00157BA7"/>
    <w:rsid w:val="00163356"/>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185"/>
    <w:rsid w:val="004472BF"/>
    <w:rsid w:val="00447C85"/>
    <w:rsid w:val="004544A9"/>
    <w:rsid w:val="00455E38"/>
    <w:rsid w:val="00456CDD"/>
    <w:rsid w:val="004605B3"/>
    <w:rsid w:val="00467CD2"/>
    <w:rsid w:val="004718A9"/>
    <w:rsid w:val="00476EC1"/>
    <w:rsid w:val="00480582"/>
    <w:rsid w:val="0048694C"/>
    <w:rsid w:val="00490B71"/>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A7894"/>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02C"/>
    <w:rsid w:val="00C14D2D"/>
    <w:rsid w:val="00C15327"/>
    <w:rsid w:val="00C205DD"/>
    <w:rsid w:val="00C242B2"/>
    <w:rsid w:val="00C25F74"/>
    <w:rsid w:val="00C31FE6"/>
    <w:rsid w:val="00C35546"/>
    <w:rsid w:val="00C4092D"/>
    <w:rsid w:val="00C4278B"/>
    <w:rsid w:val="00C4380C"/>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77730"/>
    <w:rsid w:val="00D83A9A"/>
    <w:rsid w:val="00D841C1"/>
    <w:rsid w:val="00D93010"/>
    <w:rsid w:val="00D946E9"/>
    <w:rsid w:val="00D9604F"/>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01C"/>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24E"/>
    <w:rsid w:val="00F0598E"/>
    <w:rsid w:val="00F11D4E"/>
    <w:rsid w:val="00F12CC8"/>
    <w:rsid w:val="00F20765"/>
    <w:rsid w:val="00F20D44"/>
    <w:rsid w:val="00F22314"/>
    <w:rsid w:val="00F238CE"/>
    <w:rsid w:val="00F24EE1"/>
    <w:rsid w:val="00F265A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1E3C"/>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3F0214E"/>
    <w:rsid w:val="04314F30"/>
    <w:rsid w:val="046F214C"/>
    <w:rsid w:val="06325B44"/>
    <w:rsid w:val="0A5A5DC4"/>
    <w:rsid w:val="0AB77A2F"/>
    <w:rsid w:val="0BFD28E4"/>
    <w:rsid w:val="0D0E0F2A"/>
    <w:rsid w:val="0E4B7E8C"/>
    <w:rsid w:val="0F635DF8"/>
    <w:rsid w:val="10881DF6"/>
    <w:rsid w:val="111D3473"/>
    <w:rsid w:val="13B61995"/>
    <w:rsid w:val="141E7899"/>
    <w:rsid w:val="153C0007"/>
    <w:rsid w:val="16120B81"/>
    <w:rsid w:val="165D6CAE"/>
    <w:rsid w:val="17E531F7"/>
    <w:rsid w:val="19F55BCD"/>
    <w:rsid w:val="1A0B3DDD"/>
    <w:rsid w:val="1A1B6230"/>
    <w:rsid w:val="1A751B4A"/>
    <w:rsid w:val="1B7457C9"/>
    <w:rsid w:val="1BD73E6F"/>
    <w:rsid w:val="1F8F6F61"/>
    <w:rsid w:val="203F2354"/>
    <w:rsid w:val="217C52A6"/>
    <w:rsid w:val="23E916C4"/>
    <w:rsid w:val="24192B24"/>
    <w:rsid w:val="249262B8"/>
    <w:rsid w:val="27C44B4F"/>
    <w:rsid w:val="29684A53"/>
    <w:rsid w:val="2A2D00A9"/>
    <w:rsid w:val="2D7258C6"/>
    <w:rsid w:val="2E343CBB"/>
    <w:rsid w:val="2E574E83"/>
    <w:rsid w:val="2E7A1926"/>
    <w:rsid w:val="3227360A"/>
    <w:rsid w:val="357910E0"/>
    <w:rsid w:val="38226957"/>
    <w:rsid w:val="38B94E67"/>
    <w:rsid w:val="39466C4F"/>
    <w:rsid w:val="396A13EA"/>
    <w:rsid w:val="39DD2E67"/>
    <w:rsid w:val="3A8A588E"/>
    <w:rsid w:val="3B026B0F"/>
    <w:rsid w:val="3C1464F1"/>
    <w:rsid w:val="3DCC2998"/>
    <w:rsid w:val="3F5538EE"/>
    <w:rsid w:val="40CA6324"/>
    <w:rsid w:val="41134E62"/>
    <w:rsid w:val="45F568DE"/>
    <w:rsid w:val="4769522D"/>
    <w:rsid w:val="488A54A4"/>
    <w:rsid w:val="4A8A424F"/>
    <w:rsid w:val="4C0F58F4"/>
    <w:rsid w:val="508B3BDB"/>
    <w:rsid w:val="51486F2A"/>
    <w:rsid w:val="52F4603B"/>
    <w:rsid w:val="56F77E4E"/>
    <w:rsid w:val="5A5F2402"/>
    <w:rsid w:val="5B6F544B"/>
    <w:rsid w:val="5E8D610B"/>
    <w:rsid w:val="611236F1"/>
    <w:rsid w:val="646605FE"/>
    <w:rsid w:val="67137888"/>
    <w:rsid w:val="676E094C"/>
    <w:rsid w:val="67A644C4"/>
    <w:rsid w:val="69614B69"/>
    <w:rsid w:val="69B304BD"/>
    <w:rsid w:val="6A070C95"/>
    <w:rsid w:val="6CE00556"/>
    <w:rsid w:val="6CE34371"/>
    <w:rsid w:val="7005690A"/>
    <w:rsid w:val="706044C2"/>
    <w:rsid w:val="707217B7"/>
    <w:rsid w:val="70F826C0"/>
    <w:rsid w:val="72063E6D"/>
    <w:rsid w:val="72293730"/>
    <w:rsid w:val="724A4A01"/>
    <w:rsid w:val="73116912"/>
    <w:rsid w:val="73954482"/>
    <w:rsid w:val="785B03CB"/>
    <w:rsid w:val="7D4F20E1"/>
    <w:rsid w:val="7D99752A"/>
    <w:rsid w:val="7F024C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semiHidden/>
    <w:qFormat/>
    <w:uiPriority w:val="0"/>
    <w:rPr>
      <w:b/>
      <w:bCs/>
    </w:rPr>
  </w:style>
  <w:style w:type="character" w:styleId="9">
    <w:name w:val="annotation reference"/>
    <w:semiHidden/>
    <w:qFormat/>
    <w:uiPriority w:val="0"/>
    <w:rPr>
      <w:sz w:val="21"/>
      <w:szCs w:val="21"/>
    </w:rPr>
  </w:style>
  <w:style w:type="paragraph" w:customStyle="1" w:styleId="10">
    <w:name w:val="Revisio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zhlx</Company>
  <Pages>6</Pages>
  <Words>371</Words>
  <Characters>2116</Characters>
  <Lines>17</Lines>
  <Paragraphs>4</Paragraphs>
  <TotalTime>2</TotalTime>
  <ScaleCrop>false</ScaleCrop>
  <LinksUpToDate>false</LinksUpToDate>
  <CharactersWithSpaces>2483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2012-01-07T11:13:00Z</dcterms:created>
  <dc:creator>lx</dc:creator>
  <dc:description>ZHGenApp().GetProperty("Certification")</dc:description>
  <cp:lastModifiedBy>三哥</cp:lastModifiedBy>
  <cp:lastPrinted>2020-07-15T07:01:00Z</cp:lastPrinted>
  <dcterms:modified xsi:type="dcterms:W3CDTF">2021-02-20T03:00:48Z</dcterms:modified>
  <dc:title>年部门预算编制说明</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