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hint="eastAsia" w:ascii="仿宋_GB2312" w:hAnsi="仿宋_GB2312" w:eastAsia="仿宋_GB2312" w:cs="仿宋_GB2312"/>
          <w:b/>
          <w:bCs/>
          <w:color w:val="auto"/>
          <w:kern w:val="0"/>
          <w:sz w:val="36"/>
          <w:szCs w:val="36"/>
          <w:shd w:val="clear" w:fill="FFFFFF"/>
          <w:lang w:val="en-US" w:eastAsia="zh-CN" w:bidi="ar"/>
        </w:rPr>
      </w:pPr>
      <w:r>
        <w:rPr>
          <w:rFonts w:hint="eastAsia" w:ascii="仿宋_GB2312" w:hAnsi="仿宋_GB2312" w:eastAsia="仿宋_GB2312" w:cs="仿宋_GB2312"/>
          <w:b/>
          <w:bCs/>
          <w:color w:val="auto"/>
          <w:kern w:val="0"/>
          <w:sz w:val="36"/>
          <w:szCs w:val="36"/>
          <w:shd w:val="clear" w:fill="FFFFFF"/>
          <w:lang w:val="en-US" w:eastAsia="zh-CN" w:bidi="ar"/>
        </w:rPr>
        <w:t>昆明市盘龙区卫生健康局</w:t>
      </w:r>
    </w:p>
    <w:p>
      <w:pPr>
        <w:widowControl/>
        <w:jc w:val="center"/>
        <w:rPr>
          <w:rFonts w:ascii="方正小标宋简体" w:eastAsia="方正小标宋简体"/>
          <w:color w:val="auto"/>
          <w:kern w:val="0"/>
          <w:sz w:val="36"/>
          <w:szCs w:val="36"/>
        </w:rPr>
      </w:pPr>
      <w:r>
        <w:rPr>
          <w:rFonts w:hint="eastAsia" w:ascii="方正小标宋简体" w:eastAsia="方正小标宋简体"/>
          <w:color w:val="auto"/>
          <w:kern w:val="0"/>
          <w:sz w:val="36"/>
          <w:szCs w:val="36"/>
        </w:rPr>
        <w:t>2021年部门预算编制说明</w:t>
      </w:r>
    </w:p>
    <w:p>
      <w:pPr>
        <w:widowControl/>
        <w:jc w:val="left"/>
        <w:rPr>
          <w:rFonts w:ascii="黑体" w:hAnsi="黑体" w:eastAsia="黑体"/>
          <w:color w:val="auto"/>
          <w:kern w:val="0"/>
          <w:sz w:val="30"/>
          <w:szCs w:val="30"/>
        </w:rPr>
      </w:pPr>
    </w:p>
    <w:p>
      <w:pPr>
        <w:keepNext w:val="0"/>
        <w:keepLines w:val="0"/>
        <w:pageBreakBefore w:val="0"/>
        <w:widowControl/>
        <w:kinsoku/>
        <w:wordWrap/>
        <w:overflowPunct/>
        <w:topLinePunct w:val="0"/>
        <w:autoSpaceDE/>
        <w:autoSpaceDN/>
        <w:bidi w:val="0"/>
        <w:adjustRightInd/>
        <w:snapToGrid/>
        <w:ind w:firstLine="600" w:firstLineChars="200"/>
        <w:jc w:val="left"/>
        <w:textAlignment w:val="auto"/>
        <w:rPr>
          <w:rFonts w:ascii="黑体" w:hAnsi="黑体" w:eastAsia="黑体"/>
          <w:color w:val="auto"/>
          <w:kern w:val="0"/>
          <w:sz w:val="30"/>
          <w:szCs w:val="30"/>
        </w:rPr>
      </w:pPr>
      <w:r>
        <w:rPr>
          <w:rFonts w:ascii="黑体" w:hAnsi="黑体" w:eastAsia="黑体"/>
          <w:color w:val="auto"/>
          <w:kern w:val="0"/>
          <w:sz w:val="30"/>
          <w:szCs w:val="30"/>
        </w:rPr>
        <w:t>一、基本职能及主要工作</w:t>
      </w:r>
    </w:p>
    <w:p>
      <w:pPr>
        <w:keepNext w:val="0"/>
        <w:keepLines w:val="0"/>
        <w:pageBreakBefore w:val="0"/>
        <w:widowControl/>
        <w:kinsoku/>
        <w:wordWrap/>
        <w:overflowPunct/>
        <w:topLinePunct w:val="0"/>
        <w:autoSpaceDE/>
        <w:autoSpaceDN/>
        <w:bidi w:val="0"/>
        <w:adjustRightInd/>
        <w:snapToGrid/>
        <w:ind w:firstLine="600" w:firstLineChars="200"/>
        <w:jc w:val="left"/>
        <w:textAlignment w:val="auto"/>
        <w:rPr>
          <w:rFonts w:ascii="楷体_GB2312" w:eastAsia="楷体_GB2312"/>
          <w:b/>
          <w:color w:val="auto"/>
          <w:kern w:val="0"/>
          <w:sz w:val="30"/>
          <w:szCs w:val="30"/>
        </w:rPr>
      </w:pPr>
      <w:r>
        <w:rPr>
          <w:rFonts w:hint="eastAsia" w:ascii="楷体_GB2312" w:eastAsia="楷体_GB2312"/>
          <w:color w:val="auto"/>
          <w:kern w:val="0"/>
          <w:sz w:val="30"/>
          <w:szCs w:val="30"/>
        </w:rPr>
        <w:t>（一）部门主要职责</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贯彻执行国家、省、市有关卫生健康事业发展的法律法规和方针政策；组织拟订全区卫生健康规划计划和地方标准并组织实施；贯彻执行国家和省、市制定的相关标准和技术规范；统筹规划全区卫生健康资源配置，负责拟订全区卫生健康规划并组织实施。加强卫生健康人才队伍建设。贯彻落实卫生健康基本公共服务均等化、普惠化、便捷化和公共资源向基层延伸等政策措施。</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2、协调推进全区医药卫生体制改革，负责推进公立医院综合改革，推进管办分离，鼓励和引导社会资本举办医疗机构，促进非公立医疗机构健康规范发展。建设和谐医患关系，维护良好医疗秩序。建立以公益性为导向的绩效考核和评价运行机制，提出医疗服务和药品价格政策的建议。</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3、组织落实全区疾病预防控制规划、免疫规划、严重危害人民健康的公共卫生问题的干预措施并实施，组织和协调有关部门对重大疾病实施防控和干预，制定全区卫生应急和紧急医学救援预案、突发公共卫生事件监测和风险评估计划；组织和指导全区突发公共卫生事件预防控制和各类突发公共事件的医疗卫生救援，及时报告法定传染病疫情信息。组织开展食品安全风险监测评估，提出有关评估结论。</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4、负责落实应对人口老龄化政策措施，负责推进老年健康服务体系建设和医养结合工作。</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5、组织实施国家药物政策，执行国家基本药物制度和国家基本药物目录，落实国家基本药物采购、配送、使用的管理制度以及省、市有关政策措施；负责全区行政区域内区级审批医疗机构麻醉药品和第一类精神药品监督管理工作。</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6、负责落实职责范围内的职业卫生、医疗卫生、计划生育技术服务、放射卫生、环境卫生、学校卫生、公共场所卫生、饮用水卫生等公共卫生的监督管理，组织开展相关检测、调查、评估和监督，负责传染病防治监督；落实卫生健康综合监督体系建设和《烟草控制框架公约》履约工作。</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7、负责全区医疗机构和医疗服务行业监督管理，建立医疗机构医疗服务评价和监督管理体系。贯彻执行医疗机构及其医疗服务、医疗技术、医疗质量、医疗安全以及采供血机构管理的规范、标准；实施卫生健康专业技术人员执业规则和服务规范。</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8、贯彻落实国家计划生育政策，负责落实计划生育管理和服务工作，开展人口监测预警；负责落实人口与家庭发展的相关政策。</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9、贯彻落实基层卫生健康服务、妇幼健康发展相关规定，做好计划生育、妇幼健康服务体系建设，推进基本公共卫生健康服务均等化，完善基层运行新机制、乡村医生管理制度和全科医生队伍建设。</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10、负责全区重大活动、会议等所需医疗保障、公共场所和生活饮用水卫生保障工作。承担区卫生应急办公室职能，拟订卫生应急和紧急医疗救援制度、预案和规范措施。</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11、拟订并组织实施干部保健工作政策与规划；承担区干部保健委员会的日常工作。</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12、组织拟订全区卫生健康人才发展规划，指导系统内人才队伍建设。</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13、组织拟订全区卫生健康科技发展规划，组织相关科研项目；组织实施毕业后医学教育和继续医学教育；承担医药卫生实验室生物安全监督管理工作；开展全区卫生健康对外合作交流。</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14、完善卫生健康综合监督执法体系，加强综合监督执法机构和队伍建设，规范执法程序和执法行为，监督检查法律法规和政策措施的落实，整顿和规范医疗服务秩序，打击非法行医，查处违法行为，承担全区卫生健康系统信用体系建设工作。</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15、负责卫生健康宣传、健康教育、健康促进和信息化建设等工作，依法组织实施统计调查。参与全区人口基础信息库建设。</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16、负责管理区级卫生健康局直属单位。承担区爱国卫生运动委员会办公室、区中医药管理局、区防治艾滋病局的日常工作。</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17、贯彻落实国家中医药法律法规、规章政策，拟订全区中医药中长期发展规划和政策并组织实施，继承和发展中医药文化，促进中药资源保护、研究开发和合理利用。</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18、负责艾滋病的防治工作，负责艾滋病防治工作的宣传教育、需求评估、预算编制、项目安排、督促指导、评估考核等相关工作。</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19、昆明市盘龙区卫生健康局负责本行业领域的安全生产监管工作。</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20、指导盘龙区计划生育协会的业务工作。</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21、完成区委、区政府和上级部门交办的其他任务。</w:t>
      </w:r>
    </w:p>
    <w:p>
      <w:pPr>
        <w:keepNext w:val="0"/>
        <w:keepLines w:val="0"/>
        <w:pageBreakBefore w:val="0"/>
        <w:numPr>
          <w:ilvl w:val="0"/>
          <w:numId w:val="0"/>
        </w:numPr>
        <w:kinsoku/>
        <w:wordWrap/>
        <w:overflowPunct/>
        <w:topLinePunct w:val="0"/>
        <w:autoSpaceDE/>
        <w:autoSpaceDN/>
        <w:bidi w:val="0"/>
        <w:adjustRightInd/>
        <w:snapToGrid/>
        <w:ind w:firstLine="600" w:firstLineChars="200"/>
        <w:textAlignment w:val="auto"/>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21、完成区委、区政府和上级机关交办的工作。</w:t>
      </w:r>
    </w:p>
    <w:p>
      <w:pPr>
        <w:keepNext w:val="0"/>
        <w:keepLines w:val="0"/>
        <w:pageBreakBefore w:val="0"/>
        <w:widowControl/>
        <w:kinsoku/>
        <w:wordWrap/>
        <w:overflowPunct/>
        <w:topLinePunct w:val="0"/>
        <w:autoSpaceDE/>
        <w:autoSpaceDN/>
        <w:bidi w:val="0"/>
        <w:adjustRightInd/>
        <w:snapToGrid/>
        <w:ind w:firstLine="600" w:firstLineChars="200"/>
        <w:jc w:val="left"/>
        <w:textAlignment w:val="auto"/>
        <w:rPr>
          <w:rFonts w:ascii="楷体_GB2312" w:eastAsia="楷体_GB2312"/>
          <w:color w:val="auto"/>
          <w:kern w:val="0"/>
          <w:sz w:val="30"/>
          <w:szCs w:val="30"/>
        </w:rPr>
      </w:pPr>
      <w:r>
        <w:rPr>
          <w:rFonts w:hint="eastAsia" w:ascii="楷体_GB2312" w:eastAsia="楷体_GB2312"/>
          <w:color w:val="auto"/>
          <w:kern w:val="0"/>
          <w:sz w:val="30"/>
          <w:szCs w:val="30"/>
        </w:rPr>
        <w:t>（二）机构设置情况</w:t>
      </w:r>
    </w:p>
    <w:p>
      <w:pPr>
        <w:numPr>
          <w:ilvl w:val="0"/>
          <w:numId w:val="0"/>
        </w:numPr>
        <w:ind w:firstLine="300" w:firstLineChars="100"/>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盘龙区卫生健康局，为昆明市盘龙区人民政府工作部门，正科级，机关行政编制22名，11个内设机构，具体是：党委办公室、行政办公室、规划发展和信息化科（加挂健康产业办牌子）、财务科、人事科教科、法规和综合科、公共卫生管理科（加挂卫生应急办公室、防治艾滋病办公室牌子）、医政科（加挂中医药管理科）、基层卫生健康科（加挂区老龄委办公室牌子）、妇幼家庭发展科、盘龙区爱国卫生运动委员会办公室。</w:t>
      </w:r>
    </w:p>
    <w:p>
      <w:pPr>
        <w:widowControl/>
        <w:ind w:firstLine="300" w:firstLineChars="100"/>
        <w:jc w:val="left"/>
        <w:rPr>
          <w:rFonts w:ascii="楷体_GB2312" w:eastAsia="楷体_GB2312"/>
          <w:color w:val="auto"/>
          <w:kern w:val="0"/>
          <w:sz w:val="30"/>
          <w:szCs w:val="30"/>
        </w:rPr>
      </w:pPr>
      <w:r>
        <w:rPr>
          <w:rFonts w:ascii="楷体_GB2312" w:eastAsia="楷体_GB2312"/>
          <w:color w:val="auto"/>
          <w:kern w:val="0"/>
          <w:sz w:val="30"/>
          <w:szCs w:val="30"/>
        </w:rPr>
        <w:t>（</w:t>
      </w:r>
      <w:r>
        <w:rPr>
          <w:rFonts w:hint="eastAsia" w:ascii="楷体_GB2312" w:eastAsia="楷体_GB2312"/>
          <w:color w:val="auto"/>
          <w:kern w:val="0"/>
          <w:sz w:val="30"/>
          <w:szCs w:val="30"/>
        </w:rPr>
        <w:t>三</w:t>
      </w:r>
      <w:r>
        <w:rPr>
          <w:rFonts w:ascii="楷体_GB2312" w:eastAsia="楷体_GB2312"/>
          <w:color w:val="auto"/>
          <w:kern w:val="0"/>
          <w:sz w:val="30"/>
          <w:szCs w:val="30"/>
        </w:rPr>
        <w:t>）重点工作概述</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lang w:val="en-US" w:eastAsia="zh-CN"/>
        </w:rPr>
        <w:t>1、</w:t>
      </w:r>
      <w:r>
        <w:rPr>
          <w:rFonts w:hint="eastAsia" w:ascii="楷体_GB2312" w:hAnsi="楷体_GB2312" w:eastAsia="楷体_GB2312" w:cs="楷体_GB2312"/>
          <w:color w:val="auto"/>
          <w:sz w:val="32"/>
          <w:szCs w:val="32"/>
          <w:lang w:eastAsia="zh-CN"/>
        </w:rPr>
        <w:t>持续</w:t>
      </w:r>
      <w:r>
        <w:rPr>
          <w:rFonts w:hint="eastAsia" w:ascii="楷体_GB2312" w:hAnsi="楷体_GB2312" w:eastAsia="楷体_GB2312" w:cs="楷体_GB2312"/>
          <w:color w:val="auto"/>
          <w:sz w:val="32"/>
          <w:szCs w:val="32"/>
        </w:rPr>
        <w:t>提升服务能力。</w:t>
      </w:r>
      <w:r>
        <w:rPr>
          <w:rFonts w:hint="eastAsia" w:ascii="仿宋_GB2312" w:hAnsi="仿宋_GB2312" w:eastAsia="仿宋_GB2312" w:cs="仿宋_GB2312"/>
          <w:color w:val="auto"/>
          <w:sz w:val="32"/>
          <w:szCs w:val="32"/>
        </w:rPr>
        <w:t>进一步均衡医疗机构布局，完善服务设施和服务功能，提高服务水平；在新增医疗资源发展上优先考虑社会办医，调整优化多元办医格局。推进分级诊疗体系建设，明确各级医疗机构的服务定位，以医疗质量和医疗安全为核心，构建城市以综合医院、专科医院和社区卫生服务中心为主体，四个水源区以区级医院、乡镇卫生院和村卫生室为主体的分级医疗服务体系。积极推进医联体建设，增加基层医疗机构签署双向转诊协议的数量,形成“首诊在社区、大病到医院”的医疗服务模式，满足群众就医需求。</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lang w:val="en-US" w:eastAsia="zh-CN"/>
        </w:rPr>
        <w:t>2、</w:t>
      </w:r>
      <w:r>
        <w:rPr>
          <w:rFonts w:hint="eastAsia" w:ascii="楷体_GB2312" w:hAnsi="楷体_GB2312" w:eastAsia="楷体_GB2312" w:cs="楷体_GB2312"/>
          <w:color w:val="auto"/>
          <w:sz w:val="32"/>
          <w:szCs w:val="32"/>
          <w:lang w:eastAsia="zh-CN"/>
        </w:rPr>
        <w:t>持续</w:t>
      </w:r>
      <w:r>
        <w:rPr>
          <w:rFonts w:hint="eastAsia" w:ascii="楷体_GB2312" w:hAnsi="楷体_GB2312" w:eastAsia="楷体_GB2312" w:cs="楷体_GB2312"/>
          <w:color w:val="auto"/>
          <w:sz w:val="32"/>
          <w:szCs w:val="32"/>
        </w:rPr>
        <w:t>规范诊疗行为。</w:t>
      </w:r>
      <w:r>
        <w:rPr>
          <w:rFonts w:hint="eastAsia" w:ascii="仿宋_GB2312" w:hAnsi="仿宋_GB2312" w:eastAsia="仿宋_GB2312" w:cs="仿宋_GB2312"/>
          <w:color w:val="auto"/>
          <w:sz w:val="32"/>
          <w:szCs w:val="32"/>
        </w:rPr>
        <w:t>进一步规范临床路径管理、处方点评、药品耗材使用、规范门急诊等方面诊疗行为，杜绝小病大医、门诊转住院等行为，继续执行好</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先诊疗、后付费</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一站式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即时结报等措施。</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lang w:val="en-US" w:eastAsia="zh-CN"/>
        </w:rPr>
        <w:t>3、</w:t>
      </w:r>
      <w:r>
        <w:rPr>
          <w:rFonts w:hint="eastAsia" w:ascii="楷体_GB2312" w:hAnsi="楷体_GB2312" w:eastAsia="楷体_GB2312" w:cs="楷体_GB2312"/>
          <w:color w:val="auto"/>
          <w:sz w:val="32"/>
          <w:szCs w:val="32"/>
        </w:rPr>
        <w:t>持续</w:t>
      </w:r>
      <w:r>
        <w:rPr>
          <w:rFonts w:hint="eastAsia" w:ascii="楷体_GB2312" w:hAnsi="楷体_GB2312" w:eastAsia="楷体_GB2312" w:cs="楷体_GB2312"/>
          <w:color w:val="auto"/>
          <w:sz w:val="32"/>
          <w:szCs w:val="32"/>
          <w:lang w:eastAsia="zh-CN"/>
        </w:rPr>
        <w:t>开展健康扶贫</w:t>
      </w:r>
      <w:r>
        <w:rPr>
          <w:rFonts w:hint="eastAsia" w:ascii="楷体_GB2312" w:hAnsi="楷体_GB2312" w:eastAsia="楷体_GB2312" w:cs="楷体_GB2312"/>
          <w:color w:val="auto"/>
          <w:sz w:val="32"/>
          <w:szCs w:val="32"/>
        </w:rPr>
        <w:t>。</w:t>
      </w:r>
      <w:r>
        <w:rPr>
          <w:rFonts w:hint="eastAsia" w:ascii="仿宋_GB2312" w:hAnsi="仿宋_GB2312" w:eastAsia="仿宋_GB2312" w:cs="仿宋_GB2312"/>
          <w:color w:val="auto"/>
          <w:sz w:val="32"/>
          <w:szCs w:val="32"/>
        </w:rPr>
        <w:t>继续精准开展“健康大篷车”巡回医疗活动，继续“加挂”计生宣传活动、城乡医疗对口支援、万名医师下乡等“车厢”</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有针对性地安排各学科专家进行精准巡回诊疗，切实解决群众最关心、最迫切的问题。推进城乡一体化医联体建设，增加基层医疗机构，特别是水源区双龙、松华、滇源、阿子营卫生院与上级医疗机构签署双向转诊协议的数量，提高我区水源保护区医疗服务体系整体效益和医疗资源利用效率。</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lang w:val="en-US" w:eastAsia="zh-CN"/>
        </w:rPr>
        <w:t>4、</w:t>
      </w:r>
      <w:r>
        <w:rPr>
          <w:rFonts w:hint="eastAsia" w:ascii="楷体_GB2312" w:hAnsi="楷体_GB2312" w:eastAsia="楷体_GB2312" w:cs="楷体_GB2312"/>
          <w:color w:val="auto"/>
          <w:sz w:val="32"/>
          <w:szCs w:val="32"/>
        </w:rPr>
        <w:t>持续抓实签约服务。</w:t>
      </w:r>
      <w:r>
        <w:rPr>
          <w:rFonts w:hint="eastAsia" w:ascii="仿宋_GB2312" w:hAnsi="仿宋_GB2312" w:eastAsia="仿宋_GB2312" w:cs="仿宋_GB2312"/>
          <w:color w:val="auto"/>
          <w:sz w:val="32"/>
          <w:szCs w:val="32"/>
        </w:rPr>
        <w:t>继续落实重大病、慢性病医务人员家庭医生签约服务机制，对服务工作进行动态监测和考核管理，大力推广使用居民端APP，提升综合服务质量</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rPr>
        <w:t>及时做好系统清理工作，及时更新和完善档案，确保档案真实、完整，做到“账实相符”，“账账相符”。</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5、持续加强人才培养。</w:t>
      </w:r>
      <w:r>
        <w:rPr>
          <w:rFonts w:hint="eastAsia" w:ascii="仿宋_GB2312" w:hAnsi="仿宋_GB2312" w:eastAsia="仿宋_GB2312" w:cs="仿宋_GB2312"/>
          <w:color w:val="auto"/>
          <w:sz w:val="32"/>
          <w:szCs w:val="32"/>
          <w:lang w:val="en-US" w:eastAsia="zh-CN"/>
        </w:rPr>
        <w:t>2021年继续在市级部门领导下开展优秀人才、事业单位招聘等人才引进工作，争取最大限度为我区卫生系统引进人才，确保“引得进，留得住”。对现有医护人员采取多渠道、多手段加强培训，快速培养人才队伍。采取“走出去、请进来”方式大力培养医疗卫生人才队伍建设。</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rPr>
      </w:pPr>
      <w:r>
        <w:rPr>
          <w:rFonts w:hint="eastAsia" w:ascii="楷体_GB2312" w:hAnsi="楷体_GB2312" w:eastAsia="楷体_GB2312" w:cs="楷体_GB2312"/>
          <w:color w:val="auto"/>
          <w:sz w:val="32"/>
          <w:szCs w:val="32"/>
          <w:lang w:val="en-US" w:eastAsia="zh-CN"/>
        </w:rPr>
        <w:t>6、持续应对新冠肺炎。</w:t>
      </w:r>
      <w:r>
        <w:rPr>
          <w:rFonts w:hint="eastAsia" w:ascii="仿宋_GB2312" w:hAnsi="仿宋_GB2312" w:eastAsia="仿宋_GB2312" w:cs="仿宋_GB2312"/>
          <w:color w:val="auto"/>
          <w:sz w:val="32"/>
          <w:szCs w:val="32"/>
          <w:lang w:val="en-US" w:eastAsia="zh-CN"/>
        </w:rPr>
        <w:t>根据新冠肺炎疫情常态化防控要求，</w:t>
      </w:r>
      <w:r>
        <w:rPr>
          <w:rFonts w:hint="eastAsia" w:ascii="仿宋_GB2312" w:hAnsi="仿宋_GB2312" w:eastAsia="仿宋_GB2312" w:cs="仿宋_GB2312"/>
          <w:color w:val="auto"/>
          <w:sz w:val="32"/>
          <w:szCs w:val="32"/>
        </w:rPr>
        <w:t>严格落实发热门诊、预检分诊制度，持续开展核酸筛查工作，</w:t>
      </w:r>
      <w:r>
        <w:rPr>
          <w:rFonts w:hint="eastAsia" w:ascii="仿宋_GB2312" w:hAnsi="仿宋_GB2312" w:eastAsia="仿宋_GB2312" w:cs="仿宋_GB2312"/>
          <w:color w:val="auto"/>
          <w:sz w:val="32"/>
          <w:szCs w:val="32"/>
          <w:lang w:eastAsia="zh-CN"/>
        </w:rPr>
        <w:t>重点人群做到“应检尽检”。</w:t>
      </w:r>
      <w:r>
        <w:rPr>
          <w:rFonts w:hint="eastAsia" w:ascii="仿宋_GB2312" w:hAnsi="仿宋_GB2312" w:eastAsia="仿宋_GB2312" w:cs="仿宋_GB2312"/>
          <w:color w:val="auto"/>
          <w:sz w:val="32"/>
          <w:szCs w:val="32"/>
        </w:rPr>
        <w:t>加强对重点场所防控工作指导，全面推行“健康码”扫码登记，继续将常态化疫情防控与爱国卫生运动常态化相结合，健全环境卫生管理长效机制。</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7、持续做好爱国卫生专项运动。</w:t>
      </w:r>
      <w:r>
        <w:rPr>
          <w:rFonts w:hint="eastAsia" w:ascii="仿宋_GB2312" w:hAnsi="仿宋_GB2312" w:eastAsia="仿宋_GB2312" w:cs="仿宋_GB2312"/>
          <w:color w:val="auto"/>
          <w:sz w:val="32"/>
          <w:szCs w:val="32"/>
          <w:lang w:val="en-US" w:eastAsia="zh-CN"/>
        </w:rPr>
        <w:t>大力推动爱国卫生专项行动，巩固创卫工作成果。促进城乡环境卫生整治；倡导“社交距离、勤于洗手、分餐公筷、革除陋习、科学健身、控烟限酒”健康文明生活“六条新风尚”，推广健康文明生活习惯；创新方式方法，开发健康科普核心信息大力普及健康知识，大幅提升居民健康素养水平。开展无烟党政机关建设，创建无烟单位。让人人成为健康第一责任人，人人树立健康文明新风尚，人人参与健康文明生活方式，人人享有健康文明幸福生活。</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8、持续传承发展中医药事业。</w:t>
      </w:r>
      <w:r>
        <w:rPr>
          <w:rFonts w:hint="eastAsia" w:ascii="仿宋_GB2312" w:hAnsi="仿宋_GB2312" w:eastAsia="仿宋_GB2312" w:cs="仿宋_GB2312"/>
          <w:color w:val="auto"/>
          <w:sz w:val="32"/>
          <w:szCs w:val="32"/>
          <w:lang w:val="en-US" w:eastAsia="zh-CN"/>
        </w:rPr>
        <w:t>以巩固发展我区“全国基层中医药工作先进单位”为主旨，贯彻落实“十三五”基层中医药服务能力提升工程，落实基层中医药服务提升工程建设项目。打造一批重点专病专科和品牌科室，做好中医药创新传承和培训工作，推动基层医疗卫生机构开展中医预防保健服务，加强对社会资本在中医药发展中的引导和服务工作，落实好中医诊所备案制等一系列中医药法配套政策，完善中医药健康服务体系，助力我区大健康产业发展。</w:t>
      </w:r>
    </w:p>
    <w:p>
      <w:pPr>
        <w:keepNext w:val="0"/>
        <w:keepLines w:val="0"/>
        <w:pageBreakBefore w:val="0"/>
        <w:widowControl w:val="0"/>
        <w:kinsoku/>
        <w:wordWrap/>
        <w:overflowPunct/>
        <w:topLinePunct w:val="0"/>
        <w:autoSpaceDE/>
        <w:autoSpaceDN/>
        <w:bidi w:val="0"/>
        <w:adjustRightInd/>
        <w:snapToGrid/>
        <w:spacing w:line="590" w:lineRule="exact"/>
        <w:ind w:firstLine="640" w:firstLineChars="200"/>
        <w:textAlignment w:val="auto"/>
        <w:rPr>
          <w:rFonts w:hint="eastAsia"/>
          <w:color w:val="auto"/>
          <w:lang w:val="en-US" w:eastAsia="zh-CN"/>
        </w:rPr>
      </w:pPr>
      <w:r>
        <w:rPr>
          <w:rFonts w:hint="eastAsia" w:ascii="楷体_GB2312" w:hAnsi="楷体_GB2312" w:eastAsia="楷体_GB2312" w:cs="楷体_GB2312"/>
          <w:color w:val="auto"/>
          <w:sz w:val="32"/>
          <w:szCs w:val="32"/>
          <w:lang w:val="en-US" w:eastAsia="zh-CN"/>
        </w:rPr>
        <w:t>9、持续加强公立医院党的建设。</w:t>
      </w:r>
      <w:r>
        <w:rPr>
          <w:rFonts w:hint="eastAsia" w:ascii="仿宋_GB2312" w:hAnsi="仿宋_GB2312" w:eastAsia="仿宋_GB2312" w:cs="仿宋_GB2312"/>
          <w:color w:val="auto"/>
          <w:sz w:val="32"/>
          <w:szCs w:val="32"/>
          <w:lang w:val="en-US" w:eastAsia="zh-CN"/>
        </w:rPr>
        <w:t>继续围绕充分发挥公立医院党组织的领导作用，切实加强公立医院领导班子、干部队伍和人才队伍建设，着力提升公立医院基层党建工作质量，把抓好思想政治工作和医德医风建设作为公立医院党组织重要任务，不断强化对公立医院党建工作的领导和指导，以抓党建促业务，全面提升公立医院综合能力建设水平。</w:t>
      </w:r>
    </w:p>
    <w:p>
      <w:pPr>
        <w:widowControl/>
        <w:ind w:firstLine="600" w:firstLineChars="200"/>
        <w:jc w:val="left"/>
        <w:rPr>
          <w:rFonts w:ascii="黑体" w:hAnsi="黑体" w:eastAsia="黑体"/>
          <w:color w:val="auto"/>
          <w:kern w:val="0"/>
          <w:sz w:val="30"/>
          <w:szCs w:val="30"/>
        </w:rPr>
      </w:pPr>
      <w:r>
        <w:rPr>
          <w:rFonts w:ascii="黑体" w:hAnsi="黑体" w:eastAsia="黑体"/>
          <w:color w:val="auto"/>
          <w:kern w:val="0"/>
          <w:sz w:val="30"/>
          <w:szCs w:val="30"/>
        </w:rPr>
        <w:t>二、预算单位基本情况</w:t>
      </w:r>
    </w:p>
    <w:p>
      <w:pPr>
        <w:widowControl/>
        <w:ind w:firstLine="600" w:firstLineChars="200"/>
        <w:jc w:val="left"/>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我部门编制</w:t>
      </w:r>
      <w:r>
        <w:rPr>
          <w:rFonts w:hint="eastAsia" w:ascii="仿宋_GB2312" w:hAnsi="仿宋_GB2312" w:eastAsia="仿宋_GB2312" w:cs="仿宋_GB2312"/>
          <w:color w:val="auto"/>
          <w:kern w:val="0"/>
          <w:sz w:val="30"/>
          <w:szCs w:val="30"/>
          <w:lang w:val="en-US" w:eastAsia="zh-CN"/>
        </w:rPr>
        <w:t>2021</w:t>
      </w:r>
      <w:r>
        <w:rPr>
          <w:rFonts w:hint="eastAsia" w:ascii="仿宋_GB2312" w:hAnsi="仿宋_GB2312" w:eastAsia="仿宋_GB2312" w:cs="仿宋_GB2312"/>
          <w:color w:val="auto"/>
          <w:kern w:val="0"/>
          <w:sz w:val="30"/>
          <w:szCs w:val="30"/>
        </w:rPr>
        <w:t>年部门预算单位共</w:t>
      </w:r>
      <w:r>
        <w:rPr>
          <w:rFonts w:hint="eastAsia" w:ascii="仿宋_GB2312" w:hAnsi="仿宋_GB2312" w:eastAsia="仿宋_GB2312" w:cs="仿宋_GB2312"/>
          <w:color w:val="auto"/>
          <w:kern w:val="0"/>
          <w:sz w:val="30"/>
          <w:szCs w:val="30"/>
          <w:lang w:val="en-US" w:eastAsia="zh-CN"/>
        </w:rPr>
        <w:t>1</w:t>
      </w:r>
      <w:r>
        <w:rPr>
          <w:rFonts w:hint="eastAsia" w:ascii="仿宋_GB2312" w:hAnsi="仿宋_GB2312" w:eastAsia="仿宋_GB2312" w:cs="仿宋_GB2312"/>
          <w:color w:val="auto"/>
          <w:kern w:val="0"/>
          <w:sz w:val="30"/>
          <w:szCs w:val="30"/>
        </w:rPr>
        <w:t>个,</w:t>
      </w:r>
      <w:r>
        <w:rPr>
          <w:rFonts w:hint="eastAsia" w:ascii="仿宋_GB2312" w:hAnsi="仿宋_GB2312" w:eastAsia="仿宋_GB2312" w:cs="仿宋_GB2312"/>
          <w:color w:val="auto"/>
          <w:sz w:val="22"/>
          <w:szCs w:val="22"/>
        </w:rPr>
        <w:t xml:space="preserve"> </w:t>
      </w:r>
      <w:r>
        <w:rPr>
          <w:rFonts w:hint="eastAsia" w:ascii="仿宋_GB2312" w:hAnsi="仿宋_GB2312" w:eastAsia="仿宋_GB2312" w:cs="仿宋_GB2312"/>
          <w:color w:val="auto"/>
          <w:kern w:val="0"/>
          <w:sz w:val="30"/>
          <w:szCs w:val="30"/>
        </w:rPr>
        <w:t>其中：财政全供给单位</w:t>
      </w:r>
      <w:r>
        <w:rPr>
          <w:rFonts w:hint="eastAsia" w:ascii="仿宋_GB2312" w:hAnsi="仿宋_GB2312" w:eastAsia="仿宋_GB2312" w:cs="仿宋_GB2312"/>
          <w:color w:val="auto"/>
          <w:kern w:val="0"/>
          <w:sz w:val="30"/>
          <w:szCs w:val="30"/>
          <w:lang w:val="en-US" w:eastAsia="zh-CN"/>
        </w:rPr>
        <w:t>1</w:t>
      </w:r>
      <w:r>
        <w:rPr>
          <w:rFonts w:hint="eastAsia" w:ascii="仿宋_GB2312" w:hAnsi="仿宋_GB2312" w:eastAsia="仿宋_GB2312" w:cs="仿宋_GB2312"/>
          <w:color w:val="auto"/>
          <w:kern w:val="0"/>
          <w:sz w:val="30"/>
          <w:szCs w:val="30"/>
        </w:rPr>
        <w:t>个；部分供给单位</w:t>
      </w:r>
      <w:r>
        <w:rPr>
          <w:rFonts w:hint="eastAsia" w:ascii="仿宋_GB2312" w:hAnsi="仿宋_GB2312" w:eastAsia="仿宋_GB2312" w:cs="仿宋_GB2312"/>
          <w:color w:val="auto"/>
          <w:kern w:val="0"/>
          <w:sz w:val="30"/>
          <w:szCs w:val="30"/>
          <w:lang w:val="en-US" w:eastAsia="zh-CN"/>
        </w:rPr>
        <w:t>0</w:t>
      </w:r>
      <w:r>
        <w:rPr>
          <w:rFonts w:hint="eastAsia" w:ascii="仿宋_GB2312" w:hAnsi="仿宋_GB2312" w:eastAsia="仿宋_GB2312" w:cs="仿宋_GB2312"/>
          <w:color w:val="auto"/>
          <w:kern w:val="0"/>
          <w:sz w:val="30"/>
          <w:szCs w:val="30"/>
        </w:rPr>
        <w:t>个；特殊供给单位</w:t>
      </w:r>
      <w:r>
        <w:rPr>
          <w:rFonts w:hint="eastAsia" w:ascii="仿宋_GB2312" w:hAnsi="仿宋_GB2312" w:eastAsia="仿宋_GB2312" w:cs="仿宋_GB2312"/>
          <w:color w:val="auto"/>
          <w:kern w:val="0"/>
          <w:sz w:val="30"/>
          <w:szCs w:val="30"/>
          <w:lang w:val="en-US" w:eastAsia="zh-CN"/>
        </w:rPr>
        <w:t>0</w:t>
      </w:r>
      <w:r>
        <w:rPr>
          <w:rFonts w:hint="eastAsia" w:ascii="仿宋_GB2312" w:hAnsi="仿宋_GB2312" w:eastAsia="仿宋_GB2312" w:cs="仿宋_GB2312"/>
          <w:color w:val="auto"/>
          <w:kern w:val="0"/>
          <w:sz w:val="30"/>
          <w:szCs w:val="30"/>
        </w:rPr>
        <w:t>个；自收自支单位</w:t>
      </w:r>
      <w:r>
        <w:rPr>
          <w:rFonts w:hint="eastAsia" w:ascii="仿宋_GB2312" w:hAnsi="仿宋_GB2312" w:eastAsia="仿宋_GB2312" w:cs="仿宋_GB2312"/>
          <w:color w:val="auto"/>
          <w:kern w:val="0"/>
          <w:sz w:val="30"/>
          <w:szCs w:val="30"/>
          <w:lang w:val="en-US" w:eastAsia="zh-CN"/>
        </w:rPr>
        <w:t>0</w:t>
      </w:r>
      <w:r>
        <w:rPr>
          <w:rFonts w:hint="eastAsia" w:ascii="仿宋_GB2312" w:hAnsi="仿宋_GB2312" w:eastAsia="仿宋_GB2312" w:cs="仿宋_GB2312"/>
          <w:color w:val="auto"/>
          <w:kern w:val="0"/>
          <w:sz w:val="30"/>
          <w:szCs w:val="30"/>
        </w:rPr>
        <w:t>个。财政全供给单位中行政单位</w:t>
      </w:r>
      <w:r>
        <w:rPr>
          <w:rFonts w:hint="eastAsia" w:ascii="仿宋_GB2312" w:hAnsi="仿宋_GB2312" w:eastAsia="仿宋_GB2312" w:cs="仿宋_GB2312"/>
          <w:color w:val="auto"/>
          <w:kern w:val="0"/>
          <w:sz w:val="30"/>
          <w:szCs w:val="30"/>
          <w:lang w:val="en-US" w:eastAsia="zh-CN"/>
        </w:rPr>
        <w:t>1</w:t>
      </w:r>
      <w:r>
        <w:rPr>
          <w:rFonts w:hint="eastAsia" w:ascii="仿宋_GB2312" w:hAnsi="仿宋_GB2312" w:eastAsia="仿宋_GB2312" w:cs="仿宋_GB2312"/>
          <w:color w:val="auto"/>
          <w:kern w:val="0"/>
          <w:sz w:val="30"/>
          <w:szCs w:val="30"/>
        </w:rPr>
        <w:t>个；参公管理事业单位</w:t>
      </w:r>
      <w:r>
        <w:rPr>
          <w:rFonts w:hint="eastAsia" w:ascii="仿宋_GB2312" w:hAnsi="仿宋_GB2312" w:eastAsia="仿宋_GB2312" w:cs="仿宋_GB2312"/>
          <w:color w:val="auto"/>
          <w:kern w:val="0"/>
          <w:sz w:val="30"/>
          <w:szCs w:val="30"/>
          <w:lang w:val="en-US" w:eastAsia="zh-CN"/>
        </w:rPr>
        <w:t>0</w:t>
      </w:r>
      <w:r>
        <w:rPr>
          <w:rFonts w:hint="eastAsia" w:ascii="仿宋_GB2312" w:hAnsi="仿宋_GB2312" w:eastAsia="仿宋_GB2312" w:cs="仿宋_GB2312"/>
          <w:color w:val="auto"/>
          <w:kern w:val="0"/>
          <w:sz w:val="30"/>
          <w:szCs w:val="30"/>
        </w:rPr>
        <w:t>个；非参公管理事业单位</w:t>
      </w:r>
      <w:r>
        <w:rPr>
          <w:rFonts w:hint="eastAsia" w:ascii="仿宋_GB2312" w:hAnsi="仿宋_GB2312" w:eastAsia="仿宋_GB2312" w:cs="仿宋_GB2312"/>
          <w:color w:val="auto"/>
          <w:kern w:val="0"/>
          <w:sz w:val="30"/>
          <w:szCs w:val="30"/>
          <w:lang w:val="en-US" w:eastAsia="zh-CN"/>
        </w:rPr>
        <w:t>0</w:t>
      </w:r>
      <w:r>
        <w:rPr>
          <w:rFonts w:hint="eastAsia" w:ascii="仿宋_GB2312" w:hAnsi="仿宋_GB2312" w:eastAsia="仿宋_GB2312" w:cs="仿宋_GB2312"/>
          <w:color w:val="auto"/>
          <w:kern w:val="0"/>
          <w:sz w:val="30"/>
          <w:szCs w:val="30"/>
        </w:rPr>
        <w:t>个。截止20</w:t>
      </w:r>
      <w:r>
        <w:rPr>
          <w:rFonts w:hint="eastAsia" w:ascii="仿宋_GB2312" w:hAnsi="仿宋_GB2312" w:eastAsia="仿宋_GB2312" w:cs="仿宋_GB2312"/>
          <w:color w:val="auto"/>
          <w:kern w:val="0"/>
          <w:sz w:val="30"/>
          <w:szCs w:val="30"/>
          <w:lang w:val="en-US" w:eastAsia="zh-CN"/>
        </w:rPr>
        <w:t>20</w:t>
      </w:r>
      <w:r>
        <w:rPr>
          <w:rFonts w:hint="eastAsia" w:ascii="仿宋_GB2312" w:hAnsi="仿宋_GB2312" w:eastAsia="仿宋_GB2312" w:cs="仿宋_GB2312"/>
          <w:color w:val="auto"/>
          <w:kern w:val="0"/>
          <w:sz w:val="30"/>
          <w:szCs w:val="30"/>
        </w:rPr>
        <w:t>年</w:t>
      </w:r>
      <w:r>
        <w:rPr>
          <w:rFonts w:hint="eastAsia" w:ascii="仿宋_GB2312" w:hAnsi="仿宋_GB2312" w:eastAsia="仿宋_GB2312" w:cs="仿宋_GB2312"/>
          <w:color w:val="auto"/>
          <w:kern w:val="0"/>
          <w:sz w:val="30"/>
          <w:szCs w:val="30"/>
          <w:lang w:val="en-US" w:eastAsia="zh-CN"/>
        </w:rPr>
        <w:t>12</w:t>
      </w:r>
      <w:r>
        <w:rPr>
          <w:rFonts w:hint="eastAsia" w:ascii="仿宋_GB2312" w:hAnsi="仿宋_GB2312" w:eastAsia="仿宋_GB2312" w:cs="仿宋_GB2312"/>
          <w:color w:val="auto"/>
          <w:kern w:val="0"/>
          <w:sz w:val="30"/>
          <w:szCs w:val="30"/>
        </w:rPr>
        <w:t>月统计，部门基本情况如下：</w:t>
      </w:r>
    </w:p>
    <w:p>
      <w:pPr>
        <w:widowControl/>
        <w:ind w:firstLine="600" w:firstLineChars="200"/>
        <w:jc w:val="left"/>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在职人员编制</w:t>
      </w:r>
      <w:r>
        <w:rPr>
          <w:rFonts w:hint="eastAsia" w:ascii="仿宋_GB2312" w:hAnsi="仿宋_GB2312" w:eastAsia="仿宋_GB2312" w:cs="仿宋_GB2312"/>
          <w:color w:val="auto"/>
          <w:kern w:val="0"/>
          <w:sz w:val="30"/>
          <w:szCs w:val="30"/>
          <w:lang w:val="en-US" w:eastAsia="zh-CN"/>
        </w:rPr>
        <w:t>24</w:t>
      </w:r>
      <w:r>
        <w:rPr>
          <w:rFonts w:hint="eastAsia" w:ascii="仿宋_GB2312" w:hAnsi="仿宋_GB2312" w:eastAsia="仿宋_GB2312" w:cs="仿宋_GB2312"/>
          <w:color w:val="auto"/>
          <w:kern w:val="0"/>
          <w:sz w:val="30"/>
          <w:szCs w:val="30"/>
        </w:rPr>
        <w:t xml:space="preserve">人，其中：行政编制 </w:t>
      </w:r>
      <w:r>
        <w:rPr>
          <w:rFonts w:hint="eastAsia" w:ascii="仿宋_GB2312" w:hAnsi="仿宋_GB2312" w:eastAsia="仿宋_GB2312" w:cs="仿宋_GB2312"/>
          <w:color w:val="auto"/>
          <w:kern w:val="0"/>
          <w:sz w:val="30"/>
          <w:szCs w:val="30"/>
          <w:lang w:val="en-US" w:eastAsia="zh-CN"/>
        </w:rPr>
        <w:t>21</w:t>
      </w:r>
      <w:r>
        <w:rPr>
          <w:rFonts w:hint="eastAsia" w:ascii="仿宋_GB2312" w:hAnsi="仿宋_GB2312" w:eastAsia="仿宋_GB2312" w:cs="仿宋_GB2312"/>
          <w:color w:val="auto"/>
          <w:kern w:val="0"/>
          <w:sz w:val="30"/>
          <w:szCs w:val="30"/>
        </w:rPr>
        <w:t>人，事业编制</w:t>
      </w:r>
      <w:r>
        <w:rPr>
          <w:rFonts w:hint="eastAsia" w:ascii="仿宋_GB2312" w:hAnsi="仿宋_GB2312" w:eastAsia="仿宋_GB2312" w:cs="仿宋_GB2312"/>
          <w:color w:val="auto"/>
          <w:kern w:val="0"/>
          <w:sz w:val="30"/>
          <w:szCs w:val="30"/>
          <w:lang w:val="en-US" w:eastAsia="zh-CN"/>
        </w:rPr>
        <w:t>3</w:t>
      </w:r>
      <w:r>
        <w:rPr>
          <w:rFonts w:hint="eastAsia" w:ascii="仿宋_GB2312" w:hAnsi="仿宋_GB2312" w:eastAsia="仿宋_GB2312" w:cs="仿宋_GB2312"/>
          <w:color w:val="auto"/>
          <w:kern w:val="0"/>
          <w:sz w:val="30"/>
          <w:szCs w:val="30"/>
        </w:rPr>
        <w:t>人。在职实有</w:t>
      </w:r>
      <w:r>
        <w:rPr>
          <w:rFonts w:hint="eastAsia" w:ascii="仿宋_GB2312" w:hAnsi="仿宋_GB2312" w:eastAsia="仿宋_GB2312" w:cs="仿宋_GB2312"/>
          <w:color w:val="auto"/>
          <w:kern w:val="0"/>
          <w:sz w:val="30"/>
          <w:szCs w:val="30"/>
          <w:lang w:val="en-US" w:eastAsia="zh-CN"/>
        </w:rPr>
        <w:t>20</w:t>
      </w:r>
      <w:r>
        <w:rPr>
          <w:rFonts w:hint="eastAsia" w:ascii="仿宋_GB2312" w:hAnsi="仿宋_GB2312" w:eastAsia="仿宋_GB2312" w:cs="仿宋_GB2312"/>
          <w:color w:val="auto"/>
          <w:kern w:val="0"/>
          <w:sz w:val="30"/>
          <w:szCs w:val="30"/>
        </w:rPr>
        <w:t>人，其中： 财政全供养</w:t>
      </w:r>
      <w:r>
        <w:rPr>
          <w:rFonts w:hint="eastAsia" w:ascii="仿宋_GB2312" w:hAnsi="仿宋_GB2312" w:eastAsia="仿宋_GB2312" w:cs="仿宋_GB2312"/>
          <w:color w:val="auto"/>
          <w:kern w:val="0"/>
          <w:sz w:val="30"/>
          <w:szCs w:val="30"/>
          <w:lang w:val="en-US" w:eastAsia="zh-CN"/>
        </w:rPr>
        <w:t>20</w:t>
      </w:r>
      <w:r>
        <w:rPr>
          <w:rFonts w:hint="eastAsia" w:ascii="仿宋_GB2312" w:hAnsi="仿宋_GB2312" w:eastAsia="仿宋_GB2312" w:cs="仿宋_GB2312"/>
          <w:color w:val="auto"/>
          <w:kern w:val="0"/>
          <w:sz w:val="30"/>
          <w:szCs w:val="30"/>
        </w:rPr>
        <w:t>人，财政部分供养</w:t>
      </w:r>
      <w:r>
        <w:rPr>
          <w:rFonts w:hint="eastAsia" w:ascii="仿宋_GB2312" w:hAnsi="仿宋_GB2312" w:eastAsia="仿宋_GB2312" w:cs="仿宋_GB2312"/>
          <w:color w:val="auto"/>
          <w:kern w:val="0"/>
          <w:sz w:val="30"/>
          <w:szCs w:val="30"/>
          <w:lang w:val="en-US" w:eastAsia="zh-CN"/>
        </w:rPr>
        <w:t>0</w:t>
      </w:r>
      <w:r>
        <w:rPr>
          <w:rFonts w:hint="eastAsia" w:ascii="仿宋_GB2312" w:hAnsi="仿宋_GB2312" w:eastAsia="仿宋_GB2312" w:cs="仿宋_GB2312"/>
          <w:color w:val="auto"/>
          <w:kern w:val="0"/>
          <w:sz w:val="30"/>
          <w:szCs w:val="30"/>
        </w:rPr>
        <w:t>人，非财政供养</w:t>
      </w:r>
      <w:r>
        <w:rPr>
          <w:rFonts w:hint="eastAsia" w:ascii="仿宋_GB2312" w:hAnsi="仿宋_GB2312" w:eastAsia="仿宋_GB2312" w:cs="仿宋_GB2312"/>
          <w:color w:val="auto"/>
          <w:kern w:val="0"/>
          <w:sz w:val="30"/>
          <w:szCs w:val="30"/>
          <w:lang w:val="en-US" w:eastAsia="zh-CN"/>
        </w:rPr>
        <w:t>0</w:t>
      </w:r>
      <w:r>
        <w:rPr>
          <w:rFonts w:hint="eastAsia" w:ascii="仿宋_GB2312" w:hAnsi="仿宋_GB2312" w:eastAsia="仿宋_GB2312" w:cs="仿宋_GB2312"/>
          <w:color w:val="auto"/>
          <w:kern w:val="0"/>
          <w:sz w:val="30"/>
          <w:szCs w:val="30"/>
        </w:rPr>
        <w:t>人。</w:t>
      </w:r>
    </w:p>
    <w:p>
      <w:pPr>
        <w:widowControl/>
        <w:ind w:firstLine="600" w:firstLineChars="200"/>
        <w:jc w:val="left"/>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 xml:space="preserve">离退休人员 </w:t>
      </w:r>
      <w:r>
        <w:rPr>
          <w:rFonts w:hint="eastAsia" w:ascii="仿宋_GB2312" w:hAnsi="仿宋_GB2312" w:eastAsia="仿宋_GB2312" w:cs="仿宋_GB2312"/>
          <w:color w:val="auto"/>
          <w:kern w:val="0"/>
          <w:sz w:val="30"/>
          <w:szCs w:val="30"/>
          <w:lang w:val="en-US" w:eastAsia="zh-CN"/>
        </w:rPr>
        <w:t>43</w:t>
      </w:r>
      <w:r>
        <w:rPr>
          <w:rFonts w:hint="eastAsia" w:ascii="仿宋_GB2312" w:hAnsi="仿宋_GB2312" w:eastAsia="仿宋_GB2312" w:cs="仿宋_GB2312"/>
          <w:color w:val="auto"/>
          <w:kern w:val="0"/>
          <w:sz w:val="30"/>
          <w:szCs w:val="30"/>
        </w:rPr>
        <w:t xml:space="preserve">人，其中： 离休 </w:t>
      </w:r>
      <w:r>
        <w:rPr>
          <w:rFonts w:hint="eastAsia" w:ascii="仿宋_GB2312" w:hAnsi="仿宋_GB2312" w:eastAsia="仿宋_GB2312" w:cs="仿宋_GB2312"/>
          <w:color w:val="auto"/>
          <w:kern w:val="0"/>
          <w:sz w:val="30"/>
          <w:szCs w:val="30"/>
          <w:lang w:val="en-US" w:eastAsia="zh-CN"/>
        </w:rPr>
        <w:t>1</w:t>
      </w:r>
      <w:r>
        <w:rPr>
          <w:rFonts w:hint="eastAsia" w:ascii="仿宋_GB2312" w:hAnsi="仿宋_GB2312" w:eastAsia="仿宋_GB2312" w:cs="仿宋_GB2312"/>
          <w:color w:val="auto"/>
          <w:kern w:val="0"/>
          <w:sz w:val="30"/>
          <w:szCs w:val="30"/>
        </w:rPr>
        <w:t>人，退休</w:t>
      </w:r>
      <w:r>
        <w:rPr>
          <w:rFonts w:hint="eastAsia" w:ascii="仿宋_GB2312" w:hAnsi="仿宋_GB2312" w:eastAsia="仿宋_GB2312" w:cs="仿宋_GB2312"/>
          <w:color w:val="auto"/>
          <w:kern w:val="0"/>
          <w:sz w:val="30"/>
          <w:szCs w:val="30"/>
          <w:lang w:val="en-US" w:eastAsia="zh-CN"/>
        </w:rPr>
        <w:t>42</w:t>
      </w:r>
      <w:r>
        <w:rPr>
          <w:rFonts w:hint="eastAsia" w:ascii="仿宋_GB2312" w:hAnsi="仿宋_GB2312" w:eastAsia="仿宋_GB2312" w:cs="仿宋_GB2312"/>
          <w:color w:val="auto"/>
          <w:kern w:val="0"/>
          <w:sz w:val="30"/>
          <w:szCs w:val="30"/>
        </w:rPr>
        <w:t>人。</w:t>
      </w:r>
    </w:p>
    <w:p>
      <w:pPr>
        <w:widowControl/>
        <w:ind w:firstLine="600" w:firstLineChars="200"/>
        <w:jc w:val="left"/>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rPr>
        <w:t>车辆编制</w:t>
      </w:r>
      <w:r>
        <w:rPr>
          <w:rFonts w:hint="eastAsia" w:ascii="仿宋_GB2312" w:hAnsi="仿宋_GB2312" w:eastAsia="仿宋_GB2312" w:cs="仿宋_GB2312"/>
          <w:color w:val="auto"/>
          <w:kern w:val="0"/>
          <w:sz w:val="30"/>
          <w:szCs w:val="30"/>
          <w:lang w:val="en-US" w:eastAsia="zh-CN"/>
        </w:rPr>
        <w:t>1</w:t>
      </w:r>
      <w:r>
        <w:rPr>
          <w:rFonts w:hint="eastAsia" w:ascii="仿宋_GB2312" w:hAnsi="仿宋_GB2312" w:eastAsia="仿宋_GB2312" w:cs="仿宋_GB2312"/>
          <w:color w:val="auto"/>
          <w:kern w:val="0"/>
          <w:sz w:val="30"/>
          <w:szCs w:val="30"/>
        </w:rPr>
        <w:t>辆，实有车辆</w:t>
      </w:r>
      <w:r>
        <w:rPr>
          <w:rFonts w:hint="eastAsia" w:ascii="仿宋_GB2312" w:hAnsi="仿宋_GB2312" w:eastAsia="仿宋_GB2312" w:cs="仿宋_GB2312"/>
          <w:color w:val="auto"/>
          <w:kern w:val="0"/>
          <w:sz w:val="30"/>
          <w:szCs w:val="30"/>
          <w:lang w:val="en-US" w:eastAsia="zh-CN"/>
        </w:rPr>
        <w:t>1</w:t>
      </w:r>
      <w:r>
        <w:rPr>
          <w:rFonts w:hint="eastAsia" w:ascii="仿宋_GB2312" w:hAnsi="仿宋_GB2312" w:eastAsia="仿宋_GB2312" w:cs="仿宋_GB2312"/>
          <w:color w:val="auto"/>
          <w:kern w:val="0"/>
          <w:sz w:val="30"/>
          <w:szCs w:val="30"/>
        </w:rPr>
        <w:t>辆。</w:t>
      </w:r>
    </w:p>
    <w:p>
      <w:pPr>
        <w:widowControl/>
        <w:ind w:firstLine="600" w:firstLineChars="200"/>
        <w:jc w:val="left"/>
        <w:rPr>
          <w:rFonts w:eastAsia="仿宋_GB2312"/>
          <w:color w:val="auto"/>
          <w:kern w:val="0"/>
          <w:sz w:val="30"/>
          <w:szCs w:val="30"/>
        </w:rPr>
      </w:pPr>
      <w:r>
        <w:rPr>
          <w:rFonts w:hint="eastAsia" w:eastAsia="仿宋_GB2312"/>
          <w:color w:val="auto"/>
          <w:kern w:val="0"/>
          <w:sz w:val="30"/>
          <w:szCs w:val="30"/>
        </w:rPr>
        <w:t>（各部门可结合实际制作基本情况分布图表等）</w:t>
      </w:r>
    </w:p>
    <w:p>
      <w:pPr>
        <w:widowControl/>
        <w:ind w:firstLine="600" w:firstLineChars="200"/>
        <w:jc w:val="left"/>
        <w:rPr>
          <w:rFonts w:ascii="黑体" w:hAnsi="黑体" w:eastAsia="黑体"/>
          <w:color w:val="auto"/>
          <w:kern w:val="0"/>
          <w:sz w:val="30"/>
          <w:szCs w:val="30"/>
        </w:rPr>
      </w:pPr>
      <w:r>
        <w:rPr>
          <w:rFonts w:ascii="黑体" w:hAnsi="黑体" w:eastAsia="黑体"/>
          <w:color w:val="auto"/>
          <w:kern w:val="0"/>
          <w:sz w:val="30"/>
          <w:szCs w:val="30"/>
        </w:rPr>
        <w:t>三、预算单位收入情况</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（一）部门财务收入情况</w:t>
      </w:r>
    </w:p>
    <w:p>
      <w:pPr>
        <w:widowControl/>
        <w:ind w:firstLine="750" w:firstLineChars="250"/>
        <w:jc w:val="left"/>
        <w:rPr>
          <w:rFonts w:hint="eastAsia" w:eastAsia="仿宋_GB2312"/>
          <w:color w:val="auto"/>
          <w:kern w:val="0"/>
          <w:sz w:val="30"/>
          <w:szCs w:val="30"/>
        </w:rPr>
      </w:pPr>
      <w:r>
        <w:rPr>
          <w:rFonts w:hint="eastAsia" w:eastAsia="仿宋_GB2312"/>
          <w:color w:val="auto"/>
          <w:kern w:val="0"/>
          <w:sz w:val="30"/>
          <w:szCs w:val="30"/>
          <w:lang w:val="en-US" w:eastAsia="zh-CN"/>
        </w:rPr>
        <w:t>2021</w:t>
      </w:r>
      <w:r>
        <w:rPr>
          <w:rFonts w:eastAsia="仿宋_GB2312"/>
          <w:color w:val="auto"/>
          <w:kern w:val="0"/>
          <w:sz w:val="30"/>
          <w:szCs w:val="30"/>
        </w:rPr>
        <w:t xml:space="preserve">年部门财务总收入 </w:t>
      </w:r>
      <w:r>
        <w:rPr>
          <w:rFonts w:hint="eastAsia" w:eastAsia="仿宋_GB2312"/>
          <w:color w:val="auto"/>
          <w:kern w:val="0"/>
          <w:sz w:val="30"/>
          <w:szCs w:val="30"/>
          <w:lang w:val="en-US" w:eastAsia="zh-CN"/>
        </w:rPr>
        <w:t>3532.34</w:t>
      </w:r>
      <w:r>
        <w:rPr>
          <w:rFonts w:eastAsia="仿宋_GB2312"/>
          <w:color w:val="auto"/>
          <w:kern w:val="0"/>
          <w:sz w:val="30"/>
          <w:szCs w:val="30"/>
        </w:rPr>
        <w:t xml:space="preserve">万元，其中：一般公共预算 </w:t>
      </w:r>
      <w:r>
        <w:rPr>
          <w:rFonts w:hint="eastAsia" w:eastAsia="仿宋_GB2312"/>
          <w:color w:val="auto"/>
          <w:kern w:val="0"/>
          <w:sz w:val="30"/>
          <w:szCs w:val="30"/>
          <w:lang w:val="en-US" w:eastAsia="zh-CN"/>
        </w:rPr>
        <w:t>3532.34</w:t>
      </w:r>
      <w:r>
        <w:rPr>
          <w:rFonts w:eastAsia="仿宋_GB2312"/>
          <w:color w:val="auto"/>
          <w:kern w:val="0"/>
          <w:sz w:val="30"/>
          <w:szCs w:val="30"/>
        </w:rPr>
        <w:t>万元，政府性基金</w:t>
      </w:r>
      <w:r>
        <w:rPr>
          <w:rFonts w:hint="eastAsia" w:eastAsia="仿宋_GB2312"/>
          <w:color w:val="auto"/>
          <w:kern w:val="0"/>
          <w:sz w:val="30"/>
          <w:szCs w:val="30"/>
        </w:rPr>
        <w:t>预算</w:t>
      </w:r>
      <w:r>
        <w:rPr>
          <w:rFonts w:hint="eastAsia" w:eastAsia="仿宋_GB2312"/>
          <w:color w:val="auto"/>
          <w:kern w:val="0"/>
          <w:sz w:val="30"/>
          <w:szCs w:val="30"/>
          <w:lang w:val="en-US" w:eastAsia="zh-CN"/>
        </w:rPr>
        <w:t>0</w:t>
      </w:r>
      <w:r>
        <w:rPr>
          <w:rFonts w:eastAsia="仿宋_GB2312"/>
          <w:color w:val="auto"/>
          <w:kern w:val="0"/>
          <w:sz w:val="30"/>
          <w:szCs w:val="30"/>
        </w:rPr>
        <w:t>万元，国有资本经营</w:t>
      </w:r>
      <w:r>
        <w:rPr>
          <w:rFonts w:hint="eastAsia" w:eastAsia="仿宋_GB2312"/>
          <w:color w:val="auto"/>
          <w:kern w:val="0"/>
          <w:sz w:val="30"/>
          <w:szCs w:val="30"/>
        </w:rPr>
        <w:t>预算</w:t>
      </w:r>
      <w:r>
        <w:rPr>
          <w:rFonts w:hint="eastAsia" w:eastAsia="仿宋_GB2312"/>
          <w:color w:val="auto"/>
          <w:kern w:val="0"/>
          <w:sz w:val="30"/>
          <w:szCs w:val="30"/>
          <w:lang w:val="en-US" w:eastAsia="zh-CN"/>
        </w:rPr>
        <w:t>0</w:t>
      </w:r>
      <w:r>
        <w:rPr>
          <w:rFonts w:eastAsia="仿宋_GB2312"/>
          <w:color w:val="auto"/>
          <w:kern w:val="0"/>
          <w:sz w:val="30"/>
          <w:szCs w:val="30"/>
        </w:rPr>
        <w:t>万元，</w:t>
      </w:r>
      <w:r>
        <w:rPr>
          <w:rFonts w:hint="eastAsia" w:eastAsia="仿宋_GB2312"/>
          <w:color w:val="auto"/>
          <w:kern w:val="0"/>
          <w:sz w:val="30"/>
          <w:szCs w:val="30"/>
          <w:lang w:val="en-US" w:eastAsia="zh-CN"/>
        </w:rPr>
        <w:t>财政专户管理资金0万元，事业单位事业收入0</w:t>
      </w:r>
      <w:r>
        <w:rPr>
          <w:rFonts w:eastAsia="仿宋_GB2312"/>
          <w:color w:val="auto"/>
          <w:kern w:val="0"/>
          <w:sz w:val="30"/>
          <w:szCs w:val="30"/>
        </w:rPr>
        <w:t>万元，事业单位经营收入</w:t>
      </w:r>
      <w:r>
        <w:rPr>
          <w:rFonts w:hint="eastAsia" w:eastAsia="仿宋_GB2312"/>
          <w:color w:val="auto"/>
          <w:kern w:val="0"/>
          <w:sz w:val="30"/>
          <w:szCs w:val="30"/>
          <w:lang w:val="en-US" w:eastAsia="zh-CN"/>
        </w:rPr>
        <w:t>0</w:t>
      </w:r>
      <w:r>
        <w:rPr>
          <w:rFonts w:eastAsia="仿宋_GB2312"/>
          <w:color w:val="auto"/>
          <w:kern w:val="0"/>
          <w:sz w:val="30"/>
          <w:szCs w:val="30"/>
        </w:rPr>
        <w:t>万元，</w:t>
      </w:r>
      <w:r>
        <w:rPr>
          <w:rFonts w:hint="eastAsia" w:eastAsia="仿宋_GB2312"/>
          <w:color w:val="auto"/>
          <w:kern w:val="0"/>
          <w:sz w:val="30"/>
          <w:szCs w:val="30"/>
          <w:lang w:eastAsia="zh-CN"/>
        </w:rPr>
        <w:t>上级补助收入</w:t>
      </w:r>
      <w:r>
        <w:rPr>
          <w:rFonts w:hint="eastAsia" w:eastAsia="仿宋_GB2312"/>
          <w:color w:val="auto"/>
          <w:kern w:val="0"/>
          <w:sz w:val="30"/>
          <w:szCs w:val="30"/>
          <w:lang w:val="en-US" w:eastAsia="zh-CN"/>
        </w:rPr>
        <w:t>0</w:t>
      </w:r>
      <w:r>
        <w:rPr>
          <w:rFonts w:eastAsia="仿宋_GB2312"/>
          <w:color w:val="auto"/>
          <w:kern w:val="0"/>
          <w:sz w:val="30"/>
          <w:szCs w:val="30"/>
        </w:rPr>
        <w:t>万元</w:t>
      </w:r>
      <w:r>
        <w:rPr>
          <w:rFonts w:hint="eastAsia" w:eastAsia="仿宋_GB2312"/>
          <w:color w:val="auto"/>
          <w:kern w:val="0"/>
          <w:sz w:val="30"/>
          <w:szCs w:val="30"/>
          <w:lang w:eastAsia="zh-CN"/>
        </w:rPr>
        <w:t>，</w:t>
      </w:r>
      <w:r>
        <w:rPr>
          <w:rFonts w:hint="eastAsia" w:eastAsia="仿宋_GB2312"/>
          <w:color w:val="auto"/>
          <w:kern w:val="0"/>
          <w:sz w:val="30"/>
          <w:szCs w:val="30"/>
          <w:lang w:val="en-US" w:eastAsia="zh-CN"/>
        </w:rPr>
        <w:t>附属单位上缴收入0</w:t>
      </w:r>
      <w:r>
        <w:rPr>
          <w:rFonts w:eastAsia="仿宋_GB2312"/>
          <w:color w:val="auto"/>
          <w:kern w:val="0"/>
          <w:sz w:val="30"/>
          <w:szCs w:val="30"/>
        </w:rPr>
        <w:t>万元</w:t>
      </w:r>
      <w:r>
        <w:rPr>
          <w:rFonts w:hint="eastAsia" w:eastAsia="仿宋_GB2312"/>
          <w:color w:val="auto"/>
          <w:kern w:val="0"/>
          <w:sz w:val="30"/>
          <w:szCs w:val="30"/>
          <w:lang w:eastAsia="zh-CN"/>
        </w:rPr>
        <w:t>，</w:t>
      </w:r>
      <w:r>
        <w:rPr>
          <w:rFonts w:eastAsia="仿宋_GB2312"/>
          <w:color w:val="auto"/>
          <w:kern w:val="0"/>
          <w:sz w:val="30"/>
          <w:szCs w:val="30"/>
        </w:rPr>
        <w:t>其他收入</w:t>
      </w:r>
      <w:r>
        <w:rPr>
          <w:rFonts w:hint="eastAsia" w:eastAsia="仿宋_GB2312"/>
          <w:color w:val="auto"/>
          <w:kern w:val="0"/>
          <w:sz w:val="30"/>
          <w:szCs w:val="30"/>
          <w:lang w:val="en-US" w:eastAsia="zh-CN"/>
        </w:rPr>
        <w:t>0</w:t>
      </w:r>
      <w:r>
        <w:rPr>
          <w:rFonts w:eastAsia="仿宋_GB2312"/>
          <w:color w:val="auto"/>
          <w:kern w:val="0"/>
          <w:sz w:val="30"/>
          <w:szCs w:val="30"/>
        </w:rPr>
        <w:t>万元</w:t>
      </w:r>
      <w:r>
        <w:rPr>
          <w:rFonts w:hint="eastAsia" w:eastAsia="仿宋_GB2312"/>
          <w:color w:val="auto"/>
          <w:kern w:val="0"/>
          <w:sz w:val="30"/>
          <w:szCs w:val="30"/>
        </w:rPr>
        <w:t>，上年结转结余</w:t>
      </w:r>
      <w:r>
        <w:rPr>
          <w:rFonts w:hint="eastAsia" w:eastAsia="仿宋_GB2312"/>
          <w:color w:val="auto"/>
          <w:kern w:val="0"/>
          <w:sz w:val="30"/>
          <w:szCs w:val="30"/>
          <w:lang w:val="en-US" w:eastAsia="zh-CN"/>
        </w:rPr>
        <w:t>0</w:t>
      </w:r>
      <w:r>
        <w:rPr>
          <w:rFonts w:hint="eastAsia" w:eastAsia="仿宋_GB2312"/>
          <w:color w:val="auto"/>
          <w:kern w:val="0"/>
          <w:sz w:val="30"/>
          <w:szCs w:val="30"/>
        </w:rPr>
        <w:t>万元</w:t>
      </w:r>
      <w:r>
        <w:rPr>
          <w:rFonts w:eastAsia="仿宋_GB2312"/>
          <w:color w:val="auto"/>
          <w:kern w:val="0"/>
          <w:sz w:val="30"/>
          <w:szCs w:val="30"/>
        </w:rPr>
        <w:t>。</w:t>
      </w:r>
    </w:p>
    <w:p>
      <w:pPr>
        <w:widowControl/>
        <w:ind w:firstLine="600" w:firstLineChars="200"/>
        <w:jc w:val="left"/>
        <w:rPr>
          <w:rFonts w:eastAsia="仿宋_GB2312"/>
          <w:color w:val="auto"/>
          <w:kern w:val="0"/>
          <w:sz w:val="30"/>
          <w:szCs w:val="30"/>
        </w:rPr>
      </w:pPr>
      <w:r>
        <w:rPr>
          <w:rFonts w:hint="eastAsia" w:eastAsia="仿宋_GB2312"/>
          <w:color w:val="auto"/>
          <w:kern w:val="0"/>
          <w:sz w:val="30"/>
          <w:szCs w:val="30"/>
        </w:rPr>
        <w:t>与上年对比</w:t>
      </w:r>
      <w:r>
        <w:rPr>
          <w:rFonts w:hint="eastAsia" w:ascii="楷体" w:hAnsi="楷体" w:eastAsia="楷体" w:cs="楷体"/>
          <w:color w:val="auto"/>
          <w:kern w:val="0"/>
          <w:sz w:val="30"/>
          <w:szCs w:val="30"/>
          <w:lang w:val="en-US" w:eastAsia="zh-CN"/>
        </w:rPr>
        <w:t>减少841.77万</w:t>
      </w:r>
      <w:r>
        <w:rPr>
          <w:rFonts w:hint="eastAsia" w:ascii="楷体" w:hAnsi="楷体" w:eastAsia="楷体" w:cs="楷体"/>
          <w:color w:val="auto"/>
          <w:kern w:val="0"/>
          <w:sz w:val="30"/>
          <w:szCs w:val="30"/>
          <w:lang w:val="en-US" w:eastAsia="zh-CN"/>
        </w:rPr>
        <w:t>元</w:t>
      </w:r>
      <w:r>
        <w:rPr>
          <w:rFonts w:hint="eastAsia" w:ascii="楷体" w:hAnsi="楷体" w:eastAsia="楷体" w:cs="楷体"/>
          <w:color w:val="auto"/>
          <w:kern w:val="0"/>
          <w:sz w:val="30"/>
          <w:szCs w:val="30"/>
        </w:rPr>
        <w:t>，</w:t>
      </w:r>
      <w:r>
        <w:rPr>
          <w:rFonts w:hint="eastAsia" w:eastAsia="仿宋_GB2312"/>
          <w:color w:val="auto"/>
          <w:kern w:val="0"/>
          <w:sz w:val="30"/>
          <w:szCs w:val="30"/>
        </w:rPr>
        <w:t>主要原因分析</w:t>
      </w:r>
      <w:r>
        <w:rPr>
          <w:rFonts w:hint="eastAsia" w:eastAsia="仿宋_GB2312"/>
          <w:color w:val="auto"/>
          <w:kern w:val="0"/>
          <w:sz w:val="30"/>
          <w:szCs w:val="30"/>
          <w:lang w:val="en-US" w:eastAsia="zh-CN"/>
        </w:rPr>
        <w:t>项目预算减少</w:t>
      </w:r>
      <w:r>
        <w:rPr>
          <w:rFonts w:hint="eastAsia" w:ascii="楷体" w:hAnsi="楷体" w:eastAsia="楷体" w:cs="楷体"/>
          <w:color w:val="auto"/>
          <w:kern w:val="0"/>
          <w:sz w:val="30"/>
          <w:szCs w:val="30"/>
        </w:rPr>
        <w:t>。</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（二）财政拨款收入情况</w:t>
      </w:r>
    </w:p>
    <w:p>
      <w:pPr>
        <w:widowControl/>
        <w:ind w:firstLine="750" w:firstLineChars="250"/>
        <w:jc w:val="left"/>
        <w:rPr>
          <w:rFonts w:hint="eastAsia" w:eastAsia="仿宋_GB2312"/>
          <w:color w:val="auto"/>
          <w:kern w:val="0"/>
          <w:sz w:val="30"/>
          <w:szCs w:val="30"/>
        </w:rPr>
      </w:pPr>
      <w:r>
        <w:rPr>
          <w:rFonts w:hint="eastAsia" w:eastAsia="仿宋_GB2312"/>
          <w:color w:val="auto"/>
          <w:kern w:val="0"/>
          <w:sz w:val="30"/>
          <w:szCs w:val="30"/>
          <w:lang w:val="en-US" w:eastAsia="zh-CN"/>
        </w:rPr>
        <w:t>2021</w:t>
      </w:r>
      <w:r>
        <w:rPr>
          <w:rFonts w:eastAsia="仿宋_GB2312"/>
          <w:color w:val="auto"/>
          <w:kern w:val="0"/>
          <w:sz w:val="30"/>
          <w:szCs w:val="30"/>
        </w:rPr>
        <w:t xml:space="preserve">年部门财政拨款收入  </w:t>
      </w:r>
      <w:r>
        <w:rPr>
          <w:rFonts w:hint="eastAsia" w:eastAsia="仿宋_GB2312"/>
          <w:color w:val="auto"/>
          <w:kern w:val="0"/>
          <w:sz w:val="30"/>
          <w:szCs w:val="30"/>
          <w:lang w:val="en-US" w:eastAsia="zh-CN"/>
        </w:rPr>
        <w:t>3532.34</w:t>
      </w:r>
      <w:r>
        <w:rPr>
          <w:rFonts w:eastAsia="仿宋_GB2312"/>
          <w:color w:val="auto"/>
          <w:kern w:val="0"/>
          <w:sz w:val="30"/>
          <w:szCs w:val="30"/>
        </w:rPr>
        <w:t xml:space="preserve">万元，其中:本年收入 </w:t>
      </w:r>
      <w:r>
        <w:rPr>
          <w:rFonts w:hint="eastAsia" w:eastAsia="仿宋_GB2312"/>
          <w:color w:val="auto"/>
          <w:kern w:val="0"/>
          <w:sz w:val="30"/>
          <w:szCs w:val="30"/>
          <w:lang w:val="en-US" w:eastAsia="zh-CN"/>
        </w:rPr>
        <w:t>3532.34</w:t>
      </w:r>
      <w:r>
        <w:rPr>
          <w:rFonts w:eastAsia="仿宋_GB2312"/>
          <w:color w:val="auto"/>
          <w:kern w:val="0"/>
          <w:sz w:val="30"/>
          <w:szCs w:val="30"/>
        </w:rPr>
        <w:t>万元，</w:t>
      </w:r>
      <w:r>
        <w:rPr>
          <w:rFonts w:hint="eastAsia" w:eastAsia="仿宋_GB2312"/>
          <w:color w:val="auto"/>
          <w:kern w:val="0"/>
          <w:sz w:val="30"/>
          <w:szCs w:val="30"/>
          <w:lang w:val="en-US" w:eastAsia="zh-CN"/>
        </w:rPr>
        <w:t>上年结转结余</w:t>
      </w:r>
      <w:r>
        <w:rPr>
          <w:rFonts w:eastAsia="仿宋_GB2312"/>
          <w:color w:val="auto"/>
          <w:kern w:val="0"/>
          <w:sz w:val="30"/>
          <w:szCs w:val="30"/>
        </w:rPr>
        <w:t>收入</w:t>
      </w:r>
      <w:r>
        <w:rPr>
          <w:rFonts w:hint="eastAsia" w:eastAsia="仿宋_GB2312"/>
          <w:color w:val="auto"/>
          <w:kern w:val="0"/>
          <w:sz w:val="30"/>
          <w:szCs w:val="30"/>
          <w:lang w:val="en-US" w:eastAsia="zh-CN"/>
        </w:rPr>
        <w:t>0</w:t>
      </w:r>
      <w:r>
        <w:rPr>
          <w:rFonts w:eastAsia="仿宋_GB2312"/>
          <w:color w:val="auto"/>
          <w:kern w:val="0"/>
          <w:sz w:val="30"/>
          <w:szCs w:val="30"/>
        </w:rPr>
        <w:t>万元。本年收入中，一般公共预算财政拨款</w:t>
      </w:r>
      <w:r>
        <w:rPr>
          <w:rFonts w:hint="eastAsia" w:eastAsia="仿宋_GB2312"/>
          <w:color w:val="auto"/>
          <w:kern w:val="0"/>
          <w:sz w:val="30"/>
          <w:szCs w:val="30"/>
          <w:lang w:val="en-US" w:eastAsia="zh-CN"/>
        </w:rPr>
        <w:t>3532.34</w:t>
      </w:r>
      <w:r>
        <w:rPr>
          <w:rFonts w:eastAsia="仿宋_GB2312"/>
          <w:color w:val="auto"/>
          <w:kern w:val="0"/>
          <w:sz w:val="30"/>
          <w:szCs w:val="30"/>
        </w:rPr>
        <w:t>万元，政府性基金财政拨款</w:t>
      </w:r>
      <w:r>
        <w:rPr>
          <w:rFonts w:hint="eastAsia" w:eastAsia="仿宋_GB2312"/>
          <w:color w:val="auto"/>
          <w:kern w:val="0"/>
          <w:sz w:val="30"/>
          <w:szCs w:val="30"/>
          <w:lang w:val="en-US" w:eastAsia="zh-CN"/>
        </w:rPr>
        <w:t>0</w:t>
      </w:r>
      <w:r>
        <w:rPr>
          <w:rFonts w:eastAsia="仿宋_GB2312"/>
          <w:color w:val="auto"/>
          <w:kern w:val="0"/>
          <w:sz w:val="30"/>
          <w:szCs w:val="30"/>
        </w:rPr>
        <w:t>万元，国有资本经营</w:t>
      </w:r>
      <w:r>
        <w:rPr>
          <w:rFonts w:hint="eastAsia" w:eastAsia="仿宋_GB2312"/>
          <w:color w:val="auto"/>
          <w:kern w:val="0"/>
          <w:sz w:val="30"/>
          <w:szCs w:val="30"/>
        </w:rPr>
        <w:t>预算</w:t>
      </w:r>
      <w:r>
        <w:rPr>
          <w:rFonts w:eastAsia="仿宋_GB2312"/>
          <w:color w:val="auto"/>
          <w:kern w:val="0"/>
          <w:sz w:val="30"/>
          <w:szCs w:val="30"/>
        </w:rPr>
        <w:t>财政拨款</w:t>
      </w:r>
      <w:r>
        <w:rPr>
          <w:rFonts w:hint="eastAsia" w:eastAsia="仿宋_GB2312"/>
          <w:color w:val="auto"/>
          <w:kern w:val="0"/>
          <w:sz w:val="30"/>
          <w:szCs w:val="30"/>
          <w:lang w:val="en-US" w:eastAsia="zh-CN"/>
        </w:rPr>
        <w:t>0</w:t>
      </w:r>
      <w:r>
        <w:rPr>
          <w:rFonts w:eastAsia="仿宋_GB2312"/>
          <w:color w:val="auto"/>
          <w:kern w:val="0"/>
          <w:sz w:val="30"/>
          <w:szCs w:val="30"/>
        </w:rPr>
        <w:t>万元</w:t>
      </w:r>
      <w:r>
        <w:rPr>
          <w:rFonts w:hint="eastAsia" w:eastAsia="仿宋_GB2312"/>
          <w:color w:val="auto"/>
          <w:kern w:val="0"/>
          <w:sz w:val="30"/>
          <w:szCs w:val="30"/>
          <w:lang w:eastAsia="zh-CN"/>
        </w:rPr>
        <w:t>，</w:t>
      </w:r>
      <w:r>
        <w:rPr>
          <w:rFonts w:hint="eastAsia" w:eastAsia="仿宋_GB2312"/>
          <w:color w:val="auto"/>
          <w:kern w:val="0"/>
          <w:sz w:val="30"/>
          <w:szCs w:val="30"/>
          <w:lang w:val="en-US" w:eastAsia="zh-CN"/>
        </w:rPr>
        <w:t>财政专户管理资金拨款0</w:t>
      </w:r>
      <w:r>
        <w:rPr>
          <w:rFonts w:eastAsia="仿宋_GB2312"/>
          <w:color w:val="auto"/>
          <w:kern w:val="0"/>
          <w:sz w:val="30"/>
          <w:szCs w:val="30"/>
        </w:rPr>
        <w:t>万元。</w:t>
      </w:r>
    </w:p>
    <w:p>
      <w:pPr>
        <w:widowControl/>
        <w:ind w:firstLine="600" w:firstLineChars="200"/>
        <w:jc w:val="left"/>
        <w:rPr>
          <w:rFonts w:eastAsia="仿宋_GB2312"/>
          <w:color w:val="auto"/>
          <w:kern w:val="0"/>
          <w:sz w:val="30"/>
          <w:szCs w:val="30"/>
        </w:rPr>
      </w:pPr>
      <w:r>
        <w:rPr>
          <w:rFonts w:hint="eastAsia" w:eastAsia="仿宋_GB2312"/>
          <w:color w:val="auto"/>
          <w:kern w:val="0"/>
          <w:sz w:val="30"/>
          <w:szCs w:val="30"/>
        </w:rPr>
        <w:t>与上年对比</w:t>
      </w:r>
      <w:r>
        <w:rPr>
          <w:rFonts w:hint="eastAsia" w:ascii="楷体" w:hAnsi="楷体" w:eastAsia="楷体" w:cs="楷体"/>
          <w:color w:val="auto"/>
          <w:kern w:val="0"/>
          <w:sz w:val="30"/>
          <w:szCs w:val="30"/>
          <w:lang w:val="en-US" w:eastAsia="zh-CN"/>
        </w:rPr>
        <w:t>减少841.77万元</w:t>
      </w:r>
      <w:r>
        <w:rPr>
          <w:rFonts w:hint="eastAsia" w:ascii="楷体" w:hAnsi="楷体" w:eastAsia="楷体" w:cs="楷体"/>
          <w:color w:val="auto"/>
          <w:kern w:val="0"/>
          <w:sz w:val="30"/>
          <w:szCs w:val="30"/>
        </w:rPr>
        <w:t>，</w:t>
      </w:r>
      <w:r>
        <w:rPr>
          <w:rFonts w:hint="eastAsia" w:eastAsia="仿宋_GB2312"/>
          <w:color w:val="auto"/>
          <w:kern w:val="0"/>
          <w:sz w:val="30"/>
          <w:szCs w:val="30"/>
        </w:rPr>
        <w:t>主要原因分析</w:t>
      </w:r>
      <w:r>
        <w:rPr>
          <w:rFonts w:hint="eastAsia" w:eastAsia="仿宋_GB2312"/>
          <w:color w:val="auto"/>
          <w:kern w:val="0"/>
          <w:sz w:val="30"/>
          <w:szCs w:val="30"/>
          <w:lang w:val="en-US" w:eastAsia="zh-CN"/>
        </w:rPr>
        <w:t>项目预算减少</w:t>
      </w:r>
      <w:r>
        <w:rPr>
          <w:rFonts w:hint="eastAsia" w:ascii="楷体" w:hAnsi="楷体" w:eastAsia="楷体" w:cs="楷体"/>
          <w:color w:val="auto"/>
          <w:kern w:val="0"/>
          <w:sz w:val="30"/>
          <w:szCs w:val="30"/>
        </w:rPr>
        <w:t>。</w:t>
      </w:r>
    </w:p>
    <w:p>
      <w:pPr>
        <w:widowControl/>
        <w:ind w:firstLine="600" w:firstLineChars="200"/>
        <w:jc w:val="left"/>
        <w:rPr>
          <w:rFonts w:ascii="黑体" w:hAnsi="黑体" w:eastAsia="黑体"/>
          <w:color w:val="auto"/>
          <w:kern w:val="0"/>
          <w:sz w:val="30"/>
          <w:szCs w:val="30"/>
        </w:rPr>
      </w:pPr>
      <w:r>
        <w:rPr>
          <w:rFonts w:ascii="黑体" w:hAnsi="黑体" w:eastAsia="黑体"/>
          <w:color w:val="auto"/>
          <w:kern w:val="0"/>
          <w:sz w:val="30"/>
          <w:szCs w:val="30"/>
        </w:rPr>
        <w:t>四、预算单位支出情况</w:t>
      </w:r>
    </w:p>
    <w:p>
      <w:pPr>
        <w:widowControl/>
        <w:ind w:firstLine="600" w:firstLineChars="200"/>
        <w:jc w:val="left"/>
        <w:rPr>
          <w:rFonts w:hint="default" w:eastAsia="仿宋_GB2312"/>
          <w:color w:val="auto"/>
          <w:kern w:val="0"/>
          <w:sz w:val="30"/>
          <w:szCs w:val="30"/>
          <w:lang w:val="en-US"/>
        </w:rPr>
      </w:pPr>
      <w:r>
        <w:rPr>
          <w:rFonts w:hint="eastAsia" w:eastAsia="仿宋_GB2312"/>
          <w:color w:val="auto"/>
          <w:kern w:val="0"/>
          <w:sz w:val="30"/>
          <w:szCs w:val="30"/>
          <w:lang w:val="en-US" w:eastAsia="zh-CN"/>
        </w:rPr>
        <w:t>2021</w:t>
      </w:r>
      <w:r>
        <w:rPr>
          <w:rFonts w:eastAsia="仿宋_GB2312"/>
          <w:color w:val="auto"/>
          <w:kern w:val="0"/>
          <w:sz w:val="30"/>
          <w:szCs w:val="30"/>
        </w:rPr>
        <w:t xml:space="preserve">年部门预算总支出 </w:t>
      </w:r>
      <w:r>
        <w:rPr>
          <w:rFonts w:hint="eastAsia" w:eastAsia="仿宋_GB2312"/>
          <w:color w:val="auto"/>
          <w:kern w:val="0"/>
          <w:sz w:val="30"/>
          <w:szCs w:val="30"/>
          <w:lang w:val="en-US" w:eastAsia="zh-CN"/>
        </w:rPr>
        <w:t>3532.34</w:t>
      </w:r>
      <w:r>
        <w:rPr>
          <w:rFonts w:eastAsia="仿宋_GB2312"/>
          <w:color w:val="auto"/>
          <w:kern w:val="0"/>
          <w:sz w:val="30"/>
          <w:szCs w:val="30"/>
        </w:rPr>
        <w:t>万元。</w:t>
      </w:r>
      <w:r>
        <w:rPr>
          <w:rFonts w:hint="eastAsia" w:eastAsia="仿宋_GB2312"/>
          <w:color w:val="auto"/>
          <w:kern w:val="0"/>
          <w:sz w:val="30"/>
          <w:szCs w:val="30"/>
        </w:rPr>
        <w:t>财政拨款</w:t>
      </w:r>
      <w:r>
        <w:rPr>
          <w:rFonts w:eastAsia="仿宋_GB2312"/>
          <w:color w:val="auto"/>
          <w:kern w:val="0"/>
          <w:sz w:val="30"/>
          <w:szCs w:val="30"/>
        </w:rPr>
        <w:t xml:space="preserve">安排支出 </w:t>
      </w:r>
      <w:r>
        <w:rPr>
          <w:rFonts w:hint="eastAsia" w:eastAsia="仿宋_GB2312"/>
          <w:color w:val="auto"/>
          <w:kern w:val="0"/>
          <w:sz w:val="30"/>
          <w:szCs w:val="30"/>
          <w:lang w:val="en-US" w:eastAsia="zh-CN"/>
        </w:rPr>
        <w:t>3532.34</w:t>
      </w:r>
      <w:r>
        <w:rPr>
          <w:rFonts w:eastAsia="仿宋_GB2312"/>
          <w:color w:val="auto"/>
          <w:kern w:val="0"/>
          <w:sz w:val="30"/>
          <w:szCs w:val="30"/>
        </w:rPr>
        <w:t>万元，其中</w:t>
      </w:r>
      <w:r>
        <w:rPr>
          <w:rFonts w:hint="eastAsia" w:eastAsia="仿宋_GB2312"/>
          <w:color w:val="auto"/>
          <w:kern w:val="0"/>
          <w:sz w:val="30"/>
          <w:szCs w:val="30"/>
        </w:rPr>
        <w:t>：</w:t>
      </w:r>
      <w:r>
        <w:rPr>
          <w:rFonts w:eastAsia="仿宋_GB2312"/>
          <w:color w:val="auto"/>
          <w:kern w:val="0"/>
          <w:sz w:val="30"/>
          <w:szCs w:val="30"/>
        </w:rPr>
        <w:t>基本支出</w:t>
      </w:r>
      <w:r>
        <w:rPr>
          <w:rFonts w:hint="eastAsia" w:eastAsia="仿宋_GB2312"/>
          <w:color w:val="auto"/>
          <w:kern w:val="0"/>
          <w:sz w:val="30"/>
          <w:szCs w:val="30"/>
          <w:lang w:val="en-US" w:eastAsia="zh-CN"/>
        </w:rPr>
        <w:t>508.66</w:t>
      </w:r>
      <w:r>
        <w:rPr>
          <w:rFonts w:eastAsia="仿宋_GB2312"/>
          <w:color w:val="auto"/>
          <w:kern w:val="0"/>
          <w:sz w:val="30"/>
          <w:szCs w:val="30"/>
        </w:rPr>
        <w:t>万元</w:t>
      </w:r>
      <w:r>
        <w:rPr>
          <w:rFonts w:hint="eastAsia" w:eastAsia="仿宋_GB2312"/>
          <w:color w:val="auto"/>
          <w:kern w:val="0"/>
          <w:sz w:val="30"/>
          <w:szCs w:val="30"/>
        </w:rPr>
        <w:t>，与上年对比</w:t>
      </w:r>
      <w:r>
        <w:rPr>
          <w:rFonts w:hint="eastAsia" w:ascii="楷体" w:hAnsi="楷体" w:eastAsia="楷体" w:cs="楷体"/>
          <w:color w:val="auto"/>
          <w:kern w:val="0"/>
          <w:sz w:val="30"/>
          <w:szCs w:val="30"/>
          <w:lang w:val="en-US" w:eastAsia="zh-CN"/>
        </w:rPr>
        <w:t>减少148.97</w:t>
      </w:r>
      <w:r>
        <w:rPr>
          <w:rFonts w:eastAsia="仿宋_GB2312"/>
          <w:color w:val="auto"/>
          <w:kern w:val="0"/>
          <w:sz w:val="30"/>
          <w:szCs w:val="30"/>
        </w:rPr>
        <w:t>万元</w:t>
      </w:r>
      <w:r>
        <w:rPr>
          <w:rFonts w:hint="eastAsia" w:ascii="楷体" w:hAnsi="楷体" w:eastAsia="楷体" w:cs="楷体"/>
          <w:color w:val="auto"/>
          <w:kern w:val="0"/>
          <w:sz w:val="30"/>
          <w:szCs w:val="30"/>
        </w:rPr>
        <w:t>，</w:t>
      </w:r>
      <w:r>
        <w:rPr>
          <w:rFonts w:hint="eastAsia" w:eastAsia="仿宋_GB2312"/>
          <w:color w:val="auto"/>
          <w:kern w:val="0"/>
          <w:sz w:val="30"/>
          <w:szCs w:val="30"/>
        </w:rPr>
        <w:t>主要原因分析</w:t>
      </w:r>
      <w:r>
        <w:rPr>
          <w:rFonts w:hint="eastAsia" w:eastAsia="仿宋_GB2312"/>
          <w:color w:val="auto"/>
          <w:kern w:val="0"/>
          <w:sz w:val="30"/>
          <w:szCs w:val="30"/>
          <w:lang w:val="en-US" w:eastAsia="zh-CN"/>
        </w:rPr>
        <w:t>是计生协管员经费只预算3个月经费，上年是预算1年经费</w:t>
      </w:r>
      <w:r>
        <w:rPr>
          <w:rFonts w:hint="eastAsia" w:ascii="楷体" w:hAnsi="楷体" w:eastAsia="楷体" w:cs="楷体"/>
          <w:color w:val="auto"/>
          <w:kern w:val="0"/>
          <w:sz w:val="30"/>
          <w:szCs w:val="30"/>
        </w:rPr>
        <w:t>；</w:t>
      </w:r>
      <w:r>
        <w:rPr>
          <w:rFonts w:eastAsia="仿宋_GB2312"/>
          <w:color w:val="auto"/>
          <w:kern w:val="0"/>
          <w:sz w:val="30"/>
          <w:szCs w:val="30"/>
        </w:rPr>
        <w:t>项目支出</w:t>
      </w:r>
      <w:r>
        <w:rPr>
          <w:rFonts w:hint="eastAsia" w:eastAsia="仿宋_GB2312"/>
          <w:color w:val="auto"/>
          <w:kern w:val="0"/>
          <w:sz w:val="30"/>
          <w:szCs w:val="30"/>
          <w:lang w:val="en-US" w:eastAsia="zh-CN"/>
        </w:rPr>
        <w:t>3016.69</w:t>
      </w:r>
      <w:r>
        <w:rPr>
          <w:rFonts w:eastAsia="仿宋_GB2312"/>
          <w:color w:val="auto"/>
          <w:kern w:val="0"/>
          <w:sz w:val="30"/>
          <w:szCs w:val="30"/>
        </w:rPr>
        <w:t>万元</w:t>
      </w:r>
      <w:r>
        <w:rPr>
          <w:rFonts w:hint="eastAsia" w:eastAsia="仿宋_GB2312"/>
          <w:color w:val="auto"/>
          <w:kern w:val="0"/>
          <w:sz w:val="30"/>
          <w:szCs w:val="30"/>
        </w:rPr>
        <w:t>，与上年对比</w:t>
      </w:r>
      <w:r>
        <w:rPr>
          <w:rFonts w:hint="eastAsia" w:ascii="楷体" w:hAnsi="楷体" w:eastAsia="楷体" w:cs="楷体"/>
          <w:color w:val="auto"/>
          <w:kern w:val="0"/>
          <w:sz w:val="30"/>
          <w:szCs w:val="30"/>
          <w:lang w:val="en-US" w:eastAsia="zh-CN"/>
        </w:rPr>
        <w:t>减少689.79</w:t>
      </w:r>
      <w:r>
        <w:rPr>
          <w:rFonts w:eastAsia="仿宋_GB2312"/>
          <w:color w:val="auto"/>
          <w:kern w:val="0"/>
          <w:sz w:val="30"/>
          <w:szCs w:val="30"/>
        </w:rPr>
        <w:t>万元</w:t>
      </w:r>
      <w:r>
        <w:rPr>
          <w:rFonts w:hint="eastAsia" w:ascii="楷体" w:hAnsi="楷体" w:eastAsia="楷体" w:cs="楷体"/>
          <w:color w:val="auto"/>
          <w:kern w:val="0"/>
          <w:sz w:val="30"/>
          <w:szCs w:val="30"/>
        </w:rPr>
        <w:t>，</w:t>
      </w:r>
      <w:r>
        <w:rPr>
          <w:rFonts w:hint="eastAsia" w:eastAsia="仿宋_GB2312"/>
          <w:color w:val="auto"/>
          <w:kern w:val="0"/>
          <w:sz w:val="30"/>
          <w:szCs w:val="30"/>
        </w:rPr>
        <w:t>增减变化的原因主要是</w:t>
      </w:r>
      <w:bookmarkStart w:id="0" w:name="_GoBack"/>
      <w:bookmarkEnd w:id="0"/>
      <w:r>
        <w:rPr>
          <w:rFonts w:hint="eastAsia" w:eastAsia="仿宋_GB2312"/>
          <w:color w:val="auto"/>
          <w:kern w:val="0"/>
          <w:sz w:val="30"/>
          <w:szCs w:val="30"/>
        </w:rPr>
        <w:t>：</w:t>
      </w:r>
      <w:r>
        <w:rPr>
          <w:rFonts w:hint="eastAsia" w:eastAsia="仿宋_GB2312"/>
          <w:color w:val="auto"/>
          <w:kern w:val="0"/>
          <w:sz w:val="30"/>
          <w:szCs w:val="30"/>
          <w:lang w:val="en-US" w:eastAsia="zh-CN"/>
        </w:rPr>
        <w:t>仅</w:t>
      </w:r>
      <w:r>
        <w:rPr>
          <w:rFonts w:hint="eastAsia" w:eastAsia="仿宋_GB2312"/>
          <w:color w:val="auto"/>
          <w:kern w:val="0"/>
          <w:sz w:val="30"/>
          <w:szCs w:val="30"/>
        </w:rPr>
        <w:t>高龄老人补助及服务专项经费</w:t>
      </w:r>
      <w:r>
        <w:rPr>
          <w:rFonts w:hint="eastAsia" w:eastAsia="仿宋_GB2312"/>
          <w:color w:val="auto"/>
          <w:kern w:val="0"/>
          <w:sz w:val="30"/>
          <w:szCs w:val="30"/>
          <w:lang w:val="en-US" w:eastAsia="zh-CN"/>
        </w:rPr>
        <w:t>就减少742.4万。</w:t>
      </w:r>
    </w:p>
    <w:p>
      <w:pPr>
        <w:widowControl/>
        <w:ind w:firstLine="600" w:firstLineChars="200"/>
        <w:jc w:val="left"/>
        <w:rPr>
          <w:rFonts w:eastAsia="仿宋_GB2312"/>
          <w:color w:val="auto"/>
          <w:kern w:val="0"/>
          <w:sz w:val="30"/>
          <w:szCs w:val="30"/>
        </w:rPr>
      </w:pPr>
      <w:r>
        <w:rPr>
          <w:rFonts w:ascii="楷体_GB2312" w:eastAsia="楷体_GB2312"/>
          <w:color w:val="auto"/>
          <w:kern w:val="0"/>
          <w:sz w:val="30"/>
          <w:szCs w:val="30"/>
        </w:rPr>
        <w:t>（一）</w:t>
      </w:r>
      <w:r>
        <w:rPr>
          <w:rFonts w:hint="eastAsia" w:ascii="楷体_GB2312" w:eastAsia="楷体_GB2312"/>
          <w:color w:val="auto"/>
          <w:kern w:val="0"/>
          <w:sz w:val="30"/>
          <w:szCs w:val="30"/>
        </w:rPr>
        <w:t>财政拨款安排</w:t>
      </w:r>
      <w:r>
        <w:rPr>
          <w:rFonts w:ascii="楷体_GB2312" w:eastAsia="楷体_GB2312"/>
          <w:color w:val="auto"/>
          <w:kern w:val="0"/>
          <w:sz w:val="30"/>
          <w:szCs w:val="30"/>
        </w:rPr>
        <w:t>支出按功能科目分类情况</w:t>
      </w:r>
    </w:p>
    <w:p>
      <w:pPr>
        <w:numPr>
          <w:ilvl w:val="0"/>
          <w:numId w:val="0"/>
        </w:numPr>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按支出功能科目分类：</w:t>
      </w:r>
    </w:p>
    <w:p>
      <w:pPr>
        <w:numPr>
          <w:ilvl w:val="0"/>
          <w:numId w:val="0"/>
        </w:numPr>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1、2080501行政单位离退休11.61万元，主要反映行政单位离退休人员经费；</w:t>
      </w:r>
    </w:p>
    <w:p>
      <w:pPr>
        <w:numPr>
          <w:ilvl w:val="0"/>
          <w:numId w:val="0"/>
        </w:numPr>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2、2080505机关事业单位基本养老保险缴费支出34.68万元，主要用于机关事业单位基本养老保险缴费；</w:t>
      </w:r>
    </w:p>
    <w:p>
      <w:pPr>
        <w:numPr>
          <w:ilvl w:val="0"/>
          <w:numId w:val="0"/>
        </w:numPr>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3、2081002老年福利100.97万元，主要用于发放高龄老人补助；</w:t>
      </w:r>
    </w:p>
    <w:p>
      <w:pPr>
        <w:numPr>
          <w:ilvl w:val="0"/>
          <w:numId w:val="0"/>
        </w:numPr>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4、2100101行政运行348.57万元，主要用于卫生健康管理事务行政机关运行及人员经费、办公经费支出；</w:t>
      </w:r>
    </w:p>
    <w:p>
      <w:pPr>
        <w:numPr>
          <w:ilvl w:val="0"/>
          <w:numId w:val="0"/>
        </w:numPr>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5、2100102一般行政管理事务218.62万元，主要用于卫生健康机关用于宣传、人才培养、行业管理等专项事务经费支出；</w:t>
      </w:r>
    </w:p>
    <w:p>
      <w:pPr>
        <w:numPr>
          <w:ilvl w:val="0"/>
          <w:numId w:val="0"/>
        </w:numPr>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6、2100201综合医院100万元，主要用于公立医院综合改革专项经费；</w:t>
      </w:r>
    </w:p>
    <w:p>
      <w:pPr>
        <w:numPr>
          <w:ilvl w:val="0"/>
          <w:numId w:val="0"/>
        </w:numPr>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7、2100205 精神病医院5万，主要用于精神病医院的支出；</w:t>
      </w:r>
    </w:p>
    <w:p>
      <w:pPr>
        <w:numPr>
          <w:ilvl w:val="0"/>
          <w:numId w:val="0"/>
        </w:numPr>
        <w:rPr>
          <w:rFonts w:hint="eastAsia"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8、2100408</w:t>
      </w:r>
      <w:r>
        <w:rPr>
          <w:rFonts w:hint="eastAsia" w:ascii="仿宋_GB2312" w:hAnsi="仿宋_GB2312" w:eastAsia="仿宋_GB2312" w:cs="仿宋_GB2312"/>
          <w:color w:val="auto"/>
          <w:kern w:val="0"/>
          <w:sz w:val="30"/>
          <w:szCs w:val="30"/>
          <w:shd w:val="clear" w:fill="FFFFFF"/>
          <w:lang w:val="en-US" w:eastAsia="zh-CN" w:bidi="ar"/>
        </w:rPr>
        <w:tab/>
      </w:r>
      <w:r>
        <w:rPr>
          <w:rFonts w:hint="eastAsia" w:ascii="仿宋_GB2312" w:hAnsi="仿宋_GB2312" w:eastAsia="仿宋_GB2312" w:cs="仿宋_GB2312"/>
          <w:color w:val="auto"/>
          <w:kern w:val="0"/>
          <w:sz w:val="30"/>
          <w:szCs w:val="30"/>
          <w:shd w:val="clear" w:fill="FFFFFF"/>
          <w:lang w:val="en-US" w:eastAsia="zh-CN" w:bidi="ar"/>
        </w:rPr>
        <w:t>基本公共卫生服务797.54万元，主要用于国家基本公共卫生服务专项；</w:t>
      </w:r>
    </w:p>
    <w:p>
      <w:pPr>
        <w:numPr>
          <w:ilvl w:val="0"/>
          <w:numId w:val="0"/>
        </w:numPr>
        <w:rPr>
          <w:rFonts w:hint="default"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9、</w:t>
      </w:r>
      <w:r>
        <w:rPr>
          <w:rFonts w:hint="default" w:ascii="仿宋_GB2312" w:hAnsi="仿宋_GB2312" w:eastAsia="仿宋_GB2312" w:cs="仿宋_GB2312"/>
          <w:color w:val="auto"/>
          <w:kern w:val="0"/>
          <w:sz w:val="30"/>
          <w:szCs w:val="30"/>
          <w:shd w:val="clear" w:fill="FFFFFF"/>
          <w:lang w:val="en-US" w:eastAsia="zh-CN" w:bidi="ar"/>
        </w:rPr>
        <w:t>2100499</w:t>
      </w:r>
      <w:r>
        <w:rPr>
          <w:rFonts w:hint="default" w:ascii="仿宋_GB2312" w:hAnsi="仿宋_GB2312" w:eastAsia="仿宋_GB2312" w:cs="仿宋_GB2312"/>
          <w:color w:val="auto"/>
          <w:kern w:val="0"/>
          <w:sz w:val="30"/>
          <w:szCs w:val="30"/>
          <w:shd w:val="clear" w:fill="FFFFFF"/>
          <w:lang w:val="en-US" w:eastAsia="zh-CN" w:bidi="ar"/>
        </w:rPr>
        <w:tab/>
      </w:r>
      <w:r>
        <w:rPr>
          <w:rFonts w:hint="default" w:ascii="仿宋_GB2312" w:hAnsi="仿宋_GB2312" w:eastAsia="仿宋_GB2312" w:cs="仿宋_GB2312"/>
          <w:color w:val="auto"/>
          <w:kern w:val="0"/>
          <w:sz w:val="30"/>
          <w:szCs w:val="30"/>
          <w:shd w:val="clear" w:fill="FFFFFF"/>
          <w:lang w:val="en-US" w:eastAsia="zh-CN" w:bidi="ar"/>
        </w:rPr>
        <w:t>其他公共卫生支出</w:t>
      </w:r>
      <w:r>
        <w:rPr>
          <w:rFonts w:hint="eastAsia" w:ascii="仿宋_GB2312" w:hAnsi="仿宋_GB2312" w:eastAsia="仿宋_GB2312" w:cs="仿宋_GB2312"/>
          <w:color w:val="auto"/>
          <w:kern w:val="0"/>
          <w:sz w:val="30"/>
          <w:szCs w:val="30"/>
          <w:shd w:val="clear" w:fill="FFFFFF"/>
          <w:lang w:val="en-US" w:eastAsia="zh-CN" w:bidi="ar"/>
        </w:rPr>
        <w:t>1001.89万元，主要用于其他公共卫生项目支出；</w:t>
      </w:r>
    </w:p>
    <w:p>
      <w:pPr>
        <w:numPr>
          <w:ilvl w:val="0"/>
          <w:numId w:val="0"/>
        </w:numPr>
        <w:rPr>
          <w:rFonts w:hint="default"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10、</w:t>
      </w:r>
      <w:r>
        <w:rPr>
          <w:rFonts w:hint="default" w:ascii="仿宋_GB2312" w:hAnsi="仿宋_GB2312" w:eastAsia="仿宋_GB2312" w:cs="仿宋_GB2312"/>
          <w:color w:val="auto"/>
          <w:kern w:val="0"/>
          <w:sz w:val="30"/>
          <w:szCs w:val="30"/>
          <w:shd w:val="clear" w:fill="FFFFFF"/>
          <w:lang w:val="en-US" w:eastAsia="zh-CN" w:bidi="ar"/>
        </w:rPr>
        <w:t>2100699</w:t>
      </w:r>
      <w:r>
        <w:rPr>
          <w:rFonts w:hint="default" w:ascii="仿宋_GB2312" w:hAnsi="仿宋_GB2312" w:eastAsia="仿宋_GB2312" w:cs="仿宋_GB2312"/>
          <w:color w:val="auto"/>
          <w:kern w:val="0"/>
          <w:sz w:val="30"/>
          <w:szCs w:val="30"/>
          <w:shd w:val="clear" w:fill="FFFFFF"/>
          <w:lang w:val="en-US" w:eastAsia="zh-CN" w:bidi="ar"/>
        </w:rPr>
        <w:tab/>
      </w:r>
      <w:r>
        <w:rPr>
          <w:rFonts w:hint="default" w:ascii="仿宋_GB2312" w:hAnsi="仿宋_GB2312" w:eastAsia="仿宋_GB2312" w:cs="仿宋_GB2312"/>
          <w:color w:val="auto"/>
          <w:kern w:val="0"/>
          <w:sz w:val="30"/>
          <w:szCs w:val="30"/>
          <w:shd w:val="clear" w:fill="FFFFFF"/>
          <w:lang w:val="en-US" w:eastAsia="zh-CN" w:bidi="ar"/>
        </w:rPr>
        <w:t>其他中医药支出1</w:t>
      </w:r>
      <w:r>
        <w:rPr>
          <w:rFonts w:hint="eastAsia" w:ascii="仿宋_GB2312" w:hAnsi="仿宋_GB2312" w:eastAsia="仿宋_GB2312" w:cs="仿宋_GB2312"/>
          <w:color w:val="auto"/>
          <w:kern w:val="0"/>
          <w:sz w:val="30"/>
          <w:szCs w:val="30"/>
          <w:shd w:val="clear" w:fill="FFFFFF"/>
          <w:lang w:val="en-US" w:eastAsia="zh-CN" w:bidi="ar"/>
        </w:rPr>
        <w:t>2</w:t>
      </w:r>
      <w:r>
        <w:rPr>
          <w:rFonts w:hint="default" w:ascii="仿宋_GB2312" w:hAnsi="仿宋_GB2312" w:eastAsia="仿宋_GB2312" w:cs="仿宋_GB2312"/>
          <w:color w:val="auto"/>
          <w:kern w:val="0"/>
          <w:sz w:val="30"/>
          <w:szCs w:val="30"/>
          <w:shd w:val="clear" w:fill="FFFFFF"/>
          <w:lang w:val="en-US" w:eastAsia="zh-CN" w:bidi="ar"/>
        </w:rPr>
        <w:t>.00</w:t>
      </w:r>
      <w:r>
        <w:rPr>
          <w:rFonts w:hint="eastAsia" w:ascii="仿宋_GB2312" w:hAnsi="仿宋_GB2312" w:eastAsia="仿宋_GB2312" w:cs="仿宋_GB2312"/>
          <w:color w:val="auto"/>
          <w:kern w:val="0"/>
          <w:sz w:val="30"/>
          <w:szCs w:val="30"/>
          <w:shd w:val="clear" w:fill="FFFFFF"/>
          <w:lang w:val="en-US" w:eastAsia="zh-CN" w:bidi="ar"/>
        </w:rPr>
        <w:t>万元，主要用于中医发展支出；</w:t>
      </w:r>
    </w:p>
    <w:p>
      <w:pPr>
        <w:numPr>
          <w:ilvl w:val="0"/>
          <w:numId w:val="0"/>
        </w:numPr>
        <w:rPr>
          <w:rFonts w:hint="default"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11、</w:t>
      </w:r>
      <w:r>
        <w:rPr>
          <w:rFonts w:hint="default" w:ascii="仿宋_GB2312" w:hAnsi="仿宋_GB2312" w:eastAsia="仿宋_GB2312" w:cs="仿宋_GB2312"/>
          <w:color w:val="auto"/>
          <w:kern w:val="0"/>
          <w:sz w:val="30"/>
          <w:szCs w:val="30"/>
          <w:shd w:val="clear" w:fill="FFFFFF"/>
          <w:lang w:val="en-US" w:eastAsia="zh-CN" w:bidi="ar"/>
        </w:rPr>
        <w:t>2100799</w:t>
      </w:r>
      <w:r>
        <w:rPr>
          <w:rFonts w:hint="default" w:ascii="仿宋_GB2312" w:hAnsi="仿宋_GB2312" w:eastAsia="仿宋_GB2312" w:cs="仿宋_GB2312"/>
          <w:color w:val="auto"/>
          <w:kern w:val="0"/>
          <w:sz w:val="30"/>
          <w:szCs w:val="30"/>
          <w:shd w:val="clear" w:fill="FFFFFF"/>
          <w:lang w:val="en-US" w:eastAsia="zh-CN" w:bidi="ar"/>
        </w:rPr>
        <w:tab/>
      </w:r>
      <w:r>
        <w:rPr>
          <w:rFonts w:hint="default" w:ascii="仿宋_GB2312" w:hAnsi="仿宋_GB2312" w:eastAsia="仿宋_GB2312" w:cs="仿宋_GB2312"/>
          <w:color w:val="auto"/>
          <w:kern w:val="0"/>
          <w:sz w:val="30"/>
          <w:szCs w:val="30"/>
          <w:shd w:val="clear" w:fill="FFFFFF"/>
          <w:lang w:val="en-US" w:eastAsia="zh-CN" w:bidi="ar"/>
        </w:rPr>
        <w:t>其他计划生育事务支出</w:t>
      </w:r>
      <w:r>
        <w:rPr>
          <w:rFonts w:hint="eastAsia" w:ascii="仿宋_GB2312" w:hAnsi="仿宋_GB2312" w:eastAsia="仿宋_GB2312" w:cs="仿宋_GB2312"/>
          <w:color w:val="auto"/>
          <w:kern w:val="0"/>
          <w:sz w:val="30"/>
          <w:szCs w:val="30"/>
          <w:shd w:val="clear" w:fill="FFFFFF"/>
          <w:lang w:val="en-US" w:eastAsia="zh-CN" w:bidi="ar"/>
        </w:rPr>
        <w:t>774.25万元，主要用于计划生育奖优免补专项、计划生育流动人口专管员生活补贴支出；</w:t>
      </w:r>
    </w:p>
    <w:p>
      <w:pPr>
        <w:numPr>
          <w:ilvl w:val="0"/>
          <w:numId w:val="0"/>
        </w:numPr>
        <w:rPr>
          <w:rFonts w:hint="default"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12、</w:t>
      </w:r>
      <w:r>
        <w:rPr>
          <w:rFonts w:hint="default" w:ascii="仿宋_GB2312" w:hAnsi="仿宋_GB2312" w:eastAsia="仿宋_GB2312" w:cs="仿宋_GB2312"/>
          <w:color w:val="auto"/>
          <w:kern w:val="0"/>
          <w:sz w:val="30"/>
          <w:szCs w:val="30"/>
          <w:shd w:val="clear" w:fill="FFFFFF"/>
          <w:lang w:val="en-US" w:eastAsia="zh-CN" w:bidi="ar"/>
        </w:rPr>
        <w:t>2101101行政单位医疗</w:t>
      </w:r>
      <w:r>
        <w:rPr>
          <w:rFonts w:hint="eastAsia" w:ascii="仿宋_GB2312" w:hAnsi="仿宋_GB2312" w:eastAsia="仿宋_GB2312" w:cs="仿宋_GB2312"/>
          <w:color w:val="auto"/>
          <w:kern w:val="0"/>
          <w:sz w:val="30"/>
          <w:szCs w:val="30"/>
          <w:shd w:val="clear" w:fill="FFFFFF"/>
          <w:lang w:val="en-US" w:eastAsia="zh-CN" w:bidi="ar"/>
        </w:rPr>
        <w:t>23.91万元，主要用于行政单位医疗社会保障缴费；</w:t>
      </w:r>
    </w:p>
    <w:p>
      <w:pPr>
        <w:numPr>
          <w:ilvl w:val="0"/>
          <w:numId w:val="0"/>
        </w:numPr>
        <w:rPr>
          <w:rFonts w:hint="default"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13、</w:t>
      </w:r>
      <w:r>
        <w:rPr>
          <w:rFonts w:hint="default" w:ascii="仿宋_GB2312" w:hAnsi="仿宋_GB2312" w:eastAsia="仿宋_GB2312" w:cs="仿宋_GB2312"/>
          <w:color w:val="auto"/>
          <w:kern w:val="0"/>
          <w:sz w:val="30"/>
          <w:szCs w:val="30"/>
          <w:shd w:val="clear" w:fill="FFFFFF"/>
          <w:lang w:val="en-US" w:eastAsia="zh-CN" w:bidi="ar"/>
        </w:rPr>
        <w:t>2101103公务员医疗补助</w:t>
      </w:r>
      <w:r>
        <w:rPr>
          <w:rFonts w:hint="eastAsia" w:ascii="仿宋_GB2312" w:hAnsi="仿宋_GB2312" w:eastAsia="仿宋_GB2312" w:cs="仿宋_GB2312"/>
          <w:color w:val="auto"/>
          <w:kern w:val="0"/>
          <w:sz w:val="30"/>
          <w:szCs w:val="30"/>
          <w:shd w:val="clear" w:fill="FFFFFF"/>
          <w:lang w:val="en-US" w:eastAsia="zh-CN" w:bidi="ar"/>
        </w:rPr>
        <w:t>25.22万元，主要用于公务员医疗补助社会保障缴费；</w:t>
      </w:r>
    </w:p>
    <w:p>
      <w:pPr>
        <w:numPr>
          <w:ilvl w:val="0"/>
          <w:numId w:val="0"/>
        </w:numPr>
        <w:rPr>
          <w:rFonts w:hint="default"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14、</w:t>
      </w:r>
      <w:r>
        <w:rPr>
          <w:rFonts w:hint="default" w:ascii="仿宋_GB2312" w:hAnsi="仿宋_GB2312" w:eastAsia="仿宋_GB2312" w:cs="仿宋_GB2312"/>
          <w:color w:val="auto"/>
          <w:kern w:val="0"/>
          <w:sz w:val="30"/>
          <w:szCs w:val="30"/>
          <w:shd w:val="clear" w:fill="FFFFFF"/>
          <w:lang w:val="en-US" w:eastAsia="zh-CN" w:bidi="ar"/>
        </w:rPr>
        <w:t>2101399其他医疗救助支出</w:t>
      </w:r>
      <w:r>
        <w:rPr>
          <w:rFonts w:hint="default" w:ascii="仿宋_GB2312" w:hAnsi="仿宋_GB2312" w:eastAsia="仿宋_GB2312" w:cs="仿宋_GB2312"/>
          <w:color w:val="auto"/>
          <w:kern w:val="0"/>
          <w:sz w:val="30"/>
          <w:szCs w:val="30"/>
          <w:shd w:val="clear" w:fill="FFFFFF"/>
          <w:lang w:val="en-US" w:eastAsia="zh-CN" w:bidi="ar"/>
        </w:rPr>
        <w:tab/>
      </w:r>
      <w:r>
        <w:rPr>
          <w:rFonts w:hint="eastAsia" w:ascii="仿宋_GB2312" w:hAnsi="仿宋_GB2312" w:eastAsia="仿宋_GB2312" w:cs="仿宋_GB2312"/>
          <w:color w:val="auto"/>
          <w:kern w:val="0"/>
          <w:sz w:val="30"/>
          <w:szCs w:val="30"/>
          <w:shd w:val="clear" w:fill="FFFFFF"/>
          <w:lang w:val="en-US" w:eastAsia="zh-CN" w:bidi="ar"/>
        </w:rPr>
        <w:t>38.98万元，主要用于其他医疗救助方面的支出；</w:t>
      </w:r>
    </w:p>
    <w:p>
      <w:pPr>
        <w:numPr>
          <w:ilvl w:val="0"/>
          <w:numId w:val="0"/>
        </w:numPr>
        <w:rPr>
          <w:rFonts w:hint="default" w:ascii="仿宋_GB2312" w:hAnsi="仿宋_GB2312" w:eastAsia="仿宋_GB2312" w:cs="仿宋_GB2312"/>
          <w:color w:val="auto"/>
          <w:kern w:val="0"/>
          <w:sz w:val="30"/>
          <w:szCs w:val="30"/>
          <w:shd w:val="clear" w:fill="FFFFFF"/>
          <w:lang w:val="en-US" w:eastAsia="zh-CN" w:bidi="ar"/>
        </w:rPr>
      </w:pPr>
      <w:r>
        <w:rPr>
          <w:rFonts w:hint="eastAsia" w:ascii="仿宋_GB2312" w:hAnsi="仿宋_GB2312" w:eastAsia="仿宋_GB2312" w:cs="仿宋_GB2312"/>
          <w:color w:val="auto"/>
          <w:kern w:val="0"/>
          <w:sz w:val="30"/>
          <w:szCs w:val="30"/>
          <w:shd w:val="clear" w:fill="FFFFFF"/>
          <w:lang w:val="en-US" w:eastAsia="zh-CN" w:bidi="ar"/>
        </w:rPr>
        <w:t>15、</w:t>
      </w:r>
      <w:r>
        <w:rPr>
          <w:rFonts w:hint="default" w:ascii="仿宋_GB2312" w:hAnsi="仿宋_GB2312" w:eastAsia="仿宋_GB2312" w:cs="仿宋_GB2312"/>
          <w:color w:val="auto"/>
          <w:kern w:val="0"/>
          <w:sz w:val="30"/>
          <w:szCs w:val="30"/>
          <w:shd w:val="clear" w:fill="FFFFFF"/>
          <w:lang w:val="en-US" w:eastAsia="zh-CN" w:bidi="ar"/>
        </w:rPr>
        <w:t>2210201住房公积金</w:t>
      </w:r>
      <w:r>
        <w:rPr>
          <w:rFonts w:hint="eastAsia" w:ascii="仿宋_GB2312" w:hAnsi="仿宋_GB2312" w:eastAsia="仿宋_GB2312" w:cs="仿宋_GB2312"/>
          <w:color w:val="auto"/>
          <w:kern w:val="0"/>
          <w:sz w:val="30"/>
          <w:szCs w:val="30"/>
          <w:shd w:val="clear" w:fill="FFFFFF"/>
          <w:lang w:val="en-US" w:eastAsia="zh-CN" w:bidi="ar"/>
        </w:rPr>
        <w:t>32.11万元，主要用于行政事业单位按规定为职工缴纳住房公积金；</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（二）</w:t>
      </w:r>
      <w:r>
        <w:rPr>
          <w:rFonts w:hint="eastAsia" w:ascii="楷体_GB2312" w:eastAsia="楷体_GB2312"/>
          <w:color w:val="auto"/>
          <w:kern w:val="0"/>
          <w:sz w:val="30"/>
          <w:szCs w:val="30"/>
        </w:rPr>
        <w:t>财政拨款安排</w:t>
      </w:r>
      <w:r>
        <w:rPr>
          <w:rFonts w:ascii="楷体_GB2312" w:eastAsia="楷体_GB2312"/>
          <w:color w:val="auto"/>
          <w:kern w:val="0"/>
          <w:sz w:val="30"/>
          <w:szCs w:val="30"/>
        </w:rPr>
        <w:t>支出按经济科目分类情况</w:t>
      </w:r>
    </w:p>
    <w:p>
      <w:pPr>
        <w:widowControl/>
        <w:ind w:firstLine="600" w:firstLineChars="200"/>
        <w:jc w:val="left"/>
        <w:rPr>
          <w:rFonts w:eastAsia="仿宋_GB2312"/>
          <w:color w:val="auto"/>
          <w:kern w:val="0"/>
          <w:sz w:val="30"/>
          <w:szCs w:val="30"/>
        </w:rPr>
      </w:pPr>
      <w:r>
        <w:rPr>
          <w:rFonts w:hint="eastAsia" w:eastAsia="仿宋_GB2312"/>
          <w:color w:val="auto"/>
          <w:kern w:val="0"/>
          <w:sz w:val="30"/>
          <w:szCs w:val="30"/>
        </w:rPr>
        <w:t>经济分类</w:t>
      </w:r>
      <w:r>
        <w:rPr>
          <w:rFonts w:eastAsia="仿宋_GB2312"/>
          <w:color w:val="auto"/>
          <w:kern w:val="0"/>
          <w:sz w:val="30"/>
          <w:szCs w:val="30"/>
        </w:rPr>
        <w:t>科目分组（其中：基本支出</w:t>
      </w:r>
      <w:r>
        <w:rPr>
          <w:rFonts w:hint="eastAsia" w:ascii="仿宋_GB2312" w:hAnsi="仿宋_GB2312" w:eastAsia="仿宋_GB2312" w:cs="仿宋_GB2312"/>
          <w:color w:val="auto"/>
          <w:sz w:val="30"/>
          <w:szCs w:val="30"/>
          <w:shd w:val="clear" w:fill="FFFFFF"/>
          <w:lang w:val="en-US" w:eastAsia="zh-CN"/>
        </w:rPr>
        <w:t>508.66</w:t>
      </w:r>
      <w:r>
        <w:rPr>
          <w:rFonts w:eastAsia="仿宋_GB2312"/>
          <w:color w:val="auto"/>
          <w:kern w:val="0"/>
          <w:sz w:val="30"/>
          <w:szCs w:val="30"/>
        </w:rPr>
        <w:t>万元，项目支出</w:t>
      </w:r>
      <w:r>
        <w:rPr>
          <w:rFonts w:hint="eastAsia" w:ascii="仿宋_GB2312" w:hAnsi="仿宋_GB2312" w:eastAsia="仿宋_GB2312" w:cs="仿宋_GB2312"/>
          <w:color w:val="auto"/>
          <w:sz w:val="30"/>
          <w:szCs w:val="30"/>
          <w:highlight w:val="none"/>
          <w:shd w:val="clear" w:fill="FFFFFF"/>
          <w:lang w:val="en-US" w:eastAsia="zh-CN"/>
        </w:rPr>
        <w:t>3016.69</w:t>
      </w:r>
      <w:r>
        <w:rPr>
          <w:rFonts w:eastAsia="仿宋_GB2312"/>
          <w:color w:val="auto"/>
          <w:kern w:val="0"/>
          <w:sz w:val="30"/>
          <w:szCs w:val="30"/>
        </w:rPr>
        <w:t>万元）。</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05" w:leftChars="50" w:right="6" w:rightChars="0" w:firstLine="600"/>
        <w:jc w:val="left"/>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shd w:val="clear" w:fill="FFFFFF"/>
        </w:rPr>
        <w:t>20</w:t>
      </w:r>
      <w:r>
        <w:rPr>
          <w:rFonts w:hint="eastAsia" w:ascii="仿宋_GB2312" w:hAnsi="仿宋_GB2312" w:eastAsia="仿宋_GB2312" w:cs="仿宋_GB2312"/>
          <w:color w:val="auto"/>
          <w:sz w:val="30"/>
          <w:szCs w:val="30"/>
          <w:shd w:val="clear" w:fill="FFFFFF"/>
          <w:lang w:val="en-US" w:eastAsia="zh-CN"/>
        </w:rPr>
        <w:t>21</w:t>
      </w:r>
      <w:r>
        <w:rPr>
          <w:rFonts w:hint="eastAsia" w:ascii="仿宋_GB2312" w:hAnsi="仿宋_GB2312" w:eastAsia="仿宋_GB2312" w:cs="仿宋_GB2312"/>
          <w:color w:val="auto"/>
          <w:sz w:val="30"/>
          <w:szCs w:val="30"/>
          <w:shd w:val="clear" w:fill="FFFFFF"/>
        </w:rPr>
        <w:t>年用于保障</w:t>
      </w:r>
      <w:r>
        <w:rPr>
          <w:rFonts w:hint="eastAsia" w:ascii="仿宋_GB2312" w:hAnsi="仿宋_GB2312" w:eastAsia="仿宋_GB2312" w:cs="仿宋_GB2312"/>
          <w:color w:val="auto"/>
          <w:sz w:val="30"/>
          <w:szCs w:val="30"/>
          <w:shd w:val="clear" w:fill="FFFFFF"/>
          <w:lang w:eastAsia="zh-CN"/>
        </w:rPr>
        <w:t>区</w:t>
      </w:r>
      <w:r>
        <w:rPr>
          <w:rFonts w:hint="eastAsia" w:ascii="仿宋_GB2312" w:hAnsi="仿宋_GB2312" w:eastAsia="仿宋_GB2312" w:cs="仿宋_GB2312"/>
          <w:color w:val="auto"/>
          <w:sz w:val="30"/>
          <w:szCs w:val="30"/>
          <w:shd w:val="clear" w:fill="FFFFFF"/>
        </w:rPr>
        <w:t>卫</w:t>
      </w:r>
      <w:r>
        <w:rPr>
          <w:rFonts w:hint="eastAsia" w:ascii="仿宋_GB2312" w:hAnsi="仿宋_GB2312" w:eastAsia="仿宋_GB2312" w:cs="仿宋_GB2312"/>
          <w:color w:val="auto"/>
          <w:sz w:val="30"/>
          <w:szCs w:val="30"/>
          <w:shd w:val="clear" w:fill="FFFFFF"/>
          <w:lang w:val="en-US" w:eastAsia="zh-CN"/>
        </w:rPr>
        <w:t>健</w:t>
      </w:r>
      <w:r>
        <w:rPr>
          <w:rFonts w:hint="eastAsia" w:ascii="仿宋_GB2312" w:hAnsi="仿宋_GB2312" w:eastAsia="仿宋_GB2312" w:cs="仿宋_GB2312"/>
          <w:color w:val="auto"/>
          <w:sz w:val="30"/>
          <w:szCs w:val="30"/>
          <w:shd w:val="clear" w:fill="FFFFFF"/>
          <w:lang w:eastAsia="zh-CN"/>
        </w:rPr>
        <w:t>局</w:t>
      </w:r>
      <w:r>
        <w:rPr>
          <w:rFonts w:hint="eastAsia" w:ascii="仿宋_GB2312" w:hAnsi="仿宋_GB2312" w:eastAsia="仿宋_GB2312" w:cs="仿宋_GB2312"/>
          <w:color w:val="auto"/>
          <w:sz w:val="30"/>
          <w:szCs w:val="30"/>
          <w:shd w:val="clear" w:fill="FFFFFF"/>
        </w:rPr>
        <w:t>机关正常运转的日常基本支出</w:t>
      </w:r>
      <w:r>
        <w:rPr>
          <w:rFonts w:hint="eastAsia" w:ascii="仿宋_GB2312" w:hAnsi="仿宋_GB2312" w:eastAsia="仿宋_GB2312" w:cs="仿宋_GB2312"/>
          <w:color w:val="auto"/>
          <w:sz w:val="30"/>
          <w:szCs w:val="30"/>
          <w:shd w:val="clear" w:fill="FFFFFF"/>
          <w:lang w:val="en-US" w:eastAsia="zh-CN"/>
        </w:rPr>
        <w:t>508.66</w:t>
      </w:r>
      <w:r>
        <w:rPr>
          <w:rFonts w:hint="eastAsia" w:ascii="仿宋_GB2312" w:hAnsi="仿宋_GB2312" w:eastAsia="仿宋_GB2312" w:cs="仿宋_GB2312"/>
          <w:color w:val="auto"/>
          <w:sz w:val="30"/>
          <w:szCs w:val="30"/>
          <w:shd w:val="clear" w:fill="FFFFFF"/>
        </w:rPr>
        <w:t>万元。</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05" w:leftChars="50" w:right="6" w:rightChars="0" w:firstLine="600"/>
        <w:jc w:val="left"/>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shd w:val="clear" w:fill="FFFFFF"/>
        </w:rPr>
        <w:t>1</w:t>
      </w:r>
      <w:r>
        <w:rPr>
          <w:rFonts w:hint="eastAsia" w:ascii="仿宋_GB2312" w:hAnsi="仿宋_GB2312" w:eastAsia="仿宋_GB2312" w:cs="仿宋_GB2312"/>
          <w:color w:val="auto"/>
          <w:sz w:val="30"/>
          <w:szCs w:val="30"/>
          <w:shd w:val="clear" w:fill="FFFFFF"/>
          <w:lang w:eastAsia="zh-CN"/>
        </w:rPr>
        <w:t>、</w:t>
      </w:r>
      <w:r>
        <w:rPr>
          <w:rFonts w:hint="eastAsia" w:ascii="仿宋_GB2312" w:hAnsi="仿宋_GB2312" w:eastAsia="仿宋_GB2312" w:cs="仿宋_GB2312"/>
          <w:color w:val="auto"/>
          <w:sz w:val="30"/>
          <w:szCs w:val="30"/>
          <w:shd w:val="clear" w:fill="FFFFFF"/>
        </w:rPr>
        <w:t>工资和福利支出</w:t>
      </w:r>
      <w:r>
        <w:rPr>
          <w:rFonts w:hint="eastAsia" w:ascii="仿宋_GB2312" w:hAnsi="仿宋_GB2312" w:eastAsia="仿宋_GB2312" w:cs="仿宋_GB2312"/>
          <w:color w:val="auto"/>
          <w:sz w:val="30"/>
          <w:szCs w:val="30"/>
          <w:shd w:val="clear" w:fill="FFFFFF"/>
          <w:lang w:val="en-US" w:eastAsia="zh-CN"/>
        </w:rPr>
        <w:t>402.33</w:t>
      </w:r>
      <w:r>
        <w:rPr>
          <w:rFonts w:hint="eastAsia" w:ascii="仿宋_GB2312" w:hAnsi="仿宋_GB2312" w:eastAsia="仿宋_GB2312" w:cs="仿宋_GB2312"/>
          <w:color w:val="auto"/>
          <w:sz w:val="30"/>
          <w:szCs w:val="30"/>
          <w:shd w:val="clear" w:fill="FFFFFF"/>
        </w:rPr>
        <w:t>万元，占基本支出的</w:t>
      </w:r>
      <w:r>
        <w:rPr>
          <w:rFonts w:hint="eastAsia" w:ascii="仿宋_GB2312" w:hAnsi="仿宋_GB2312" w:eastAsia="仿宋_GB2312" w:cs="仿宋_GB2312"/>
          <w:color w:val="auto"/>
          <w:sz w:val="30"/>
          <w:szCs w:val="30"/>
          <w:shd w:val="clear" w:fill="FFFFFF"/>
          <w:lang w:val="en-US" w:eastAsia="zh-CN"/>
        </w:rPr>
        <w:t>79</w:t>
      </w:r>
      <w:r>
        <w:rPr>
          <w:rFonts w:hint="eastAsia" w:ascii="仿宋_GB2312" w:hAnsi="仿宋_GB2312" w:eastAsia="仿宋_GB2312" w:cs="仿宋_GB2312"/>
          <w:color w:val="auto"/>
          <w:sz w:val="30"/>
          <w:szCs w:val="30"/>
          <w:shd w:val="clear" w:fill="FFFFFF"/>
        </w:rPr>
        <w:t>%，主要反映基本工资、津贴补贴、绩效工资、养老及基本医疗保险缴费、住房公积金等人员经费；</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05" w:leftChars="50" w:right="6" w:rightChars="0" w:firstLine="600"/>
        <w:jc w:val="left"/>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shd w:val="clear" w:fill="FFFFFF"/>
        </w:rPr>
        <w:t>2</w:t>
      </w:r>
      <w:r>
        <w:rPr>
          <w:rFonts w:hint="eastAsia" w:ascii="仿宋_GB2312" w:hAnsi="仿宋_GB2312" w:eastAsia="仿宋_GB2312" w:cs="仿宋_GB2312"/>
          <w:color w:val="auto"/>
          <w:sz w:val="30"/>
          <w:szCs w:val="30"/>
          <w:shd w:val="clear" w:fill="FFFFFF"/>
          <w:lang w:eastAsia="zh-CN"/>
        </w:rPr>
        <w:t>、</w:t>
      </w:r>
      <w:r>
        <w:rPr>
          <w:rFonts w:hint="eastAsia" w:ascii="仿宋_GB2312" w:hAnsi="仿宋_GB2312" w:eastAsia="仿宋_GB2312" w:cs="仿宋_GB2312"/>
          <w:color w:val="auto"/>
          <w:sz w:val="30"/>
          <w:szCs w:val="30"/>
          <w:shd w:val="clear" w:fill="FFFFFF"/>
        </w:rPr>
        <w:t>商品和服务支出</w:t>
      </w:r>
      <w:r>
        <w:rPr>
          <w:rFonts w:hint="eastAsia" w:ascii="仿宋_GB2312" w:hAnsi="仿宋_GB2312" w:eastAsia="仿宋_GB2312" w:cs="仿宋_GB2312"/>
          <w:color w:val="auto"/>
          <w:sz w:val="30"/>
          <w:szCs w:val="30"/>
          <w:shd w:val="clear" w:fill="FFFFFF"/>
          <w:lang w:val="en-US" w:eastAsia="zh-CN"/>
        </w:rPr>
        <w:t>94.72</w:t>
      </w:r>
      <w:r>
        <w:rPr>
          <w:rFonts w:hint="eastAsia" w:ascii="仿宋_GB2312" w:hAnsi="仿宋_GB2312" w:eastAsia="仿宋_GB2312" w:cs="仿宋_GB2312"/>
          <w:color w:val="auto"/>
          <w:sz w:val="30"/>
          <w:szCs w:val="30"/>
          <w:shd w:val="clear" w:fill="FFFFFF"/>
        </w:rPr>
        <w:t>万元，占基本支出的</w:t>
      </w:r>
      <w:r>
        <w:rPr>
          <w:rFonts w:hint="eastAsia" w:ascii="仿宋_GB2312" w:hAnsi="仿宋_GB2312" w:eastAsia="仿宋_GB2312" w:cs="仿宋_GB2312"/>
          <w:color w:val="auto"/>
          <w:sz w:val="30"/>
          <w:szCs w:val="30"/>
          <w:shd w:val="clear" w:fill="FFFFFF"/>
          <w:lang w:val="en-US" w:eastAsia="zh-CN"/>
        </w:rPr>
        <w:t>29</w:t>
      </w:r>
      <w:r>
        <w:rPr>
          <w:rFonts w:hint="eastAsia" w:ascii="仿宋_GB2312" w:hAnsi="仿宋_GB2312" w:eastAsia="仿宋_GB2312" w:cs="仿宋_GB2312"/>
          <w:color w:val="auto"/>
          <w:sz w:val="30"/>
          <w:szCs w:val="30"/>
          <w:shd w:val="clear" w:fill="FFFFFF"/>
        </w:rPr>
        <w:t>%，主要反映办公费、印刷费、水电费、办公设备购置等日常公用经费；</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05" w:leftChars="50" w:right="6" w:rightChars="0" w:firstLine="600"/>
        <w:jc w:val="left"/>
        <w:textAlignment w:val="auto"/>
        <w:outlineLvl w:val="9"/>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30"/>
          <w:szCs w:val="30"/>
          <w:shd w:val="clear" w:fill="FFFFFF"/>
        </w:rPr>
        <w:t>3</w:t>
      </w:r>
      <w:r>
        <w:rPr>
          <w:rFonts w:hint="eastAsia" w:ascii="仿宋_GB2312" w:hAnsi="仿宋_GB2312" w:eastAsia="仿宋_GB2312" w:cs="仿宋_GB2312"/>
          <w:color w:val="auto"/>
          <w:sz w:val="30"/>
          <w:szCs w:val="30"/>
          <w:shd w:val="clear" w:fill="FFFFFF"/>
          <w:lang w:eastAsia="zh-CN"/>
        </w:rPr>
        <w:t>、</w:t>
      </w:r>
      <w:r>
        <w:rPr>
          <w:rFonts w:hint="eastAsia" w:ascii="仿宋_GB2312" w:hAnsi="仿宋_GB2312" w:eastAsia="仿宋_GB2312" w:cs="仿宋_GB2312"/>
          <w:color w:val="auto"/>
          <w:sz w:val="30"/>
          <w:szCs w:val="30"/>
          <w:shd w:val="clear" w:fill="FFFFFF"/>
        </w:rPr>
        <w:t>对个人和家庭的补助支出</w:t>
      </w:r>
      <w:r>
        <w:rPr>
          <w:rFonts w:hint="eastAsia" w:ascii="仿宋_GB2312" w:hAnsi="仿宋_GB2312" w:eastAsia="仿宋_GB2312" w:cs="仿宋_GB2312"/>
          <w:color w:val="auto"/>
          <w:sz w:val="30"/>
          <w:szCs w:val="30"/>
          <w:shd w:val="clear" w:fill="FFFFFF"/>
          <w:lang w:val="en-US" w:eastAsia="zh-CN"/>
        </w:rPr>
        <w:t>11.61</w:t>
      </w:r>
      <w:r>
        <w:rPr>
          <w:rFonts w:hint="eastAsia" w:ascii="仿宋_GB2312" w:hAnsi="仿宋_GB2312" w:eastAsia="仿宋_GB2312" w:cs="仿宋_GB2312"/>
          <w:color w:val="auto"/>
          <w:sz w:val="30"/>
          <w:szCs w:val="30"/>
          <w:shd w:val="clear" w:fill="FFFFFF"/>
        </w:rPr>
        <w:t>万元，占基本支出的</w:t>
      </w:r>
      <w:r>
        <w:rPr>
          <w:rFonts w:hint="eastAsia" w:ascii="仿宋_GB2312" w:hAnsi="仿宋_GB2312" w:eastAsia="仿宋_GB2312" w:cs="仿宋_GB2312"/>
          <w:color w:val="auto"/>
          <w:sz w:val="30"/>
          <w:szCs w:val="30"/>
          <w:shd w:val="clear" w:fill="FFFFFF"/>
          <w:lang w:val="en-US" w:eastAsia="zh-CN"/>
        </w:rPr>
        <w:t>2</w:t>
      </w:r>
      <w:r>
        <w:rPr>
          <w:rFonts w:hint="eastAsia" w:ascii="仿宋_GB2312" w:hAnsi="仿宋_GB2312" w:eastAsia="仿宋_GB2312" w:cs="仿宋_GB2312"/>
          <w:color w:val="auto"/>
          <w:sz w:val="30"/>
          <w:szCs w:val="30"/>
          <w:shd w:val="clear" w:fill="FFFFFF"/>
        </w:rPr>
        <w:t>%，主要反映</w:t>
      </w:r>
      <w:r>
        <w:rPr>
          <w:rFonts w:hint="eastAsia" w:ascii="仿宋_GB2312" w:hAnsi="仿宋_GB2312" w:eastAsia="仿宋_GB2312" w:cs="仿宋_GB2312"/>
          <w:color w:val="auto"/>
          <w:sz w:val="30"/>
          <w:szCs w:val="30"/>
          <w:shd w:val="clear" w:fill="FFFFFF"/>
          <w:lang w:eastAsia="zh-CN"/>
        </w:rPr>
        <w:t>离</w:t>
      </w:r>
      <w:r>
        <w:rPr>
          <w:rFonts w:hint="eastAsia" w:ascii="仿宋_GB2312" w:hAnsi="仿宋_GB2312" w:eastAsia="仿宋_GB2312" w:cs="仿宋_GB2312"/>
          <w:color w:val="auto"/>
          <w:sz w:val="30"/>
          <w:szCs w:val="30"/>
          <w:shd w:val="clear" w:fill="FFFFFF"/>
        </w:rPr>
        <w:t>休费。</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105" w:leftChars="50" w:right="6" w:rightChars="0" w:firstLine="600"/>
        <w:jc w:val="left"/>
        <w:textAlignment w:val="auto"/>
        <w:outlineLvl w:val="9"/>
        <w:rPr>
          <w:rFonts w:hint="default"/>
          <w:color w:val="auto"/>
          <w:lang w:val="en-US" w:eastAsia="zh-CN"/>
        </w:rPr>
      </w:pPr>
      <w:r>
        <w:rPr>
          <w:rFonts w:hint="eastAsia" w:ascii="仿宋_GB2312" w:hAnsi="仿宋_GB2312" w:eastAsia="仿宋_GB2312" w:cs="仿宋_GB2312"/>
          <w:color w:val="auto"/>
          <w:sz w:val="30"/>
          <w:szCs w:val="30"/>
          <w:shd w:val="clear" w:fill="FFFFFF"/>
        </w:rPr>
        <w:t>20</w:t>
      </w:r>
      <w:r>
        <w:rPr>
          <w:rFonts w:hint="eastAsia" w:ascii="仿宋_GB2312" w:hAnsi="仿宋_GB2312" w:eastAsia="仿宋_GB2312" w:cs="仿宋_GB2312"/>
          <w:color w:val="auto"/>
          <w:sz w:val="30"/>
          <w:szCs w:val="30"/>
          <w:shd w:val="clear" w:fill="FFFFFF"/>
          <w:lang w:val="en-US" w:eastAsia="zh-CN"/>
        </w:rPr>
        <w:t>2</w:t>
      </w:r>
      <w:r>
        <w:rPr>
          <w:rFonts w:hint="eastAsia" w:ascii="仿宋_GB2312" w:hAnsi="仿宋_GB2312" w:eastAsia="仿宋_GB2312" w:cs="仿宋_GB2312"/>
          <w:color w:val="auto"/>
          <w:sz w:val="30"/>
          <w:szCs w:val="30"/>
          <w:shd w:val="clear" w:fill="FFFFFF"/>
        </w:rPr>
        <w:t>年用于保障</w:t>
      </w:r>
      <w:r>
        <w:rPr>
          <w:rFonts w:hint="eastAsia" w:ascii="仿宋_GB2312" w:hAnsi="仿宋_GB2312" w:eastAsia="仿宋_GB2312" w:cs="仿宋_GB2312"/>
          <w:color w:val="auto"/>
          <w:sz w:val="30"/>
          <w:szCs w:val="30"/>
          <w:shd w:val="clear" w:fill="FFFFFF"/>
          <w:lang w:eastAsia="zh-CN"/>
        </w:rPr>
        <w:t>区</w:t>
      </w:r>
      <w:r>
        <w:rPr>
          <w:rFonts w:hint="eastAsia" w:ascii="仿宋_GB2312" w:hAnsi="仿宋_GB2312" w:eastAsia="仿宋_GB2312" w:cs="仿宋_GB2312"/>
          <w:color w:val="auto"/>
          <w:sz w:val="30"/>
          <w:szCs w:val="30"/>
          <w:shd w:val="clear" w:fill="FFFFFF"/>
        </w:rPr>
        <w:t>卫</w:t>
      </w:r>
      <w:r>
        <w:rPr>
          <w:rFonts w:hint="eastAsia" w:ascii="仿宋_GB2312" w:hAnsi="仿宋_GB2312" w:eastAsia="仿宋_GB2312" w:cs="仿宋_GB2312"/>
          <w:color w:val="auto"/>
          <w:sz w:val="30"/>
          <w:szCs w:val="30"/>
          <w:shd w:val="clear" w:fill="FFFFFF"/>
          <w:lang w:val="en-US" w:eastAsia="zh-CN"/>
        </w:rPr>
        <w:t>健</w:t>
      </w:r>
      <w:r>
        <w:rPr>
          <w:rFonts w:hint="eastAsia" w:ascii="仿宋_GB2312" w:hAnsi="仿宋_GB2312" w:eastAsia="仿宋_GB2312" w:cs="仿宋_GB2312"/>
          <w:color w:val="auto"/>
          <w:sz w:val="30"/>
          <w:szCs w:val="30"/>
          <w:shd w:val="clear" w:fill="FFFFFF"/>
          <w:lang w:eastAsia="zh-CN"/>
        </w:rPr>
        <w:t>局</w:t>
      </w:r>
      <w:r>
        <w:rPr>
          <w:rFonts w:hint="eastAsia" w:ascii="仿宋_GB2312" w:hAnsi="仿宋_GB2312" w:eastAsia="仿宋_GB2312" w:cs="仿宋_GB2312"/>
          <w:color w:val="auto"/>
          <w:sz w:val="30"/>
          <w:szCs w:val="30"/>
          <w:shd w:val="clear" w:fill="FFFFFF"/>
        </w:rPr>
        <w:t>为完成特定的行政工作任务或事业发展目标，用于专项业务工作经费的</w:t>
      </w:r>
      <w:r>
        <w:rPr>
          <w:rFonts w:hint="eastAsia" w:ascii="仿宋_GB2312" w:hAnsi="仿宋_GB2312" w:eastAsia="仿宋_GB2312" w:cs="仿宋_GB2312"/>
          <w:color w:val="auto"/>
          <w:sz w:val="30"/>
          <w:szCs w:val="30"/>
          <w:highlight w:val="none"/>
          <w:shd w:val="clear" w:fill="FFFFFF"/>
        </w:rPr>
        <w:t>项目支出</w:t>
      </w:r>
      <w:r>
        <w:rPr>
          <w:rFonts w:hint="eastAsia" w:ascii="仿宋_GB2312" w:hAnsi="仿宋_GB2312" w:eastAsia="仿宋_GB2312" w:cs="仿宋_GB2312"/>
          <w:color w:val="auto"/>
          <w:sz w:val="30"/>
          <w:szCs w:val="30"/>
          <w:highlight w:val="none"/>
          <w:shd w:val="clear" w:fill="FFFFFF"/>
          <w:lang w:val="en-US" w:eastAsia="zh-CN"/>
        </w:rPr>
        <w:t>3016.69</w:t>
      </w:r>
      <w:r>
        <w:rPr>
          <w:rFonts w:hint="eastAsia" w:ascii="仿宋_GB2312" w:hAnsi="仿宋_GB2312" w:eastAsia="仿宋_GB2312" w:cs="仿宋_GB2312"/>
          <w:color w:val="auto"/>
          <w:sz w:val="30"/>
          <w:szCs w:val="30"/>
          <w:highlight w:val="none"/>
          <w:shd w:val="clear" w:fill="FFFFFF"/>
        </w:rPr>
        <w:t>万元。</w:t>
      </w:r>
    </w:p>
    <w:p>
      <w:pPr>
        <w:widowControl/>
        <w:ind w:firstLine="600" w:firstLineChars="200"/>
        <w:jc w:val="left"/>
        <w:rPr>
          <w:rFonts w:eastAsia="仿宋_GB2312"/>
          <w:color w:val="auto"/>
          <w:kern w:val="0"/>
          <w:sz w:val="30"/>
          <w:szCs w:val="30"/>
        </w:rPr>
      </w:pPr>
    </w:p>
    <w:p>
      <w:pPr>
        <w:widowControl/>
        <w:ind w:firstLine="600" w:firstLineChars="200"/>
        <w:jc w:val="left"/>
        <w:rPr>
          <w:rFonts w:ascii="黑体" w:hAnsi="黑体" w:eastAsia="黑体"/>
          <w:color w:val="auto"/>
          <w:kern w:val="0"/>
          <w:sz w:val="30"/>
          <w:szCs w:val="30"/>
        </w:rPr>
      </w:pPr>
      <w:r>
        <w:rPr>
          <w:rFonts w:ascii="黑体" w:hAnsi="黑体" w:eastAsia="黑体"/>
          <w:color w:val="auto"/>
          <w:kern w:val="0"/>
          <w:sz w:val="30"/>
          <w:szCs w:val="30"/>
        </w:rPr>
        <w:t>五、</w:t>
      </w:r>
      <w:r>
        <w:rPr>
          <w:rFonts w:hint="eastAsia" w:ascii="黑体" w:hAnsi="黑体" w:eastAsia="黑体"/>
          <w:color w:val="auto"/>
          <w:kern w:val="0"/>
          <w:sz w:val="30"/>
          <w:szCs w:val="30"/>
          <w:lang w:eastAsia="zh-CN"/>
        </w:rPr>
        <w:t>区</w:t>
      </w:r>
      <w:r>
        <w:rPr>
          <w:rFonts w:ascii="黑体" w:hAnsi="黑体" w:eastAsia="黑体"/>
          <w:color w:val="auto"/>
          <w:kern w:val="0"/>
          <w:sz w:val="30"/>
          <w:szCs w:val="30"/>
        </w:rPr>
        <w:t>对下</w:t>
      </w:r>
      <w:r>
        <w:rPr>
          <w:rFonts w:hint="eastAsia" w:ascii="黑体" w:hAnsi="黑体" w:eastAsia="黑体"/>
          <w:color w:val="auto"/>
          <w:kern w:val="0"/>
          <w:sz w:val="30"/>
          <w:szCs w:val="30"/>
        </w:rPr>
        <w:t>专</w:t>
      </w:r>
      <w:r>
        <w:rPr>
          <w:rFonts w:ascii="黑体" w:hAnsi="黑体" w:eastAsia="黑体"/>
          <w:color w:val="auto"/>
          <w:kern w:val="0"/>
          <w:sz w:val="30"/>
          <w:szCs w:val="30"/>
        </w:rPr>
        <w:t>项转移支付情况</w:t>
      </w:r>
    </w:p>
    <w:p>
      <w:pPr>
        <w:widowControl/>
        <w:ind w:firstLine="600" w:firstLineChars="200"/>
        <w:jc w:val="left"/>
        <w:rPr>
          <w:rFonts w:hint="eastAsia" w:ascii="仿宋_GB2312" w:hAnsi="仿宋_GB2312" w:eastAsia="仿宋_GB2312" w:cs="仿宋_GB2312"/>
          <w:color w:val="auto"/>
          <w:kern w:val="0"/>
          <w:sz w:val="30"/>
          <w:szCs w:val="30"/>
        </w:rPr>
      </w:pPr>
      <w:r>
        <w:rPr>
          <w:rFonts w:hint="eastAsia" w:ascii="仿宋_GB2312" w:hAnsi="仿宋_GB2312" w:eastAsia="仿宋_GB2312" w:cs="仿宋_GB2312"/>
          <w:color w:val="auto"/>
          <w:kern w:val="0"/>
          <w:sz w:val="30"/>
          <w:szCs w:val="30"/>
          <w:lang w:eastAsia="zh-CN"/>
        </w:rPr>
        <w:t>区级</w:t>
      </w:r>
      <w:r>
        <w:rPr>
          <w:rFonts w:hint="eastAsia" w:ascii="仿宋_GB2312" w:hAnsi="仿宋_GB2312" w:eastAsia="仿宋_GB2312" w:cs="仿宋_GB2312"/>
          <w:color w:val="auto"/>
          <w:kern w:val="0"/>
          <w:sz w:val="30"/>
          <w:szCs w:val="30"/>
          <w:lang w:val="en-US" w:eastAsia="zh-CN"/>
        </w:rPr>
        <w:t>无对下专项转移支付</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（一）与中央配套事项</w:t>
      </w:r>
    </w:p>
    <w:p>
      <w:pPr>
        <w:widowControl/>
        <w:ind w:firstLine="600" w:firstLineChars="200"/>
        <w:jc w:val="left"/>
        <w:rPr>
          <w:rFonts w:hint="eastAsia" w:eastAsia="仿宋_GB2312"/>
          <w:color w:val="auto"/>
          <w:kern w:val="0"/>
          <w:sz w:val="30"/>
          <w:szCs w:val="30"/>
          <w:lang w:val="en-US" w:eastAsia="zh-CN"/>
        </w:rPr>
      </w:pPr>
      <w:r>
        <w:rPr>
          <w:rFonts w:hint="eastAsia" w:eastAsia="仿宋_GB2312"/>
          <w:color w:val="auto"/>
          <w:kern w:val="0"/>
          <w:sz w:val="30"/>
          <w:szCs w:val="30"/>
          <w:lang w:val="en-US" w:eastAsia="zh-CN"/>
        </w:rPr>
        <w:t>无经费安排</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（二）与</w:t>
      </w:r>
      <w:r>
        <w:rPr>
          <w:rFonts w:hint="eastAsia" w:ascii="楷体_GB2312" w:eastAsia="楷体_GB2312"/>
          <w:color w:val="auto"/>
          <w:kern w:val="0"/>
          <w:sz w:val="30"/>
          <w:szCs w:val="30"/>
        </w:rPr>
        <w:t>省级</w:t>
      </w:r>
      <w:r>
        <w:rPr>
          <w:rFonts w:ascii="楷体_GB2312" w:eastAsia="楷体_GB2312"/>
          <w:color w:val="auto"/>
          <w:kern w:val="0"/>
          <w:sz w:val="30"/>
          <w:szCs w:val="30"/>
        </w:rPr>
        <w:t>配套事项</w:t>
      </w:r>
    </w:p>
    <w:p>
      <w:pPr>
        <w:widowControl/>
        <w:ind w:firstLine="600" w:firstLineChars="200"/>
        <w:jc w:val="left"/>
        <w:rPr>
          <w:rFonts w:hint="eastAsia" w:eastAsia="仿宋_GB2312"/>
          <w:color w:val="auto"/>
          <w:kern w:val="0"/>
          <w:sz w:val="30"/>
          <w:szCs w:val="30"/>
          <w:lang w:val="en-US" w:eastAsia="zh-CN"/>
        </w:rPr>
      </w:pPr>
      <w:r>
        <w:rPr>
          <w:rFonts w:hint="eastAsia" w:eastAsia="仿宋_GB2312"/>
          <w:color w:val="auto"/>
          <w:kern w:val="0"/>
          <w:sz w:val="30"/>
          <w:szCs w:val="30"/>
          <w:lang w:val="en-US" w:eastAsia="zh-CN"/>
        </w:rPr>
        <w:t>无经费安排</w:t>
      </w:r>
    </w:p>
    <w:p>
      <w:pPr>
        <w:widowControl/>
        <w:ind w:firstLine="450" w:firstLineChars="150"/>
        <w:jc w:val="left"/>
        <w:rPr>
          <w:rFonts w:ascii="楷体_GB2312" w:eastAsia="楷体_GB2312"/>
          <w:color w:val="auto"/>
          <w:kern w:val="0"/>
          <w:sz w:val="30"/>
          <w:szCs w:val="30"/>
        </w:rPr>
      </w:pPr>
      <w:r>
        <w:rPr>
          <w:rFonts w:ascii="楷体_GB2312" w:eastAsia="楷体_GB2312"/>
          <w:color w:val="auto"/>
          <w:kern w:val="0"/>
          <w:sz w:val="30"/>
          <w:szCs w:val="30"/>
        </w:rPr>
        <w:t>（三）按既定政策标准测算补助事项</w:t>
      </w:r>
    </w:p>
    <w:p>
      <w:pPr>
        <w:widowControl/>
        <w:ind w:firstLine="600" w:firstLineChars="200"/>
        <w:jc w:val="left"/>
        <w:rPr>
          <w:rFonts w:hint="eastAsia" w:eastAsia="仿宋_GB2312"/>
          <w:color w:val="auto"/>
          <w:kern w:val="0"/>
          <w:sz w:val="30"/>
          <w:szCs w:val="30"/>
          <w:lang w:val="en-US" w:eastAsia="zh-CN"/>
        </w:rPr>
      </w:pPr>
      <w:r>
        <w:rPr>
          <w:rFonts w:hint="eastAsia" w:eastAsia="仿宋_GB2312"/>
          <w:color w:val="auto"/>
          <w:kern w:val="0"/>
          <w:sz w:val="30"/>
          <w:szCs w:val="30"/>
          <w:lang w:val="en-US" w:eastAsia="zh-CN"/>
        </w:rPr>
        <w:t>无经费安排</w:t>
      </w:r>
    </w:p>
    <w:p>
      <w:pPr>
        <w:widowControl/>
        <w:ind w:firstLine="450" w:firstLineChars="150"/>
        <w:jc w:val="left"/>
        <w:rPr>
          <w:rFonts w:hint="eastAsia" w:ascii="楷体_GB2312" w:eastAsia="楷体_GB2312"/>
          <w:color w:val="auto"/>
          <w:kern w:val="0"/>
          <w:sz w:val="30"/>
          <w:szCs w:val="30"/>
        </w:rPr>
      </w:pPr>
      <w:r>
        <w:rPr>
          <w:rFonts w:hint="eastAsia" w:ascii="楷体_GB2312" w:eastAsia="楷体_GB2312"/>
          <w:color w:val="auto"/>
          <w:kern w:val="0"/>
          <w:sz w:val="30"/>
          <w:szCs w:val="30"/>
        </w:rPr>
        <w:t>（四）经济社会事业发展事项</w:t>
      </w:r>
    </w:p>
    <w:p>
      <w:pPr>
        <w:widowControl/>
        <w:ind w:firstLine="600" w:firstLineChars="200"/>
        <w:jc w:val="left"/>
        <w:rPr>
          <w:rFonts w:hint="eastAsia" w:eastAsia="仿宋_GB2312"/>
          <w:color w:val="auto"/>
          <w:kern w:val="0"/>
          <w:sz w:val="30"/>
          <w:szCs w:val="30"/>
          <w:lang w:val="en-US" w:eastAsia="zh-CN"/>
        </w:rPr>
      </w:pPr>
      <w:r>
        <w:rPr>
          <w:rFonts w:hint="eastAsia" w:eastAsia="仿宋_GB2312"/>
          <w:color w:val="auto"/>
          <w:kern w:val="0"/>
          <w:sz w:val="30"/>
          <w:szCs w:val="30"/>
          <w:lang w:val="en-US" w:eastAsia="zh-CN"/>
        </w:rPr>
        <w:t>无经费安排</w:t>
      </w:r>
    </w:p>
    <w:p>
      <w:pPr>
        <w:widowControl/>
        <w:ind w:firstLine="600" w:firstLineChars="200"/>
        <w:jc w:val="left"/>
        <w:rPr>
          <w:rFonts w:ascii="黑体" w:hAnsi="黑体" w:eastAsia="黑体"/>
          <w:color w:val="auto"/>
          <w:kern w:val="0"/>
          <w:sz w:val="30"/>
          <w:szCs w:val="30"/>
        </w:rPr>
      </w:pPr>
      <w:r>
        <w:rPr>
          <w:rFonts w:ascii="黑体" w:hAnsi="黑体" w:eastAsia="黑体"/>
          <w:color w:val="auto"/>
          <w:kern w:val="0"/>
          <w:sz w:val="30"/>
          <w:szCs w:val="30"/>
        </w:rPr>
        <w:t>六、政府采购预算情况</w:t>
      </w:r>
    </w:p>
    <w:p>
      <w:pPr>
        <w:widowControl/>
        <w:ind w:firstLine="600" w:firstLineChars="200"/>
        <w:jc w:val="left"/>
        <w:rPr>
          <w:rFonts w:eastAsia="仿宋_GB2312"/>
          <w:color w:val="auto"/>
          <w:kern w:val="0"/>
          <w:sz w:val="30"/>
          <w:szCs w:val="30"/>
        </w:rPr>
      </w:pPr>
      <w:r>
        <w:rPr>
          <w:rFonts w:eastAsia="仿宋_GB2312"/>
          <w:color w:val="auto"/>
          <w:kern w:val="0"/>
          <w:sz w:val="30"/>
          <w:szCs w:val="30"/>
        </w:rPr>
        <w:t>根据《中华人民共和国政府采购法》的有关规定，编制了政府采购预算，共涉及采购项目</w:t>
      </w:r>
      <w:r>
        <w:rPr>
          <w:rFonts w:hint="eastAsia" w:eastAsia="仿宋_GB2312"/>
          <w:color w:val="auto"/>
          <w:kern w:val="0"/>
          <w:sz w:val="30"/>
          <w:szCs w:val="30"/>
          <w:lang w:val="en-US" w:eastAsia="zh-CN"/>
        </w:rPr>
        <w:t>4</w:t>
      </w:r>
      <w:r>
        <w:rPr>
          <w:rFonts w:eastAsia="仿宋_GB2312"/>
          <w:color w:val="auto"/>
          <w:kern w:val="0"/>
          <w:sz w:val="30"/>
          <w:szCs w:val="30"/>
        </w:rPr>
        <w:t>个，</w:t>
      </w:r>
      <w:r>
        <w:rPr>
          <w:rFonts w:hint="eastAsia" w:eastAsia="仿宋_GB2312"/>
          <w:color w:val="auto"/>
          <w:kern w:val="0"/>
          <w:sz w:val="30"/>
          <w:szCs w:val="30"/>
        </w:rPr>
        <w:t>政府</w:t>
      </w:r>
      <w:r>
        <w:rPr>
          <w:rFonts w:eastAsia="仿宋_GB2312"/>
          <w:color w:val="auto"/>
          <w:kern w:val="0"/>
          <w:sz w:val="30"/>
          <w:szCs w:val="30"/>
        </w:rPr>
        <w:t>采购预算</w:t>
      </w:r>
      <w:r>
        <w:rPr>
          <w:rFonts w:hint="eastAsia" w:eastAsia="仿宋_GB2312"/>
          <w:color w:val="auto"/>
          <w:kern w:val="0"/>
          <w:sz w:val="30"/>
          <w:szCs w:val="30"/>
        </w:rPr>
        <w:t>总额</w:t>
      </w:r>
      <w:r>
        <w:rPr>
          <w:rFonts w:hint="eastAsia" w:eastAsia="仿宋_GB2312"/>
          <w:color w:val="auto"/>
          <w:kern w:val="0"/>
          <w:sz w:val="30"/>
          <w:szCs w:val="30"/>
          <w:lang w:val="en-US" w:eastAsia="zh-CN"/>
        </w:rPr>
        <w:t>200.4</w:t>
      </w:r>
      <w:r>
        <w:rPr>
          <w:rFonts w:eastAsia="仿宋_GB2312"/>
          <w:color w:val="auto"/>
          <w:kern w:val="0"/>
          <w:sz w:val="30"/>
          <w:szCs w:val="30"/>
        </w:rPr>
        <w:t>万元</w:t>
      </w:r>
      <w:r>
        <w:rPr>
          <w:rFonts w:hint="eastAsia" w:eastAsia="仿宋_GB2312"/>
          <w:color w:val="auto"/>
          <w:kern w:val="0"/>
          <w:sz w:val="30"/>
          <w:szCs w:val="30"/>
        </w:rPr>
        <w:t>，其中：政府采购货物预算</w:t>
      </w:r>
      <w:r>
        <w:rPr>
          <w:rFonts w:hint="eastAsia" w:eastAsia="仿宋_GB2312"/>
          <w:color w:val="auto"/>
          <w:kern w:val="0"/>
          <w:sz w:val="30"/>
          <w:szCs w:val="30"/>
          <w:lang w:val="en-US" w:eastAsia="zh-CN"/>
        </w:rPr>
        <w:t>200.4</w:t>
      </w:r>
      <w:r>
        <w:rPr>
          <w:rFonts w:eastAsia="仿宋_GB2312"/>
          <w:color w:val="auto"/>
          <w:kern w:val="0"/>
          <w:sz w:val="30"/>
          <w:szCs w:val="30"/>
        </w:rPr>
        <w:t>万元</w:t>
      </w:r>
      <w:r>
        <w:rPr>
          <w:rFonts w:hint="eastAsia" w:eastAsia="仿宋_GB2312"/>
          <w:color w:val="auto"/>
          <w:kern w:val="0"/>
          <w:sz w:val="30"/>
          <w:szCs w:val="30"/>
        </w:rPr>
        <w:t>、政府采购服务预算</w:t>
      </w:r>
      <w:r>
        <w:rPr>
          <w:rFonts w:hint="eastAsia" w:eastAsia="仿宋_GB2312"/>
          <w:color w:val="auto"/>
          <w:kern w:val="0"/>
          <w:sz w:val="30"/>
          <w:szCs w:val="30"/>
          <w:lang w:val="en-US" w:eastAsia="zh-CN"/>
        </w:rPr>
        <w:t>0</w:t>
      </w:r>
      <w:r>
        <w:rPr>
          <w:rFonts w:eastAsia="仿宋_GB2312"/>
          <w:color w:val="auto"/>
          <w:kern w:val="0"/>
          <w:sz w:val="30"/>
          <w:szCs w:val="30"/>
        </w:rPr>
        <w:t>万元</w:t>
      </w:r>
      <w:r>
        <w:rPr>
          <w:rFonts w:hint="eastAsia" w:eastAsia="仿宋_GB2312"/>
          <w:color w:val="auto"/>
          <w:kern w:val="0"/>
          <w:sz w:val="30"/>
          <w:szCs w:val="30"/>
        </w:rPr>
        <w:t>、政府采购工程预算</w:t>
      </w:r>
      <w:r>
        <w:rPr>
          <w:rFonts w:hint="eastAsia" w:eastAsia="仿宋_GB2312"/>
          <w:color w:val="auto"/>
          <w:kern w:val="0"/>
          <w:sz w:val="30"/>
          <w:szCs w:val="30"/>
          <w:lang w:val="en-US" w:eastAsia="zh-CN"/>
        </w:rPr>
        <w:t>0</w:t>
      </w:r>
      <w:r>
        <w:rPr>
          <w:rFonts w:eastAsia="仿宋_GB2312"/>
          <w:color w:val="auto"/>
          <w:kern w:val="0"/>
          <w:sz w:val="30"/>
          <w:szCs w:val="30"/>
        </w:rPr>
        <w:t>万元。</w:t>
      </w:r>
    </w:p>
    <w:p>
      <w:pPr>
        <w:ind w:firstLine="600" w:firstLineChars="200"/>
        <w:rPr>
          <w:rFonts w:ascii="黑体" w:hAnsi="黑体" w:eastAsia="黑体"/>
          <w:color w:val="auto"/>
          <w:sz w:val="30"/>
          <w:szCs w:val="30"/>
        </w:rPr>
      </w:pPr>
      <w:r>
        <w:rPr>
          <w:rFonts w:hint="eastAsia" w:ascii="黑体" w:hAnsi="黑体" w:eastAsia="黑体"/>
          <w:color w:val="auto"/>
          <w:kern w:val="0"/>
          <w:sz w:val="30"/>
          <w:szCs w:val="30"/>
        </w:rPr>
        <w:t>七、部门“三公”经费增减变化情况及原因说明</w:t>
      </w:r>
    </w:p>
    <w:p>
      <w:pPr>
        <w:widowControl/>
        <w:ind w:firstLine="600" w:firstLineChars="200"/>
        <w:jc w:val="left"/>
        <w:rPr>
          <w:rFonts w:eastAsia="仿宋_GB2312"/>
          <w:color w:val="auto"/>
          <w:kern w:val="0"/>
          <w:sz w:val="30"/>
          <w:szCs w:val="30"/>
        </w:rPr>
      </w:pPr>
      <w:r>
        <w:rPr>
          <w:rFonts w:hint="eastAsia" w:eastAsia="仿宋_GB2312"/>
          <w:color w:val="auto"/>
          <w:kern w:val="0"/>
          <w:sz w:val="30"/>
          <w:szCs w:val="30"/>
        </w:rPr>
        <w:t>2021年</w:t>
      </w:r>
      <w:r>
        <w:rPr>
          <w:rFonts w:eastAsia="仿宋_GB2312"/>
          <w:color w:val="auto"/>
          <w:kern w:val="0"/>
          <w:sz w:val="30"/>
          <w:szCs w:val="30"/>
        </w:rPr>
        <w:t>一般公共预算财政拨款“三公”经费</w:t>
      </w:r>
      <w:r>
        <w:rPr>
          <w:rFonts w:hint="eastAsia" w:eastAsia="仿宋_GB2312"/>
          <w:color w:val="auto"/>
          <w:kern w:val="0"/>
          <w:sz w:val="30"/>
          <w:szCs w:val="30"/>
        </w:rPr>
        <w:t>预</w:t>
      </w:r>
      <w:r>
        <w:rPr>
          <w:rFonts w:eastAsia="仿宋_GB2312"/>
          <w:color w:val="auto"/>
          <w:kern w:val="0"/>
          <w:sz w:val="30"/>
          <w:szCs w:val="30"/>
        </w:rPr>
        <w:t>算</w:t>
      </w:r>
      <w:r>
        <w:rPr>
          <w:rFonts w:hint="eastAsia" w:eastAsia="仿宋_GB2312"/>
          <w:color w:val="auto"/>
          <w:kern w:val="0"/>
          <w:sz w:val="30"/>
          <w:szCs w:val="30"/>
        </w:rPr>
        <w:t>合计</w:t>
      </w:r>
      <w:r>
        <w:rPr>
          <w:rFonts w:hint="eastAsia" w:eastAsia="仿宋_GB2312"/>
          <w:color w:val="auto"/>
          <w:kern w:val="0"/>
          <w:sz w:val="30"/>
          <w:szCs w:val="30"/>
          <w:lang w:val="en-US" w:eastAsia="zh-CN"/>
        </w:rPr>
        <w:t>4.7</w:t>
      </w:r>
      <w:r>
        <w:rPr>
          <w:rFonts w:eastAsia="仿宋_GB2312"/>
          <w:color w:val="auto"/>
          <w:kern w:val="0"/>
          <w:sz w:val="30"/>
          <w:szCs w:val="30"/>
        </w:rPr>
        <w:t>万元，较上年减少</w:t>
      </w:r>
      <w:r>
        <w:rPr>
          <w:rFonts w:hint="eastAsia" w:eastAsia="仿宋_GB2312"/>
          <w:color w:val="auto"/>
          <w:kern w:val="0"/>
          <w:sz w:val="30"/>
          <w:szCs w:val="30"/>
          <w:lang w:val="en-US" w:eastAsia="zh-CN"/>
        </w:rPr>
        <w:t>0.5</w:t>
      </w:r>
      <w:r>
        <w:rPr>
          <w:rFonts w:eastAsia="仿宋_GB2312"/>
          <w:color w:val="auto"/>
          <w:kern w:val="0"/>
          <w:sz w:val="30"/>
          <w:szCs w:val="30"/>
        </w:rPr>
        <w:t>万元，下降</w:t>
      </w:r>
      <w:r>
        <w:rPr>
          <w:rFonts w:hint="eastAsia" w:eastAsia="仿宋_GB2312"/>
          <w:color w:val="auto"/>
          <w:kern w:val="0"/>
          <w:sz w:val="30"/>
          <w:szCs w:val="30"/>
          <w:lang w:val="en-US" w:eastAsia="zh-CN"/>
        </w:rPr>
        <w:t>9.62</w:t>
      </w:r>
      <w:r>
        <w:rPr>
          <w:rFonts w:eastAsia="仿宋_GB2312"/>
          <w:color w:val="auto"/>
          <w:kern w:val="0"/>
          <w:sz w:val="30"/>
          <w:szCs w:val="30"/>
        </w:rPr>
        <w:t>%</w:t>
      </w:r>
      <w:r>
        <w:rPr>
          <w:rFonts w:hint="eastAsia" w:eastAsia="仿宋_GB2312"/>
          <w:color w:val="auto"/>
          <w:kern w:val="0"/>
          <w:sz w:val="30"/>
          <w:szCs w:val="30"/>
        </w:rPr>
        <w:t>，具体变动情况如下：</w:t>
      </w:r>
    </w:p>
    <w:p>
      <w:pPr>
        <w:widowControl/>
        <w:ind w:firstLine="600" w:firstLineChars="200"/>
        <w:jc w:val="left"/>
        <w:rPr>
          <w:rFonts w:ascii="楷体_GB2312" w:eastAsia="楷体_GB2312"/>
          <w:color w:val="auto"/>
          <w:kern w:val="0"/>
          <w:sz w:val="30"/>
          <w:szCs w:val="30"/>
        </w:rPr>
      </w:pPr>
      <w:r>
        <w:rPr>
          <w:rFonts w:hint="eastAsia" w:ascii="楷体_GB2312" w:eastAsia="楷体_GB2312"/>
          <w:color w:val="auto"/>
          <w:kern w:val="0"/>
          <w:sz w:val="30"/>
          <w:szCs w:val="30"/>
        </w:rPr>
        <w:t>（一）</w:t>
      </w:r>
      <w:r>
        <w:rPr>
          <w:rFonts w:ascii="楷体_GB2312" w:eastAsia="楷体_GB2312"/>
          <w:color w:val="auto"/>
          <w:kern w:val="0"/>
          <w:sz w:val="30"/>
          <w:szCs w:val="30"/>
        </w:rPr>
        <w:t>因公出国（境）费</w:t>
      </w:r>
    </w:p>
    <w:p>
      <w:pPr>
        <w:widowControl/>
        <w:ind w:firstLine="600" w:firstLineChars="200"/>
        <w:jc w:val="left"/>
        <w:rPr>
          <w:rFonts w:eastAsia="仿宋_GB2312"/>
          <w:color w:val="auto"/>
          <w:kern w:val="0"/>
          <w:sz w:val="30"/>
          <w:szCs w:val="30"/>
        </w:rPr>
      </w:pPr>
      <w:r>
        <w:rPr>
          <w:rFonts w:hint="eastAsia" w:eastAsia="仿宋_GB2312"/>
          <w:color w:val="auto"/>
          <w:kern w:val="0"/>
          <w:sz w:val="30"/>
          <w:szCs w:val="30"/>
        </w:rPr>
        <w:t>2021年</w:t>
      </w:r>
      <w:r>
        <w:rPr>
          <w:rFonts w:eastAsia="仿宋_GB2312"/>
          <w:color w:val="auto"/>
          <w:kern w:val="0"/>
          <w:sz w:val="30"/>
          <w:szCs w:val="30"/>
        </w:rPr>
        <w:t>因公出国（境）费</w:t>
      </w:r>
      <w:r>
        <w:rPr>
          <w:rFonts w:hint="eastAsia" w:eastAsia="仿宋_GB2312"/>
          <w:color w:val="auto"/>
          <w:kern w:val="0"/>
          <w:sz w:val="30"/>
          <w:szCs w:val="30"/>
        </w:rPr>
        <w:t>预算为</w:t>
      </w:r>
      <w:r>
        <w:rPr>
          <w:rFonts w:eastAsia="仿宋_GB2312"/>
          <w:color w:val="auto"/>
          <w:kern w:val="0"/>
          <w:sz w:val="30"/>
          <w:szCs w:val="30"/>
        </w:rPr>
        <w:t>万元，较上年</w:t>
      </w:r>
      <w:r>
        <w:rPr>
          <w:rFonts w:hint="eastAsia" w:eastAsia="仿宋_GB2312"/>
          <w:color w:val="auto"/>
          <w:kern w:val="0"/>
          <w:sz w:val="30"/>
          <w:szCs w:val="30"/>
        </w:rPr>
        <w:t>增加（</w:t>
      </w:r>
      <w:r>
        <w:rPr>
          <w:rFonts w:eastAsia="仿宋_GB2312"/>
          <w:color w:val="auto"/>
          <w:kern w:val="0"/>
          <w:sz w:val="30"/>
          <w:szCs w:val="30"/>
        </w:rPr>
        <w:t>减少</w:t>
      </w:r>
      <w:r>
        <w:rPr>
          <w:rFonts w:hint="eastAsia" w:eastAsia="仿宋_GB2312"/>
          <w:color w:val="auto"/>
          <w:kern w:val="0"/>
          <w:sz w:val="30"/>
          <w:szCs w:val="30"/>
        </w:rPr>
        <w:t>）</w:t>
      </w:r>
      <w:r>
        <w:rPr>
          <w:rFonts w:eastAsia="仿宋_GB2312"/>
          <w:color w:val="auto"/>
          <w:kern w:val="0"/>
          <w:sz w:val="30"/>
          <w:szCs w:val="30"/>
        </w:rPr>
        <w:t>万元，</w:t>
      </w:r>
      <w:r>
        <w:rPr>
          <w:rFonts w:hint="eastAsia" w:eastAsia="仿宋_GB2312"/>
          <w:color w:val="auto"/>
          <w:kern w:val="0"/>
          <w:sz w:val="30"/>
          <w:szCs w:val="30"/>
        </w:rPr>
        <w:t>增长（</w:t>
      </w:r>
      <w:r>
        <w:rPr>
          <w:rFonts w:eastAsia="仿宋_GB2312"/>
          <w:color w:val="auto"/>
          <w:kern w:val="0"/>
          <w:sz w:val="30"/>
          <w:szCs w:val="30"/>
        </w:rPr>
        <w:t>下降</w:t>
      </w:r>
      <w:r>
        <w:rPr>
          <w:rFonts w:hint="eastAsia" w:eastAsia="仿宋_GB2312"/>
          <w:color w:val="auto"/>
          <w:kern w:val="0"/>
          <w:sz w:val="30"/>
          <w:szCs w:val="30"/>
        </w:rPr>
        <w:t>）</w:t>
      </w:r>
      <w:r>
        <w:rPr>
          <w:rFonts w:eastAsia="仿宋_GB2312"/>
          <w:color w:val="auto"/>
          <w:kern w:val="0"/>
          <w:sz w:val="30"/>
          <w:szCs w:val="30"/>
        </w:rPr>
        <w:t>%，共计安排因公出国（境）团组××个，因公出国（境）人次</w:t>
      </w:r>
      <w:r>
        <w:rPr>
          <w:rFonts w:hint="eastAsia" w:eastAsia="仿宋_GB2312"/>
          <w:color w:val="auto"/>
          <w:kern w:val="0"/>
          <w:sz w:val="30"/>
          <w:szCs w:val="30"/>
        </w:rPr>
        <w:t>。</w:t>
      </w:r>
    </w:p>
    <w:p>
      <w:pPr>
        <w:widowControl/>
        <w:ind w:firstLine="600" w:firstLineChars="200"/>
        <w:jc w:val="left"/>
        <w:rPr>
          <w:rFonts w:ascii="楷体_GB2312" w:eastAsia="楷体_GB2312"/>
          <w:color w:val="auto"/>
          <w:kern w:val="0"/>
          <w:sz w:val="30"/>
          <w:szCs w:val="30"/>
        </w:rPr>
      </w:pPr>
      <w:r>
        <w:rPr>
          <w:rFonts w:hint="eastAsia" w:ascii="楷体_GB2312" w:eastAsia="楷体_GB2312"/>
          <w:color w:val="auto"/>
          <w:kern w:val="0"/>
          <w:sz w:val="30"/>
          <w:szCs w:val="30"/>
        </w:rPr>
        <w:t>（二）</w:t>
      </w:r>
      <w:r>
        <w:rPr>
          <w:rFonts w:ascii="楷体_GB2312" w:eastAsia="楷体_GB2312"/>
          <w:color w:val="auto"/>
          <w:kern w:val="0"/>
          <w:sz w:val="30"/>
          <w:szCs w:val="30"/>
        </w:rPr>
        <w:t>公务接待费</w:t>
      </w:r>
    </w:p>
    <w:p>
      <w:pPr>
        <w:widowControl/>
        <w:ind w:firstLine="600" w:firstLineChars="200"/>
        <w:jc w:val="left"/>
        <w:rPr>
          <w:rFonts w:eastAsia="仿宋_GB2312"/>
          <w:color w:val="auto"/>
          <w:kern w:val="0"/>
          <w:sz w:val="30"/>
          <w:szCs w:val="30"/>
        </w:rPr>
      </w:pPr>
      <w:r>
        <w:rPr>
          <w:rFonts w:hint="eastAsia" w:eastAsia="仿宋_GB2312"/>
          <w:color w:val="auto"/>
          <w:kern w:val="0"/>
          <w:sz w:val="30"/>
          <w:szCs w:val="30"/>
        </w:rPr>
        <w:t>2021年公务接待费预算</w:t>
      </w:r>
      <w:r>
        <w:rPr>
          <w:rFonts w:eastAsia="仿宋_GB2312"/>
          <w:color w:val="auto"/>
          <w:kern w:val="0"/>
          <w:sz w:val="30"/>
          <w:szCs w:val="30"/>
        </w:rPr>
        <w:t>为</w:t>
      </w:r>
      <w:r>
        <w:rPr>
          <w:rFonts w:hint="eastAsia" w:eastAsia="仿宋_GB2312"/>
          <w:color w:val="auto"/>
          <w:kern w:val="0"/>
          <w:sz w:val="30"/>
          <w:szCs w:val="30"/>
          <w:lang w:val="en-US" w:eastAsia="zh-CN"/>
        </w:rPr>
        <w:t>2.5</w:t>
      </w:r>
      <w:r>
        <w:rPr>
          <w:rFonts w:eastAsia="仿宋_GB2312"/>
          <w:color w:val="auto"/>
          <w:kern w:val="0"/>
          <w:sz w:val="30"/>
          <w:szCs w:val="30"/>
        </w:rPr>
        <w:t>万元，较上年减少</w:t>
      </w:r>
      <w:r>
        <w:rPr>
          <w:rFonts w:hint="eastAsia" w:eastAsia="仿宋_GB2312"/>
          <w:color w:val="auto"/>
          <w:kern w:val="0"/>
          <w:sz w:val="30"/>
          <w:szCs w:val="30"/>
          <w:lang w:val="en-US" w:eastAsia="zh-CN"/>
        </w:rPr>
        <w:t>0.5</w:t>
      </w:r>
      <w:r>
        <w:rPr>
          <w:rFonts w:eastAsia="仿宋_GB2312"/>
          <w:color w:val="auto"/>
          <w:kern w:val="0"/>
          <w:sz w:val="30"/>
          <w:szCs w:val="30"/>
        </w:rPr>
        <w:t>万元，下降</w:t>
      </w:r>
      <w:r>
        <w:rPr>
          <w:rFonts w:hint="eastAsia" w:eastAsia="仿宋_GB2312"/>
          <w:color w:val="auto"/>
          <w:kern w:val="0"/>
          <w:sz w:val="30"/>
          <w:szCs w:val="30"/>
          <w:lang w:val="en-US" w:eastAsia="zh-CN"/>
        </w:rPr>
        <w:t>16.67</w:t>
      </w:r>
      <w:r>
        <w:rPr>
          <w:rFonts w:eastAsia="仿宋_GB2312"/>
          <w:color w:val="auto"/>
          <w:kern w:val="0"/>
          <w:sz w:val="30"/>
          <w:szCs w:val="30"/>
        </w:rPr>
        <w:t>%</w:t>
      </w:r>
      <w:r>
        <w:rPr>
          <w:rFonts w:hint="eastAsia" w:eastAsia="仿宋_GB2312"/>
          <w:color w:val="auto"/>
          <w:kern w:val="0"/>
          <w:sz w:val="30"/>
          <w:szCs w:val="30"/>
        </w:rPr>
        <w:t>。</w:t>
      </w:r>
    </w:p>
    <w:p>
      <w:pPr>
        <w:widowControl/>
        <w:ind w:firstLine="600" w:firstLineChars="200"/>
        <w:jc w:val="left"/>
        <w:rPr>
          <w:rFonts w:hint="eastAsia" w:eastAsia="仿宋_GB2312"/>
          <w:color w:val="auto"/>
          <w:kern w:val="0"/>
          <w:sz w:val="30"/>
          <w:szCs w:val="30"/>
          <w:lang w:val="en-US" w:eastAsia="zh-CN"/>
        </w:rPr>
      </w:pPr>
      <w:r>
        <w:rPr>
          <w:rFonts w:eastAsia="仿宋_GB2312"/>
          <w:color w:val="auto"/>
          <w:kern w:val="0"/>
          <w:sz w:val="30"/>
          <w:szCs w:val="30"/>
        </w:rPr>
        <w:t>增减变化原因</w:t>
      </w:r>
      <w:r>
        <w:rPr>
          <w:rFonts w:hint="eastAsia" w:eastAsia="仿宋_GB2312"/>
          <w:color w:val="auto"/>
          <w:kern w:val="0"/>
          <w:sz w:val="30"/>
          <w:szCs w:val="30"/>
          <w:lang w:val="en-US" w:eastAsia="zh-CN"/>
        </w:rPr>
        <w:t>是2020年实际支出数较预算数减少，故2021年预算数有所减少。</w:t>
      </w:r>
    </w:p>
    <w:p>
      <w:pPr>
        <w:widowControl/>
        <w:ind w:firstLine="600" w:firstLineChars="200"/>
        <w:jc w:val="left"/>
        <w:rPr>
          <w:rFonts w:ascii="楷体_GB2312" w:eastAsia="楷体_GB2312"/>
          <w:color w:val="auto"/>
          <w:kern w:val="0"/>
          <w:sz w:val="30"/>
          <w:szCs w:val="30"/>
        </w:rPr>
      </w:pPr>
      <w:r>
        <w:rPr>
          <w:rFonts w:hint="eastAsia" w:ascii="楷体_GB2312" w:eastAsia="楷体_GB2312"/>
          <w:color w:val="auto"/>
          <w:kern w:val="0"/>
          <w:sz w:val="30"/>
          <w:szCs w:val="30"/>
        </w:rPr>
        <w:t>（三）</w:t>
      </w:r>
      <w:r>
        <w:rPr>
          <w:rFonts w:ascii="楷体_GB2312" w:eastAsia="楷体_GB2312"/>
          <w:color w:val="auto"/>
          <w:kern w:val="0"/>
          <w:sz w:val="30"/>
          <w:szCs w:val="30"/>
        </w:rPr>
        <w:t>公务用车购置及运行维护费</w:t>
      </w:r>
    </w:p>
    <w:p>
      <w:pPr>
        <w:widowControl/>
        <w:ind w:firstLine="600" w:firstLineChars="200"/>
        <w:jc w:val="left"/>
        <w:rPr>
          <w:rFonts w:hint="eastAsia" w:eastAsia="仿宋_GB2312"/>
          <w:color w:val="auto"/>
          <w:kern w:val="0"/>
          <w:sz w:val="30"/>
          <w:szCs w:val="30"/>
          <w:lang w:val="en-US" w:eastAsia="zh-CN"/>
        </w:rPr>
      </w:pPr>
      <w:r>
        <w:rPr>
          <w:rFonts w:hint="eastAsia" w:eastAsia="仿宋_GB2312"/>
          <w:color w:val="auto"/>
          <w:kern w:val="0"/>
          <w:sz w:val="30"/>
          <w:szCs w:val="30"/>
        </w:rPr>
        <w:t>2021年公务用车购置及运行维护费</w:t>
      </w:r>
      <w:r>
        <w:rPr>
          <w:rFonts w:eastAsia="仿宋_GB2312"/>
          <w:color w:val="auto"/>
          <w:kern w:val="0"/>
          <w:sz w:val="30"/>
          <w:szCs w:val="30"/>
        </w:rPr>
        <w:t>为</w:t>
      </w:r>
      <w:r>
        <w:rPr>
          <w:rFonts w:hint="eastAsia" w:eastAsia="仿宋_GB2312"/>
          <w:color w:val="auto"/>
          <w:kern w:val="0"/>
          <w:sz w:val="30"/>
          <w:szCs w:val="30"/>
          <w:lang w:val="en-US" w:eastAsia="zh-CN"/>
        </w:rPr>
        <w:t>2.2</w:t>
      </w:r>
      <w:r>
        <w:rPr>
          <w:rFonts w:eastAsia="仿宋_GB2312"/>
          <w:color w:val="auto"/>
          <w:kern w:val="0"/>
          <w:sz w:val="30"/>
          <w:szCs w:val="30"/>
        </w:rPr>
        <w:t>万元，</w:t>
      </w:r>
      <w:r>
        <w:rPr>
          <w:rFonts w:hint="eastAsia" w:eastAsia="仿宋_GB2312"/>
          <w:color w:val="auto"/>
          <w:kern w:val="0"/>
          <w:sz w:val="30"/>
          <w:szCs w:val="30"/>
          <w:lang w:val="en-US" w:eastAsia="zh-CN"/>
        </w:rPr>
        <w:t>与</w:t>
      </w:r>
      <w:r>
        <w:rPr>
          <w:rFonts w:hint="default" w:eastAsia="仿宋_GB2312"/>
          <w:color w:val="auto"/>
          <w:kern w:val="0"/>
          <w:sz w:val="30"/>
          <w:szCs w:val="30"/>
          <w:lang w:val="en-US" w:eastAsia="zh-CN"/>
        </w:rPr>
        <w:t>上年预算数相同</w:t>
      </w:r>
      <w:r>
        <w:rPr>
          <w:rFonts w:hint="eastAsia" w:eastAsia="仿宋_GB2312"/>
          <w:color w:val="auto"/>
          <w:kern w:val="0"/>
          <w:sz w:val="30"/>
          <w:szCs w:val="30"/>
          <w:lang w:val="en-US" w:eastAsia="zh-CN"/>
        </w:rPr>
        <w:t>。</w:t>
      </w:r>
    </w:p>
    <w:p>
      <w:pPr>
        <w:widowControl/>
        <w:ind w:firstLine="600" w:firstLineChars="200"/>
        <w:jc w:val="left"/>
        <w:rPr>
          <w:rFonts w:ascii="黑体" w:hAnsi="黑体" w:eastAsia="黑体"/>
          <w:color w:val="auto"/>
          <w:kern w:val="0"/>
          <w:sz w:val="30"/>
          <w:szCs w:val="30"/>
        </w:rPr>
      </w:pPr>
      <w:r>
        <w:rPr>
          <w:rFonts w:hint="eastAsia" w:ascii="黑体" w:hAnsi="黑体" w:eastAsia="黑体"/>
          <w:color w:val="auto"/>
          <w:kern w:val="0"/>
          <w:sz w:val="30"/>
          <w:szCs w:val="30"/>
        </w:rPr>
        <w:t>八</w:t>
      </w:r>
      <w:r>
        <w:rPr>
          <w:rFonts w:ascii="黑体" w:hAnsi="黑体" w:eastAsia="黑体"/>
          <w:color w:val="auto"/>
          <w:kern w:val="0"/>
          <w:sz w:val="30"/>
          <w:szCs w:val="30"/>
        </w:rPr>
        <w:t>、</w:t>
      </w:r>
      <w:r>
        <w:rPr>
          <w:rFonts w:hint="eastAsia" w:ascii="黑体" w:hAnsi="黑体" w:eastAsia="黑体"/>
          <w:color w:val="auto"/>
          <w:kern w:val="0"/>
          <w:sz w:val="30"/>
          <w:szCs w:val="30"/>
        </w:rPr>
        <w:t>重点项目预算绩效目标情况</w:t>
      </w:r>
    </w:p>
    <w:p>
      <w:pPr>
        <w:widowControl/>
        <w:ind w:firstLine="600" w:firstLineChars="200"/>
        <w:jc w:val="left"/>
        <w:rPr>
          <w:rFonts w:hint="eastAsia" w:eastAsia="仿宋_GB2312"/>
          <w:color w:val="auto"/>
          <w:kern w:val="0"/>
          <w:sz w:val="30"/>
          <w:szCs w:val="30"/>
        </w:rPr>
      </w:pPr>
      <w:r>
        <w:rPr>
          <w:rFonts w:hint="eastAsia" w:eastAsia="仿宋_GB2312"/>
          <w:color w:val="auto"/>
          <w:kern w:val="0"/>
          <w:sz w:val="30"/>
          <w:szCs w:val="30"/>
        </w:rPr>
        <w:t>20</w:t>
      </w:r>
      <w:r>
        <w:rPr>
          <w:rFonts w:hint="eastAsia" w:eastAsia="仿宋_GB2312"/>
          <w:color w:val="auto"/>
          <w:kern w:val="0"/>
          <w:sz w:val="30"/>
          <w:szCs w:val="30"/>
          <w:lang w:val="en-US" w:eastAsia="zh-CN"/>
        </w:rPr>
        <w:t>21</w:t>
      </w:r>
      <w:r>
        <w:rPr>
          <w:rFonts w:hint="eastAsia" w:eastAsia="仿宋_GB2312"/>
          <w:color w:val="auto"/>
          <w:kern w:val="0"/>
          <w:sz w:val="30"/>
          <w:szCs w:val="30"/>
        </w:rPr>
        <w:t>年盘龙区卫健部门预算项目</w:t>
      </w:r>
      <w:r>
        <w:rPr>
          <w:rFonts w:hint="eastAsia" w:eastAsia="仿宋_GB2312"/>
          <w:color w:val="auto"/>
          <w:kern w:val="0"/>
          <w:sz w:val="30"/>
          <w:szCs w:val="30"/>
          <w:lang w:val="en-US" w:eastAsia="zh-CN"/>
        </w:rPr>
        <w:t>47</w:t>
      </w:r>
      <w:r>
        <w:rPr>
          <w:rFonts w:hint="eastAsia" w:eastAsia="仿宋_GB2312"/>
          <w:color w:val="auto"/>
          <w:kern w:val="0"/>
          <w:sz w:val="30"/>
          <w:szCs w:val="30"/>
        </w:rPr>
        <w:t>个，预算金额5,883.08万元，选取预算金额大于500万元以上的区本级项目，绩效目标情况如下：</w:t>
      </w:r>
    </w:p>
    <w:p>
      <w:pPr>
        <w:pStyle w:val="2"/>
        <w:numPr>
          <w:ilvl w:val="0"/>
          <w:numId w:val="1"/>
        </w:numPr>
        <w:rPr>
          <w:rFonts w:hint="eastAsia" w:eastAsia="仿宋_GB2312"/>
          <w:color w:val="auto"/>
          <w:kern w:val="0"/>
          <w:sz w:val="30"/>
          <w:szCs w:val="30"/>
          <w:lang w:val="en-US" w:eastAsia="zh-CN"/>
        </w:rPr>
      </w:pPr>
      <w:r>
        <w:rPr>
          <w:rFonts w:hint="eastAsia" w:eastAsia="仿宋_GB2312"/>
          <w:color w:val="auto"/>
          <w:kern w:val="0"/>
          <w:sz w:val="30"/>
          <w:szCs w:val="30"/>
          <w:lang w:val="en-US" w:eastAsia="zh-CN"/>
        </w:rPr>
        <w:t>实施国家基本公共卫生服务项目是促进基本公共卫生服务逐步均等化的重要内家，是我国公共卫生领域的一项长期制度安排。国家基本公共卫生服务项目内容包括：居民健康档案管理服务、健康教育服务、预防接种服务、0-6岁儿童健康管理服务、孕产妇健康管理服务、老年人健康管理服务、高血压患者健康管理服务、2型糖尿病患者健康管理服务、严重精神障碍患者管理服务、肺结核患者健康管理服务、中医药健康管理服务、传染病及突发公共卫生事件报告和处理服务、卫生计生监督协管服务、免费提供避孕药具、健康素养促进行动。</w:t>
      </w:r>
    </w:p>
    <w:p>
      <w:pPr>
        <w:pStyle w:val="3"/>
        <w:numPr>
          <w:ilvl w:val="0"/>
          <w:numId w:val="0"/>
        </w:numPr>
        <w:rPr>
          <w:rFonts w:hint="default"/>
          <w:color w:val="auto"/>
          <w:lang w:val="en-US" w:eastAsia="zh-CN"/>
        </w:rPr>
      </w:pPr>
      <w:r>
        <w:rPr>
          <w:rFonts w:hint="eastAsia"/>
          <w:color w:val="auto"/>
          <w:lang w:val="en-US" w:eastAsia="zh-CN"/>
        </w:rPr>
        <w:t xml:space="preserve">                                       项目绩效表</w:t>
      </w:r>
    </w:p>
    <w:tbl>
      <w:tblPr>
        <w:tblStyle w:val="7"/>
        <w:tblW w:w="8835" w:type="dxa"/>
        <w:tblInd w:w="0" w:type="dxa"/>
        <w:shd w:val="clear" w:color="auto" w:fill="auto"/>
        <w:tblLayout w:type="fixed"/>
        <w:tblCellMar>
          <w:top w:w="0" w:type="dxa"/>
          <w:left w:w="0" w:type="dxa"/>
          <w:bottom w:w="0" w:type="dxa"/>
          <w:right w:w="0" w:type="dxa"/>
        </w:tblCellMar>
      </w:tblPr>
      <w:tblGrid>
        <w:gridCol w:w="2010"/>
        <w:gridCol w:w="895"/>
        <w:gridCol w:w="563"/>
        <w:gridCol w:w="525"/>
        <w:gridCol w:w="895"/>
        <w:gridCol w:w="1111"/>
        <w:gridCol w:w="570"/>
        <w:gridCol w:w="1065"/>
        <w:gridCol w:w="1201"/>
      </w:tblGrid>
      <w:tr>
        <w:tblPrEx>
          <w:tblLayout w:type="fixed"/>
          <w:tblCellMar>
            <w:top w:w="0" w:type="dxa"/>
            <w:left w:w="0" w:type="dxa"/>
            <w:bottom w:w="0" w:type="dxa"/>
            <w:right w:w="0" w:type="dxa"/>
          </w:tblCellMar>
        </w:tblPrEx>
        <w:trPr>
          <w:trHeight w:val="2025" w:hRule="atLeast"/>
        </w:trPr>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单位名称、项目名称</w:t>
            </w:r>
          </w:p>
        </w:tc>
        <w:tc>
          <w:tcPr>
            <w:tcW w:w="89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项目目标</w:t>
            </w:r>
          </w:p>
        </w:tc>
        <w:tc>
          <w:tcPr>
            <w:tcW w:w="56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一级指标</w:t>
            </w:r>
          </w:p>
        </w:tc>
        <w:tc>
          <w:tcPr>
            <w:tcW w:w="52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二级指标</w:t>
            </w:r>
          </w:p>
        </w:tc>
        <w:tc>
          <w:tcPr>
            <w:tcW w:w="89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三级指标</w:t>
            </w:r>
          </w:p>
        </w:tc>
        <w:tc>
          <w:tcPr>
            <w:tcW w:w="111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w:t>
            </w:r>
          </w:p>
        </w:tc>
        <w:tc>
          <w:tcPr>
            <w:tcW w:w="5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度量单位</w:t>
            </w:r>
          </w:p>
        </w:tc>
        <w:tc>
          <w:tcPr>
            <w:tcW w:w="1065" w:type="dxa"/>
            <w:tcBorders>
              <w:top w:val="single" w:color="000000" w:sz="4" w:space="0"/>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指标内容</w:t>
            </w:r>
          </w:p>
        </w:tc>
        <w:tc>
          <w:tcPr>
            <w:tcW w:w="120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绩效指标值设定依据及数据来源</w:t>
            </w:r>
          </w:p>
        </w:tc>
      </w:tr>
      <w:tr>
        <w:tblPrEx>
          <w:shd w:val="clear" w:color="auto" w:fill="auto"/>
          <w:tblLayout w:type="fixed"/>
          <w:tblCellMar>
            <w:top w:w="0" w:type="dxa"/>
            <w:left w:w="0" w:type="dxa"/>
            <w:bottom w:w="0" w:type="dxa"/>
            <w:right w:w="0" w:type="dxa"/>
          </w:tblCellMar>
        </w:tblPrEx>
        <w:trPr>
          <w:trHeight w:val="270" w:hRule="atLeast"/>
        </w:trPr>
        <w:tc>
          <w:tcPr>
            <w:tcW w:w="201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8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56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5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8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11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1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w:t>
            </w:r>
          </w:p>
        </w:tc>
        <w:tc>
          <w:tcPr>
            <w:tcW w:w="120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r>
      <w:tr>
        <w:tblPrEx>
          <w:tblLayout w:type="fixed"/>
          <w:tblCellMar>
            <w:top w:w="0" w:type="dxa"/>
            <w:left w:w="0" w:type="dxa"/>
            <w:bottom w:w="0" w:type="dxa"/>
            <w:right w:w="0" w:type="dxa"/>
          </w:tblCellMar>
        </w:tblPrEx>
        <w:trPr>
          <w:trHeight w:val="270" w:hRule="atLeast"/>
        </w:trPr>
        <w:tc>
          <w:tcPr>
            <w:tcW w:w="201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昆明市盘龙区卫生健康局</w:t>
            </w:r>
          </w:p>
        </w:tc>
        <w:tc>
          <w:tcPr>
            <w:tcW w:w="8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525"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1111"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10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1201"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r>
      <w:tr>
        <w:tblPrEx>
          <w:shd w:val="clear" w:color="auto" w:fill="auto"/>
          <w:tblLayout w:type="fixed"/>
          <w:tblCellMar>
            <w:top w:w="0" w:type="dxa"/>
            <w:left w:w="0" w:type="dxa"/>
            <w:bottom w:w="0" w:type="dxa"/>
            <w:right w:w="0" w:type="dxa"/>
          </w:tblCellMar>
        </w:tblPrEx>
        <w:trPr>
          <w:trHeight w:val="900" w:hRule="atLeast"/>
        </w:trPr>
        <w:tc>
          <w:tcPr>
            <w:tcW w:w="2010" w:type="dxa"/>
            <w:vMerge w:val="restart"/>
            <w:tcBorders>
              <w:top w:val="nil"/>
              <w:left w:val="single" w:color="000000" w:sz="4" w:space="0"/>
              <w:bottom w:val="nil"/>
              <w:right w:val="nil"/>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基本公共卫生服务专项资金</w:t>
            </w:r>
          </w:p>
        </w:tc>
        <w:tc>
          <w:tcPr>
            <w:tcW w:w="895"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居民健康档案规范化电子建档率保持在75%以上，稳步提高档案使用率；新生儿访视率、儿童健康管理率、早孕建册率和产后访视率分别达到85%以上，新生儿遗传代谢性疾病筛查率达到90%，听力筛查率达到90%；婚前医学检查率全省达到80%。各乡镇、街道适龄儿童国家免疫规划疫苗接种率保持在90%以上，进一步加强流动儿童的接种工作；以县（区、市）为单位，65岁以上老年人健康管理率达到67%以上；传染病报告率和报告及时率达到95%以上，突发公共卫生事件相关信息报告率达到100%；18岁及以上高血压、糖尿病患者管理人数稳步提高，全省管理高血压患者人数保持在273万人以上、管理糖尿病患者人数达到68万人以上，高血压和糖尿病患者规范化管理率均达到60%以上；严重精神障碍患者管理人数稳步提高，全省随访管理人数达到189672人以上，规范化管理率达到75%以上；结核病患者管理率达到90%以上。以县（区、市）为单位，健康教育覆盖率达70%以上，健康生活方式与行为养成率达20%以上；辖区内卫生计生协管服务相对人建档率80%以上；65岁及以上老年人和0-36个月儿童中医药健康管理服务目标人群覆盖率达到45%以上；各项指标（见附件3）已分解至州（市），请各地进一步细化县级任务目标，积极推进工作，确保完成年度各项任务。以省为单位，居民健康素养水平较上年度提高不少于2个百分点，15岁及以上人群烟草使用流行率较上一年度降低不少于0.6个百分点</w:t>
            </w: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居民健康档案管理电子建档率(%)</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75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基本公共卫生服务信息系统统计</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云南省基本公共卫生服务项目补助资金管理与核算办法</w:t>
            </w:r>
          </w:p>
        </w:tc>
      </w:tr>
      <w:tr>
        <w:tblPrEx>
          <w:shd w:val="clear" w:color="auto" w:fill="auto"/>
          <w:tblLayout w:type="fixed"/>
          <w:tblCellMar>
            <w:top w:w="0" w:type="dxa"/>
            <w:left w:w="0" w:type="dxa"/>
            <w:bottom w:w="0" w:type="dxa"/>
            <w:right w:w="0" w:type="dxa"/>
          </w:tblCellMar>
        </w:tblPrEx>
        <w:trPr>
          <w:trHeight w:val="78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健康教育健康教育覆盖率（%）</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70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7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新生儿疾病筛查遗传代谢病性疾病筛查率(%)</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80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74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糖尿病患者管理任务数(人)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16000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基本公共卫生服务信息系统统计</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云南省基本公共卫生服务项目补助资金管理与核算办法</w:t>
            </w:r>
          </w:p>
        </w:tc>
      </w:tr>
      <w:tr>
        <w:tblPrEx>
          <w:tblLayout w:type="fixed"/>
          <w:tblCellMar>
            <w:top w:w="0" w:type="dxa"/>
            <w:left w:w="0" w:type="dxa"/>
            <w:bottom w:w="0" w:type="dxa"/>
            <w:right w:w="0" w:type="dxa"/>
          </w:tblCellMar>
        </w:tblPrEx>
        <w:trPr>
          <w:trHeight w:val="70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卫生监督协管相对人建档率率(%)</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80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68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高血压患者规范管理管理率（%）</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60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78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0-6岁儿童免疫规划疫苗接种任务数(人)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79074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云南省基本公共卫生服务项目补助资金管理与核算办法</w:t>
            </w:r>
          </w:p>
        </w:tc>
      </w:tr>
      <w:tr>
        <w:tblPrEx>
          <w:tblLayout w:type="fixed"/>
          <w:tblCellMar>
            <w:top w:w="0" w:type="dxa"/>
            <w:left w:w="0" w:type="dxa"/>
            <w:bottom w:w="0" w:type="dxa"/>
            <w:right w:w="0" w:type="dxa"/>
          </w:tblCellMar>
        </w:tblPrEx>
        <w:trPr>
          <w:trHeight w:val="675"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孕产妇健康管理早孕检测率(%)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85</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74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结核病患者管理任务率（%）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90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176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基本公卫人均标准</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74元*12.8%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元/人</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根据《昆明市基本公共服务领域市以下共同财政事权和支出责任划分改革实施方案的通知》（昆政办[2019]86号）文件，中央、省、市按照80：4：16的比例分摊，市、区比例按照3.2：12.8的比例分摊，2019年底中央结算资金按照2017年常住人口83.78万人进行配套，2020年预算参照2019年标准69元/人年测算</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9.472元*84.2万人=797.5424万元</w:t>
            </w:r>
          </w:p>
        </w:tc>
      </w:tr>
      <w:tr>
        <w:tblPrEx>
          <w:tblLayout w:type="fixed"/>
          <w:tblCellMar>
            <w:top w:w="0" w:type="dxa"/>
            <w:left w:w="0" w:type="dxa"/>
            <w:bottom w:w="0" w:type="dxa"/>
            <w:right w:w="0" w:type="dxa"/>
          </w:tblCellMar>
        </w:tblPrEx>
        <w:trPr>
          <w:trHeight w:val="5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基本公共卫生服务开展项目</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12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个（项）</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《国家基本公共卫生服务规范2007版》</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《国家基本公共卫生服务规范2007版》</w:t>
            </w:r>
          </w:p>
        </w:tc>
      </w:tr>
      <w:tr>
        <w:tblPrEx>
          <w:tblLayout w:type="fixed"/>
          <w:tblCellMar>
            <w:top w:w="0" w:type="dxa"/>
            <w:left w:w="0" w:type="dxa"/>
            <w:bottom w:w="0" w:type="dxa"/>
            <w:right w:w="0" w:type="dxa"/>
          </w:tblCellMar>
        </w:tblPrEx>
        <w:trPr>
          <w:trHeight w:val="66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管理人群人群血压控制控制率（%）</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35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7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健康教育健康生活方式和行为养成率（%）</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20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7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严重精神障碍患者管理任务数(人)</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3054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云南省基本公共卫生服务项目补助资金管理与核算办法</w:t>
            </w:r>
          </w:p>
        </w:tc>
      </w:tr>
      <w:tr>
        <w:tblPrEx>
          <w:tblLayout w:type="fixed"/>
          <w:tblCellMar>
            <w:top w:w="0" w:type="dxa"/>
            <w:left w:w="0" w:type="dxa"/>
            <w:bottom w:w="0" w:type="dxa"/>
            <w:right w:w="0" w:type="dxa"/>
          </w:tblCellMar>
        </w:tblPrEx>
        <w:trPr>
          <w:trHeight w:val="10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新生儿疾病筛查听力筛查率(%)</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85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60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孕产妇健康管理产后访视率(%)</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85</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5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中医药健康管理儿童目标人群覆盖率(%)</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45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54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管理人群人群血糖控制控制率（%）</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5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老年人健康管理管理率(%)</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70</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7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公共卫生服务人数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84.2</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《国家基本公共卫生服务规范2007版》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《国家基本公共卫生服务规范2007版》</w:t>
            </w:r>
          </w:p>
        </w:tc>
      </w:tr>
      <w:tr>
        <w:tblPrEx>
          <w:tblLayout w:type="fixed"/>
          <w:tblCellMar>
            <w:top w:w="0" w:type="dxa"/>
            <w:left w:w="0" w:type="dxa"/>
            <w:bottom w:w="0" w:type="dxa"/>
            <w:right w:w="0" w:type="dxa"/>
          </w:tblCellMar>
        </w:tblPrEx>
        <w:trPr>
          <w:trHeight w:val="74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中医药健康管理老年人目标人群覆盖率(%)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45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154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效益指标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社会效益指标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对社会产生的影响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提高基层卫生服务能力，促进基本公共卫生均等化，降低疾病发生率，有利于社会和谐稳定发展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基本公共卫生服务信息系统统计</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云南省基本公共卫生服务项目补助资金管理与核算办法</w:t>
            </w:r>
          </w:p>
        </w:tc>
      </w:tr>
      <w:tr>
        <w:tblPrEx>
          <w:tblLayout w:type="fixed"/>
          <w:tblCellMar>
            <w:top w:w="0" w:type="dxa"/>
            <w:left w:w="0" w:type="dxa"/>
            <w:bottom w:w="0" w:type="dxa"/>
            <w:right w:w="0" w:type="dxa"/>
          </w:tblCellMar>
        </w:tblPrEx>
        <w:trPr>
          <w:trHeight w:val="7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0-6岁儿童健康管理新生儿访视率(%)</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11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85</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云南省基本公共卫生服务项目补助资金管理与核算办法</w:t>
            </w:r>
          </w:p>
        </w:tc>
      </w:tr>
      <w:tr>
        <w:tblPrEx>
          <w:tblLayout w:type="fixed"/>
          <w:tblCellMar>
            <w:top w:w="0" w:type="dxa"/>
            <w:left w:w="0" w:type="dxa"/>
            <w:bottom w:w="0" w:type="dxa"/>
            <w:right w:w="0" w:type="dxa"/>
          </w:tblCellMar>
        </w:tblPrEx>
        <w:trPr>
          <w:trHeight w:val="720" w:hRule="atLeast"/>
        </w:trPr>
        <w:tc>
          <w:tcPr>
            <w:tcW w:w="2010" w:type="dxa"/>
            <w:vMerge w:val="continue"/>
            <w:tcBorders>
              <w:top w:val="nil"/>
              <w:left w:val="single" w:color="000000" w:sz="4" w:space="0"/>
              <w:bottom w:val="nil"/>
              <w:right w:val="nil"/>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nil"/>
              <w:left w:val="nil"/>
              <w:bottom w:val="nil"/>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满意度指标</w:t>
            </w:r>
          </w:p>
        </w:tc>
        <w:tc>
          <w:tcPr>
            <w:tcW w:w="525" w:type="dxa"/>
            <w:tcBorders>
              <w:top w:val="nil"/>
              <w:left w:val="nil"/>
              <w:bottom w:val="nil"/>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服务对象满意度指标</w:t>
            </w:r>
          </w:p>
        </w:tc>
        <w:tc>
          <w:tcPr>
            <w:tcW w:w="895" w:type="dxa"/>
            <w:tcBorders>
              <w:top w:val="nil"/>
              <w:left w:val="nil"/>
              <w:bottom w:val="nil"/>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辖区居民满意度 </w:t>
            </w:r>
          </w:p>
        </w:tc>
        <w:tc>
          <w:tcPr>
            <w:tcW w:w="1111" w:type="dxa"/>
            <w:tcBorders>
              <w:top w:val="nil"/>
              <w:left w:val="nil"/>
              <w:bottom w:val="nil"/>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90 </w:t>
            </w:r>
          </w:p>
        </w:tc>
        <w:tc>
          <w:tcPr>
            <w:tcW w:w="570" w:type="dxa"/>
            <w:tcBorders>
              <w:top w:val="nil"/>
              <w:left w:val="nil"/>
              <w:bottom w:val="nil"/>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nil"/>
              <w:left w:val="nil"/>
              <w:bottom w:val="nil"/>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满意度调查 </w:t>
            </w:r>
          </w:p>
        </w:tc>
        <w:tc>
          <w:tcPr>
            <w:tcW w:w="1201" w:type="dxa"/>
            <w:tcBorders>
              <w:top w:val="nil"/>
              <w:left w:val="nil"/>
              <w:bottom w:val="nil"/>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问卷调查</w:t>
            </w:r>
          </w:p>
        </w:tc>
      </w:tr>
      <w:tr>
        <w:tblPrEx>
          <w:tblLayout w:type="fixed"/>
          <w:tblCellMar>
            <w:top w:w="0" w:type="dxa"/>
            <w:left w:w="0" w:type="dxa"/>
            <w:bottom w:w="0" w:type="dxa"/>
            <w:right w:w="0" w:type="dxa"/>
          </w:tblCellMar>
        </w:tblPrEx>
        <w:trPr>
          <w:trHeight w:val="580" w:hRule="atLeast"/>
        </w:trPr>
        <w:tc>
          <w:tcPr>
            <w:tcW w:w="2010" w:type="dxa"/>
            <w:vMerge w:val="restart"/>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auto"/>
                <w:sz w:val="22"/>
                <w:szCs w:val="22"/>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高血压患者管理任务数(人)</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49150 </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云南省基本公共卫生服务项目补助资金管理与核算办法</w:t>
            </w:r>
          </w:p>
        </w:tc>
      </w:tr>
      <w:tr>
        <w:tblPrEx>
          <w:tblLayout w:type="fixed"/>
          <w:tblCellMar>
            <w:top w:w="0" w:type="dxa"/>
            <w:left w:w="0" w:type="dxa"/>
            <w:bottom w:w="0" w:type="dxa"/>
            <w:right w:w="0" w:type="dxa"/>
          </w:tblCellMar>
        </w:tblPrEx>
        <w:trPr>
          <w:trHeight w:val="1680" w:hRule="atLeast"/>
        </w:trPr>
        <w:tc>
          <w:tcPr>
            <w:tcW w:w="2010" w:type="dxa"/>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auto"/>
                <w:sz w:val="22"/>
                <w:szCs w:val="22"/>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项目总成本 </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797.5424</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元</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服务领域市以下共同财政事权和支出责任划分改革实施方案的通知》（昆政办[2019]86号）文件，中央、省、市按照80：4：16的比例分摊，市、区比例按照3.2：12.8的比例分摊，2019年底中央结算资金按照2017年常住人口83.78万人进行配套，2020年预算参照2019年标准69元/人年测算</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 xml:space="preserve"> </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9.472元*84.2万人=797.5424万元</w:t>
            </w:r>
            <w:r>
              <w:rPr>
                <w:rFonts w:hint="eastAsia" w:ascii="宋体" w:hAnsi="宋体" w:eastAsia="宋体" w:cs="宋体"/>
                <w:i w:val="0"/>
                <w:color w:val="auto"/>
                <w:kern w:val="0"/>
                <w:sz w:val="18"/>
                <w:szCs w:val="18"/>
                <w:u w:val="none"/>
                <w:lang w:val="en-US" w:eastAsia="zh-CN" w:bidi="ar"/>
              </w:rPr>
              <w:br w:type="textWrapping"/>
            </w:r>
            <w:r>
              <w:rPr>
                <w:rFonts w:hint="eastAsia" w:ascii="宋体" w:hAnsi="宋体" w:eastAsia="宋体" w:cs="宋体"/>
                <w:i w:val="0"/>
                <w:color w:val="auto"/>
                <w:kern w:val="0"/>
                <w:sz w:val="18"/>
                <w:szCs w:val="18"/>
                <w:u w:val="none"/>
                <w:lang w:val="en-US" w:eastAsia="zh-CN" w:bidi="ar"/>
              </w:rPr>
              <w:t>本级财政安排</w:t>
            </w:r>
          </w:p>
        </w:tc>
      </w:tr>
      <w:tr>
        <w:tblPrEx>
          <w:tblLayout w:type="fixed"/>
          <w:tblCellMar>
            <w:top w:w="0" w:type="dxa"/>
            <w:left w:w="0" w:type="dxa"/>
            <w:bottom w:w="0" w:type="dxa"/>
            <w:right w:w="0" w:type="dxa"/>
          </w:tblCellMar>
        </w:tblPrEx>
        <w:trPr>
          <w:trHeight w:val="450" w:hRule="atLeast"/>
        </w:trPr>
        <w:tc>
          <w:tcPr>
            <w:tcW w:w="2010" w:type="dxa"/>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auto"/>
                <w:sz w:val="22"/>
                <w:szCs w:val="22"/>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时效指标</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2021年年内</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2021年12月中旬前完成 </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年</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2021年内完成</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2021年内完成</w:t>
            </w:r>
          </w:p>
        </w:tc>
      </w:tr>
      <w:tr>
        <w:tblPrEx>
          <w:tblLayout w:type="fixed"/>
          <w:tblCellMar>
            <w:top w:w="0" w:type="dxa"/>
            <w:left w:w="0" w:type="dxa"/>
            <w:bottom w:w="0" w:type="dxa"/>
            <w:right w:w="0" w:type="dxa"/>
          </w:tblCellMar>
        </w:tblPrEx>
        <w:trPr>
          <w:trHeight w:val="675" w:hRule="atLeast"/>
        </w:trPr>
        <w:tc>
          <w:tcPr>
            <w:tcW w:w="2010" w:type="dxa"/>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auto"/>
                <w:sz w:val="22"/>
                <w:szCs w:val="22"/>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0-6岁儿童健康管理儿童健康管理率(%) </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85</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675" w:hRule="atLeast"/>
        </w:trPr>
        <w:tc>
          <w:tcPr>
            <w:tcW w:w="2010" w:type="dxa"/>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auto"/>
                <w:sz w:val="22"/>
                <w:szCs w:val="22"/>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糖尿病患者规范管理管理率（%） </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60 </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r>
        <w:tblPrEx>
          <w:tblLayout w:type="fixed"/>
          <w:tblCellMar>
            <w:top w:w="0" w:type="dxa"/>
            <w:left w:w="0" w:type="dxa"/>
            <w:bottom w:w="0" w:type="dxa"/>
            <w:right w:w="0" w:type="dxa"/>
          </w:tblCellMar>
        </w:tblPrEx>
        <w:trPr>
          <w:trHeight w:val="450" w:hRule="atLeast"/>
        </w:trPr>
        <w:tc>
          <w:tcPr>
            <w:tcW w:w="2010" w:type="dxa"/>
            <w:vMerge w:val="continue"/>
            <w:tcBorders>
              <w:top w:val="single" w:color="000000" w:sz="4" w:space="0"/>
              <w:left w:val="single" w:color="000000" w:sz="4" w:space="0"/>
              <w:bottom w:val="single" w:color="000000" w:sz="4" w:space="0"/>
              <w:right w:val="nil"/>
            </w:tcBorders>
            <w:shd w:val="clear" w:color="auto" w:fill="auto"/>
            <w:noWrap/>
            <w:tcMar>
              <w:top w:w="15" w:type="dxa"/>
              <w:left w:w="15" w:type="dxa"/>
              <w:right w:w="15" w:type="dxa"/>
            </w:tcMar>
            <w:vAlign w:val="center"/>
          </w:tcPr>
          <w:p>
            <w:pPr>
              <w:rPr>
                <w:rFonts w:hint="eastAsia" w:ascii="宋体" w:hAnsi="宋体" w:eastAsia="宋体" w:cs="宋体"/>
                <w:i w:val="0"/>
                <w:color w:val="auto"/>
                <w:sz w:val="22"/>
                <w:szCs w:val="22"/>
                <w:u w:val="none"/>
              </w:rPr>
            </w:pPr>
          </w:p>
        </w:tc>
        <w:tc>
          <w:tcPr>
            <w:tcW w:w="895"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563"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52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89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传染病报告处理报告率(%) </w:t>
            </w:r>
          </w:p>
        </w:tc>
        <w:tc>
          <w:tcPr>
            <w:tcW w:w="111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100 </w:t>
            </w:r>
          </w:p>
        </w:tc>
        <w:tc>
          <w:tcPr>
            <w:tcW w:w="57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06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基本公共卫生服务信息系统统计   </w:t>
            </w:r>
          </w:p>
        </w:tc>
        <w:tc>
          <w:tcPr>
            <w:tcW w:w="1201"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云南省基本公共卫生服务项目补助资金管理与核算办法</w:t>
            </w:r>
          </w:p>
        </w:tc>
      </w:tr>
    </w:tbl>
    <w:p>
      <w:pPr>
        <w:widowControl/>
        <w:ind w:firstLine="600" w:firstLineChars="200"/>
        <w:jc w:val="left"/>
        <w:rPr>
          <w:rFonts w:hint="eastAsia" w:eastAsia="仿宋_GB2312"/>
          <w:color w:val="auto"/>
          <w:kern w:val="0"/>
          <w:sz w:val="30"/>
          <w:szCs w:val="30"/>
        </w:rPr>
      </w:pPr>
    </w:p>
    <w:p>
      <w:pPr>
        <w:widowControl/>
        <w:ind w:firstLine="600" w:firstLineChars="200"/>
        <w:jc w:val="left"/>
        <w:rPr>
          <w:rFonts w:hint="eastAsia" w:eastAsia="仿宋_GB2312"/>
          <w:color w:val="auto"/>
          <w:kern w:val="0"/>
          <w:sz w:val="30"/>
          <w:szCs w:val="30"/>
        </w:rPr>
      </w:pPr>
    </w:p>
    <w:p>
      <w:pPr>
        <w:widowControl/>
        <w:numPr>
          <w:ilvl w:val="0"/>
          <w:numId w:val="2"/>
        </w:numPr>
        <w:ind w:firstLine="600" w:firstLineChars="200"/>
        <w:jc w:val="left"/>
        <w:rPr>
          <w:rFonts w:hint="eastAsia" w:eastAsia="仿宋_GB2312"/>
          <w:color w:val="auto"/>
          <w:kern w:val="0"/>
          <w:sz w:val="30"/>
          <w:szCs w:val="30"/>
        </w:rPr>
      </w:pPr>
      <w:r>
        <w:rPr>
          <w:rFonts w:hint="eastAsia" w:eastAsia="仿宋_GB2312"/>
          <w:color w:val="auto"/>
          <w:kern w:val="0"/>
          <w:sz w:val="30"/>
          <w:szCs w:val="30"/>
        </w:rPr>
        <w:t>计划生育奖励与扶助专项资金，对应享受计划生育奖励与扶助（包括奖优免补一次性奖励、农村妇女生育保障费、农业人口及特殊家庭独生子女家庭奖学金、计生家庭城乡居民基本医疗保险资助经费、昆明市低保独子家庭生活补助金、市特别扶助金、国家特别扶助金、失独家庭一次性抚慰金、农村结扎手术营养费、独生子女保健费）政策的人员，全部进行资格认定，做到及时足额发放补助资金。</w:t>
      </w:r>
    </w:p>
    <w:p>
      <w:pPr>
        <w:pStyle w:val="2"/>
        <w:numPr>
          <w:ilvl w:val="0"/>
          <w:numId w:val="0"/>
        </w:numPr>
        <w:ind w:firstLine="3200" w:firstLineChars="1000"/>
        <w:rPr>
          <w:rFonts w:hint="eastAsia" w:eastAsia="宋体"/>
          <w:color w:val="auto"/>
          <w:lang w:eastAsia="zh-CN"/>
        </w:rPr>
      </w:pPr>
      <w:r>
        <w:rPr>
          <w:rFonts w:hint="eastAsia"/>
          <w:color w:val="auto"/>
          <w:lang w:eastAsia="zh-CN"/>
        </w:rPr>
        <w:t>项目绩效表</w:t>
      </w:r>
    </w:p>
    <w:tbl>
      <w:tblPr>
        <w:tblStyle w:val="7"/>
        <w:tblW w:w="7425" w:type="dxa"/>
        <w:tblInd w:w="0" w:type="dxa"/>
        <w:shd w:val="clear" w:color="auto" w:fill="auto"/>
        <w:tblLayout w:type="fixed"/>
        <w:tblCellMar>
          <w:top w:w="0" w:type="dxa"/>
          <w:left w:w="0" w:type="dxa"/>
          <w:bottom w:w="0" w:type="dxa"/>
          <w:right w:w="0" w:type="dxa"/>
        </w:tblCellMar>
      </w:tblPr>
      <w:tblGrid>
        <w:gridCol w:w="2010"/>
        <w:gridCol w:w="610"/>
        <w:gridCol w:w="610"/>
        <w:gridCol w:w="665"/>
        <w:gridCol w:w="923"/>
        <w:gridCol w:w="570"/>
        <w:gridCol w:w="351"/>
        <w:gridCol w:w="1686"/>
      </w:tblGrid>
      <w:tr>
        <w:tblPrEx>
          <w:shd w:val="clear" w:color="auto" w:fill="auto"/>
          <w:tblLayout w:type="fixed"/>
          <w:tblCellMar>
            <w:top w:w="0" w:type="dxa"/>
            <w:left w:w="0" w:type="dxa"/>
            <w:bottom w:w="0" w:type="dxa"/>
            <w:right w:w="0" w:type="dxa"/>
          </w:tblCellMar>
        </w:tblPrEx>
        <w:trPr>
          <w:trHeight w:val="450" w:hRule="atLeast"/>
        </w:trPr>
        <w:tc>
          <w:tcPr>
            <w:tcW w:w="201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单位名称、项目名称</w:t>
            </w:r>
          </w:p>
        </w:tc>
        <w:tc>
          <w:tcPr>
            <w:tcW w:w="61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项目目标</w:t>
            </w:r>
          </w:p>
        </w:tc>
        <w:tc>
          <w:tcPr>
            <w:tcW w:w="61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一级指标</w:t>
            </w:r>
          </w:p>
        </w:tc>
        <w:tc>
          <w:tcPr>
            <w:tcW w:w="665"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二级指标</w:t>
            </w:r>
          </w:p>
        </w:tc>
        <w:tc>
          <w:tcPr>
            <w:tcW w:w="923"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三级指标</w:t>
            </w:r>
          </w:p>
        </w:tc>
        <w:tc>
          <w:tcPr>
            <w:tcW w:w="57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w:t>
            </w:r>
          </w:p>
        </w:tc>
        <w:tc>
          <w:tcPr>
            <w:tcW w:w="351"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度量单位</w:t>
            </w:r>
          </w:p>
        </w:tc>
        <w:tc>
          <w:tcPr>
            <w:tcW w:w="1686"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绩效指标值设定依据及数据来源</w:t>
            </w:r>
          </w:p>
        </w:tc>
      </w:tr>
      <w:tr>
        <w:tblPrEx>
          <w:shd w:val="clear" w:color="auto" w:fill="auto"/>
          <w:tblLayout w:type="fixed"/>
          <w:tblCellMar>
            <w:top w:w="0" w:type="dxa"/>
            <w:left w:w="0" w:type="dxa"/>
            <w:bottom w:w="0" w:type="dxa"/>
            <w:right w:w="0" w:type="dxa"/>
          </w:tblCellMar>
        </w:tblPrEx>
        <w:trPr>
          <w:trHeight w:val="270" w:hRule="atLeast"/>
        </w:trPr>
        <w:tc>
          <w:tcPr>
            <w:tcW w:w="201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w:t>
            </w:r>
          </w:p>
        </w:tc>
        <w:tc>
          <w:tcPr>
            <w:tcW w:w="61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w:t>
            </w:r>
          </w:p>
        </w:tc>
        <w:tc>
          <w:tcPr>
            <w:tcW w:w="61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w:t>
            </w:r>
          </w:p>
        </w:tc>
        <w:tc>
          <w:tcPr>
            <w:tcW w:w="6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w:t>
            </w:r>
          </w:p>
        </w:tc>
        <w:tc>
          <w:tcPr>
            <w:tcW w:w="9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6</w:t>
            </w:r>
          </w:p>
        </w:tc>
        <w:tc>
          <w:tcPr>
            <w:tcW w:w="351"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w:t>
            </w:r>
          </w:p>
        </w:tc>
        <w:tc>
          <w:tcPr>
            <w:tcW w:w="1686" w:type="dxa"/>
            <w:tcBorders>
              <w:top w:val="nil"/>
              <w:left w:val="nil"/>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9</w:t>
            </w:r>
          </w:p>
        </w:tc>
      </w:tr>
      <w:tr>
        <w:tblPrEx>
          <w:shd w:val="clear" w:color="auto" w:fill="auto"/>
          <w:tblLayout w:type="fixed"/>
          <w:tblCellMar>
            <w:top w:w="0" w:type="dxa"/>
            <w:left w:w="0" w:type="dxa"/>
            <w:bottom w:w="0" w:type="dxa"/>
            <w:right w:w="0" w:type="dxa"/>
          </w:tblCellMar>
        </w:tblPrEx>
        <w:trPr>
          <w:trHeight w:val="270" w:hRule="atLeast"/>
        </w:trPr>
        <w:tc>
          <w:tcPr>
            <w:tcW w:w="2010" w:type="dxa"/>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昆明市盘龙区卫生健康局</w:t>
            </w:r>
          </w:p>
        </w:tc>
        <w:tc>
          <w:tcPr>
            <w:tcW w:w="610"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65"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923"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570"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351"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c>
          <w:tcPr>
            <w:tcW w:w="1686" w:type="dxa"/>
            <w:tcBorders>
              <w:top w:val="nil"/>
              <w:left w:val="nil"/>
              <w:bottom w:val="single" w:color="000000" w:sz="4" w:space="0"/>
              <w:right w:val="single" w:color="000000" w:sz="4" w:space="0"/>
            </w:tcBorders>
            <w:shd w:val="clear" w:color="auto" w:fill="auto"/>
            <w:noWrap/>
            <w:tcMar>
              <w:top w:w="15" w:type="dxa"/>
              <w:left w:w="15" w:type="dxa"/>
              <w:right w:w="15" w:type="dxa"/>
            </w:tcMar>
            <w:vAlign w:val="top"/>
          </w:tcPr>
          <w:p>
            <w:pPr>
              <w:rPr>
                <w:rFonts w:hint="eastAsia" w:ascii="宋体" w:hAnsi="宋体" w:eastAsia="宋体" w:cs="宋体"/>
                <w:i w:val="0"/>
                <w:color w:val="auto"/>
                <w:sz w:val="18"/>
                <w:szCs w:val="18"/>
                <w:u w:val="none"/>
              </w:rPr>
            </w:pPr>
          </w:p>
        </w:tc>
      </w:tr>
      <w:tr>
        <w:tblPrEx>
          <w:tblLayout w:type="fixed"/>
          <w:tblCellMar>
            <w:top w:w="0" w:type="dxa"/>
            <w:left w:w="0" w:type="dxa"/>
            <w:bottom w:w="0" w:type="dxa"/>
            <w:right w:w="0" w:type="dxa"/>
          </w:tblCellMar>
        </w:tblPrEx>
        <w:trPr>
          <w:trHeight w:val="1260" w:hRule="atLeast"/>
        </w:trPr>
        <w:tc>
          <w:tcPr>
            <w:tcW w:w="2010" w:type="dxa"/>
            <w:vMerge w:val="restart"/>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计划生育奖励与扶助专项资金</w:t>
            </w:r>
          </w:p>
        </w:tc>
        <w:tc>
          <w:tcPr>
            <w:tcW w:w="610" w:type="dxa"/>
            <w:vMerge w:val="restart"/>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center"/>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对应享受计划生育奖励与扶助（包括奖优免补一次性奖励、农村妇女生育保障费、农业人口及特殊家庭独生子女家庭奖学金、计生家庭城乡居民基本医疗保险资助经费、昆明市低保独子家庭生活补助金、市特别扶助金、国家特别扶助金、失独家庭一次性抚慰金、农村结扎手术营养费、独生子女保健费）政策的人员，全部进行资格认定，做到及时足额发放补助资金。</w:t>
            </w: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计生家庭城乡居民基本医疗保险资助经费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righ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135.52</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万元</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2021年个人参保缴费标准预计每人280元测算，按12100人（其中特殊家庭150人），区级承担40%，合计需要1355200元</w:t>
            </w:r>
          </w:p>
        </w:tc>
      </w:tr>
      <w:tr>
        <w:tblPrEx>
          <w:shd w:val="clear" w:color="auto" w:fill="auto"/>
          <w:tblLayout w:type="fixed"/>
          <w:tblCellMar>
            <w:top w:w="0" w:type="dxa"/>
            <w:left w:w="0" w:type="dxa"/>
            <w:bottom w:w="0" w:type="dxa"/>
            <w:right w:w="0" w:type="dxa"/>
          </w:tblCellMar>
        </w:tblPrEx>
        <w:trPr>
          <w:trHeight w:val="96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给予国家特别扶助金人数（独子伤残450人、独子死亡650人）</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1200</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《云南省人民政府关于（云南省农业人口独生子女家庭奖励规定的通知》云政发【2004】101号 </w:t>
            </w:r>
          </w:p>
        </w:tc>
      </w:tr>
      <w:tr>
        <w:tblPrEx>
          <w:tblLayout w:type="fixed"/>
          <w:tblCellMar>
            <w:top w:w="0" w:type="dxa"/>
            <w:left w:w="0" w:type="dxa"/>
            <w:bottom w:w="0" w:type="dxa"/>
            <w:right w:w="0" w:type="dxa"/>
          </w:tblCellMar>
        </w:tblPrEx>
        <w:trPr>
          <w:trHeight w:val="58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时效指标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完成时间</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 2020年12月20日以前</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年</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本年度12月份中旬前足额发放补助资金</w:t>
            </w:r>
          </w:p>
        </w:tc>
      </w:tr>
      <w:tr>
        <w:tblPrEx>
          <w:shd w:val="clear" w:color="auto" w:fill="auto"/>
          <w:tblLayout w:type="fixed"/>
          <w:tblCellMar>
            <w:top w:w="0" w:type="dxa"/>
            <w:left w:w="0" w:type="dxa"/>
            <w:bottom w:w="0" w:type="dxa"/>
            <w:right w:w="0" w:type="dxa"/>
          </w:tblCellMar>
        </w:tblPrEx>
        <w:trPr>
          <w:trHeight w:val="74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纯居民、农业人口独子保健费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42</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万元</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云南省人口与计划生育条例,预计（无职业城乡居民）7500人*60元=45万</w:t>
            </w:r>
          </w:p>
        </w:tc>
      </w:tr>
      <w:tr>
        <w:tblPrEx>
          <w:shd w:val="clear" w:color="auto" w:fill="auto"/>
          <w:tblLayout w:type="fixed"/>
          <w:tblCellMar>
            <w:top w:w="0" w:type="dxa"/>
            <w:left w:w="0" w:type="dxa"/>
            <w:bottom w:w="0" w:type="dxa"/>
            <w:right w:w="0" w:type="dxa"/>
          </w:tblCellMar>
        </w:tblPrEx>
        <w:trPr>
          <w:trHeight w:val="52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满意度指标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服务对象满意度指标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辖区计划生育家庭满意度</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95 </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计划生育家庭奖励与扶助对象满意度不低于95%</w:t>
            </w:r>
          </w:p>
        </w:tc>
      </w:tr>
      <w:tr>
        <w:tblPrEx>
          <w:shd w:val="clear" w:color="auto" w:fill="auto"/>
          <w:tblLayout w:type="fixed"/>
          <w:tblCellMar>
            <w:top w:w="0" w:type="dxa"/>
            <w:left w:w="0" w:type="dxa"/>
            <w:bottom w:w="0" w:type="dxa"/>
            <w:right w:w="0" w:type="dxa"/>
          </w:tblCellMar>
        </w:tblPrEx>
        <w:trPr>
          <w:trHeight w:val="66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农村结扎手术营养费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0.1 </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万元</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每人一次补助200元，预计5人。所需资金1000元</w:t>
            </w:r>
          </w:p>
        </w:tc>
      </w:tr>
      <w:tr>
        <w:tblPrEx>
          <w:shd w:val="clear" w:color="auto" w:fill="auto"/>
          <w:tblLayout w:type="fixed"/>
          <w:tblCellMar>
            <w:top w:w="0" w:type="dxa"/>
            <w:left w:w="0" w:type="dxa"/>
            <w:bottom w:w="0" w:type="dxa"/>
            <w:right w:w="0" w:type="dxa"/>
          </w:tblCellMar>
        </w:tblPrEx>
        <w:trPr>
          <w:trHeight w:val="256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给予农业人口及特殊家庭独生子女家庭奖学金人数（小学500人、初中500人、高中200人、大专150人、本科150人）</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1500</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《云南省人民政府关于（云南省农业人口独生子女家庭奖励规定的通知》云政发【2004】101号</w:t>
            </w:r>
          </w:p>
        </w:tc>
      </w:tr>
      <w:tr>
        <w:tblPrEx>
          <w:tblLayout w:type="fixed"/>
          <w:tblCellMar>
            <w:top w:w="0" w:type="dxa"/>
            <w:left w:w="0" w:type="dxa"/>
            <w:bottom w:w="0" w:type="dxa"/>
            <w:right w:w="0" w:type="dxa"/>
          </w:tblCellMar>
        </w:tblPrEx>
        <w:trPr>
          <w:trHeight w:val="1125"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给予纯居民、农业人口独子保健费人数（7000）</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7000</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《云南省人民政府关于（云南省农业人口独生子女家庭奖励规定的通知》云政发【2004】101号</w:t>
            </w:r>
          </w:p>
        </w:tc>
      </w:tr>
      <w:tr>
        <w:tblPrEx>
          <w:shd w:val="clear" w:color="auto" w:fill="auto"/>
          <w:tblLayout w:type="fixed"/>
          <w:tblCellMar>
            <w:top w:w="0" w:type="dxa"/>
            <w:left w:w="0" w:type="dxa"/>
            <w:bottom w:w="0" w:type="dxa"/>
            <w:right w:w="0" w:type="dxa"/>
          </w:tblCellMar>
        </w:tblPrEx>
        <w:trPr>
          <w:trHeight w:val="90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给予失独家庭一次性抚慰金户数（100户）</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户</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《云南省人民政府关于（云南省农业人口独生子女家庭奖励规定的通知》云政发【2004】101号</w:t>
            </w:r>
          </w:p>
        </w:tc>
      </w:tr>
      <w:tr>
        <w:tblPrEx>
          <w:tblLayout w:type="fixed"/>
          <w:tblCellMar>
            <w:top w:w="0" w:type="dxa"/>
            <w:left w:w="0" w:type="dxa"/>
            <w:bottom w:w="0" w:type="dxa"/>
            <w:right w:w="0" w:type="dxa"/>
          </w:tblCellMar>
        </w:tblPrEx>
        <w:trPr>
          <w:trHeight w:val="140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农业人口及特殊家庭独生子女家庭奖学金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35.6</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万元</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预计符合享受人数：小学750人*160元、初中750人*260元、高中200人*1000元、大专150人*1200元、本科生150人*2000元，区级承担40%，合计需要398000元</w:t>
            </w:r>
          </w:p>
        </w:tc>
      </w:tr>
      <w:tr>
        <w:tblPrEx>
          <w:shd w:val="clear" w:color="auto" w:fill="auto"/>
          <w:tblLayout w:type="fixed"/>
          <w:tblCellMar>
            <w:top w:w="0" w:type="dxa"/>
            <w:left w:w="0" w:type="dxa"/>
            <w:bottom w:w="0" w:type="dxa"/>
            <w:right w:w="0" w:type="dxa"/>
          </w:tblCellMar>
        </w:tblPrEx>
        <w:trPr>
          <w:trHeight w:val="66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效益指标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可持续影响指标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创造良好的人口环境</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落实了国家计划生育政策，创造良好人口环境 </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年</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落实了国家计划生育政策，创造良好人口环境，</w:t>
            </w:r>
          </w:p>
        </w:tc>
      </w:tr>
      <w:tr>
        <w:tblPrEx>
          <w:shd w:val="clear" w:color="auto" w:fill="auto"/>
          <w:tblLayout w:type="fixed"/>
          <w:tblCellMar>
            <w:top w:w="0" w:type="dxa"/>
            <w:left w:w="0" w:type="dxa"/>
            <w:bottom w:w="0" w:type="dxa"/>
            <w:right w:w="0" w:type="dxa"/>
          </w:tblCellMar>
        </w:tblPrEx>
        <w:trPr>
          <w:trHeight w:val="94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给予市特别扶助金 人数（独子伤残450人、独子死亡650人）</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1200</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《云南省人民政府关于（云南省农业人口独生子女家庭奖励规定的通知》云政发【2004】101号</w:t>
            </w:r>
          </w:p>
        </w:tc>
      </w:tr>
      <w:tr>
        <w:tblPrEx>
          <w:shd w:val="clear" w:color="auto" w:fill="auto"/>
          <w:tblLayout w:type="fixed"/>
          <w:tblCellMar>
            <w:top w:w="0" w:type="dxa"/>
            <w:left w:w="0" w:type="dxa"/>
            <w:bottom w:w="0" w:type="dxa"/>
            <w:right w:w="0" w:type="dxa"/>
          </w:tblCellMar>
        </w:tblPrEx>
        <w:trPr>
          <w:trHeight w:val="32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质量指标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奖励补助发放率</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100</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落实政策及时足额奖励补助</w:t>
            </w:r>
          </w:p>
        </w:tc>
      </w:tr>
      <w:tr>
        <w:tblPrEx>
          <w:shd w:val="clear" w:color="auto" w:fill="auto"/>
          <w:tblLayout w:type="fixed"/>
          <w:tblCellMar>
            <w:top w:w="0" w:type="dxa"/>
            <w:left w:w="0" w:type="dxa"/>
            <w:bottom w:w="0" w:type="dxa"/>
            <w:right w:w="0" w:type="dxa"/>
          </w:tblCellMar>
        </w:tblPrEx>
        <w:trPr>
          <w:trHeight w:val="114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昆明市低保独子家庭生活补助金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153.6 </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万元</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预计1600户，每户每月给予100元的计划生育奖励补助，区级承担80%，1600户*100元*12个月*80%=153.6万元</w:t>
            </w:r>
          </w:p>
        </w:tc>
      </w:tr>
      <w:tr>
        <w:tblPrEx>
          <w:shd w:val="clear" w:color="auto" w:fill="auto"/>
          <w:tblLayout w:type="fixed"/>
          <w:tblCellMar>
            <w:top w:w="0" w:type="dxa"/>
            <w:left w:w="0" w:type="dxa"/>
            <w:bottom w:w="0" w:type="dxa"/>
            <w:right w:w="0" w:type="dxa"/>
          </w:tblCellMar>
        </w:tblPrEx>
        <w:trPr>
          <w:trHeight w:val="102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市特别扶助金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230.4</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万元</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独子伤残450人、独子死亡650人，每人每月给予200元补助，合计1100人*200元*12个月*80%=211.2万元</w:t>
            </w:r>
          </w:p>
        </w:tc>
      </w:tr>
      <w:tr>
        <w:tblPrEx>
          <w:shd w:val="clear" w:color="auto" w:fill="auto"/>
          <w:tblLayout w:type="fixed"/>
          <w:tblCellMar>
            <w:top w:w="0" w:type="dxa"/>
            <w:left w:w="0" w:type="dxa"/>
            <w:bottom w:w="0" w:type="dxa"/>
            <w:right w:w="0" w:type="dxa"/>
          </w:tblCellMar>
        </w:tblPrEx>
        <w:trPr>
          <w:trHeight w:val="234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国家特别扶助金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75.264</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万元</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1、独生子女死亡家庭特别扶助金标准450元/月，预计650人享受；                            2、独生子女伤残家庭特别扶助金标准350元/月，预计450人享受。                     3、资金合计：650人（预计死亡）×450元/月×12+450（预计伤残）×350元/月×12）×12.8%=691200元</w:t>
            </w:r>
          </w:p>
        </w:tc>
      </w:tr>
      <w:tr>
        <w:tblPrEx>
          <w:shd w:val="clear" w:color="auto" w:fill="auto"/>
          <w:tblLayout w:type="fixed"/>
          <w:tblCellMar>
            <w:top w:w="0" w:type="dxa"/>
            <w:left w:w="0" w:type="dxa"/>
            <w:bottom w:w="0" w:type="dxa"/>
            <w:right w:w="0" w:type="dxa"/>
          </w:tblCellMar>
        </w:tblPrEx>
        <w:trPr>
          <w:trHeight w:val="90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给予农村妇女生育保障人数（顺产：170人，剖腹产：150人）</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320 </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《云南省人民政府关于（云南省农业人口独生子女家庭奖励规定的通知》云政发【2004】101号</w:t>
            </w:r>
          </w:p>
        </w:tc>
      </w:tr>
      <w:tr>
        <w:tblPrEx>
          <w:shd w:val="clear" w:color="auto" w:fill="auto"/>
          <w:tblLayout w:type="fixed"/>
          <w:tblCellMar>
            <w:top w:w="0" w:type="dxa"/>
            <w:left w:w="0" w:type="dxa"/>
            <w:bottom w:w="0" w:type="dxa"/>
            <w:right w:w="0" w:type="dxa"/>
          </w:tblCellMar>
        </w:tblPrEx>
        <w:trPr>
          <w:trHeight w:val="98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给予计生家庭城乡居民基本医疗保险资助人数（12100人）</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12100 </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《云南省人民政府关于（云南省农业人口独生子女家庭奖励规定的通知》云政发【2004】101号</w:t>
            </w:r>
          </w:p>
        </w:tc>
      </w:tr>
      <w:tr>
        <w:tblPrEx>
          <w:shd w:val="clear" w:color="auto" w:fill="auto"/>
          <w:tblLayout w:type="fixed"/>
          <w:tblCellMar>
            <w:top w:w="0" w:type="dxa"/>
            <w:left w:w="0" w:type="dxa"/>
            <w:bottom w:w="0" w:type="dxa"/>
            <w:right w:w="0" w:type="dxa"/>
          </w:tblCellMar>
        </w:tblPrEx>
        <w:trPr>
          <w:trHeight w:val="92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给予农村结扎手术营养费人数（5人）</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5</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人</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《云南省人民政府关于（云南省农业人口独生子女家庭奖励规定的通知》云政发【2004】101号</w:t>
            </w:r>
          </w:p>
        </w:tc>
      </w:tr>
      <w:tr>
        <w:tblPrEx>
          <w:shd w:val="clear" w:color="auto" w:fill="auto"/>
          <w:tblLayout w:type="fixed"/>
          <w:tblCellMar>
            <w:top w:w="0" w:type="dxa"/>
            <w:left w:w="0" w:type="dxa"/>
            <w:bottom w:w="0" w:type="dxa"/>
            <w:right w:w="0" w:type="dxa"/>
          </w:tblCellMar>
        </w:tblPrEx>
        <w:trPr>
          <w:trHeight w:val="140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失独家庭一次性抚慰金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25</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万元</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2020年预算我区符合政策的计划生育独生子女死亡家庭65户130人，每户5000元每人2500元，区财政承担（省50％、市10%、区40％）130*2500*40%=13万元</w:t>
            </w:r>
          </w:p>
        </w:tc>
      </w:tr>
      <w:tr>
        <w:tblPrEx>
          <w:shd w:val="clear" w:color="auto" w:fill="auto"/>
          <w:tblLayout w:type="fixed"/>
          <w:tblCellMar>
            <w:top w:w="0" w:type="dxa"/>
            <w:left w:w="0" w:type="dxa"/>
            <w:bottom w:w="0" w:type="dxa"/>
            <w:right w:w="0" w:type="dxa"/>
          </w:tblCellMar>
        </w:tblPrEx>
        <w:trPr>
          <w:trHeight w:val="675"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成本指标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农村妇女生育保障费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40.2 </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万元</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顺产：170人，补助600元； 2、剖腹产：150人，补助2000元/人,合计：402000元</w:t>
            </w:r>
          </w:p>
        </w:tc>
      </w:tr>
      <w:tr>
        <w:tblPrEx>
          <w:shd w:val="clear" w:color="auto" w:fill="auto"/>
          <w:tblLayout w:type="fixed"/>
          <w:tblCellMar>
            <w:top w:w="0" w:type="dxa"/>
            <w:left w:w="0" w:type="dxa"/>
            <w:bottom w:w="0" w:type="dxa"/>
            <w:right w:w="0" w:type="dxa"/>
          </w:tblCellMar>
        </w:tblPrEx>
        <w:trPr>
          <w:trHeight w:val="90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产出指标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数量指标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给予昆明市低保独子家庭生活补助金户数（1600户）</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1600 </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户</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《云南省人民政府关于（云南省农业人口独生子女家庭奖励规定的通知》云政发【2004】101号 </w:t>
            </w:r>
          </w:p>
        </w:tc>
      </w:tr>
      <w:tr>
        <w:tblPrEx>
          <w:shd w:val="clear" w:color="auto" w:fill="auto"/>
          <w:tblLayout w:type="fixed"/>
          <w:tblCellMar>
            <w:top w:w="0" w:type="dxa"/>
            <w:left w:w="0" w:type="dxa"/>
            <w:bottom w:w="0" w:type="dxa"/>
            <w:right w:w="0" w:type="dxa"/>
          </w:tblCellMar>
        </w:tblPrEx>
        <w:trPr>
          <w:trHeight w:val="144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效益指标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经济效益指标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是否利于经济发展</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落实国家生育政策，引导群众自觉实行计划生育，促进人口均衡发展，使家庭发展能力、社会稳定水平逐步提高</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年</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落实国家生育政策，引导群众自觉实行计划生育，促进人口均衡发展，使家庭发展能力、社会稳定水平逐步提高</w:t>
            </w:r>
          </w:p>
        </w:tc>
      </w:tr>
      <w:tr>
        <w:tblPrEx>
          <w:tblLayout w:type="fixed"/>
          <w:tblCellMar>
            <w:top w:w="0" w:type="dxa"/>
            <w:left w:w="0" w:type="dxa"/>
            <w:bottom w:w="0" w:type="dxa"/>
            <w:right w:w="0" w:type="dxa"/>
          </w:tblCellMar>
        </w:tblPrEx>
        <w:trPr>
          <w:trHeight w:val="900" w:hRule="atLeast"/>
        </w:trPr>
        <w:tc>
          <w:tcPr>
            <w:tcW w:w="2010" w:type="dxa"/>
            <w:vMerge w:val="continue"/>
            <w:tcBorders>
              <w:top w:val="nil"/>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rPr>
                <w:rFonts w:hint="eastAsia" w:ascii="宋体" w:hAnsi="宋体" w:eastAsia="宋体" w:cs="宋体"/>
                <w:i w:val="0"/>
                <w:color w:val="auto"/>
                <w:sz w:val="18"/>
                <w:szCs w:val="18"/>
                <w:u w:val="none"/>
              </w:rPr>
            </w:pPr>
          </w:p>
        </w:tc>
        <w:tc>
          <w:tcPr>
            <w:tcW w:w="610" w:type="dxa"/>
            <w:vMerge w:val="continue"/>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jc w:val="center"/>
              <w:rPr>
                <w:rFonts w:hint="eastAsia" w:ascii="宋体" w:hAnsi="宋体" w:eastAsia="宋体" w:cs="宋体"/>
                <w:i w:val="0"/>
                <w:color w:val="auto"/>
                <w:sz w:val="18"/>
                <w:szCs w:val="18"/>
                <w:u w:val="none"/>
              </w:rPr>
            </w:pPr>
          </w:p>
        </w:tc>
        <w:tc>
          <w:tcPr>
            <w:tcW w:w="61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效益指标</w:t>
            </w:r>
          </w:p>
        </w:tc>
        <w:tc>
          <w:tcPr>
            <w:tcW w:w="665"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社会效益指标</w:t>
            </w:r>
          </w:p>
        </w:tc>
        <w:tc>
          <w:tcPr>
            <w:tcW w:w="923"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是否响应工作号召 </w:t>
            </w:r>
          </w:p>
        </w:tc>
        <w:tc>
          <w:tcPr>
            <w:tcW w:w="570"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 xml:space="preserve">落实国家生育政策，引导群众自觉实行计划生育，促进人口均衡发展。 </w:t>
            </w:r>
          </w:p>
        </w:tc>
        <w:tc>
          <w:tcPr>
            <w:tcW w:w="351"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年</w:t>
            </w:r>
          </w:p>
        </w:tc>
        <w:tc>
          <w:tcPr>
            <w:tcW w:w="1686" w:type="dxa"/>
            <w:tcBorders>
              <w:top w:val="nil"/>
              <w:left w:val="nil"/>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auto"/>
                <w:sz w:val="18"/>
                <w:szCs w:val="18"/>
                <w:u w:val="none"/>
              </w:rPr>
            </w:pPr>
            <w:r>
              <w:rPr>
                <w:rFonts w:hint="eastAsia" w:ascii="宋体" w:hAnsi="宋体" w:eastAsia="宋体" w:cs="宋体"/>
                <w:i w:val="0"/>
                <w:color w:val="auto"/>
                <w:kern w:val="0"/>
                <w:sz w:val="18"/>
                <w:szCs w:val="18"/>
                <w:u w:val="none"/>
                <w:lang w:val="en-US" w:eastAsia="zh-CN" w:bidi="ar"/>
              </w:rPr>
              <w:t>落实国家生育政策，引导群众自觉实行计划生育，促进人口均衡发展。</w:t>
            </w:r>
          </w:p>
        </w:tc>
      </w:tr>
    </w:tbl>
    <w:p>
      <w:pPr>
        <w:pStyle w:val="2"/>
        <w:rPr>
          <w:rFonts w:hint="eastAsia" w:ascii="仿宋_GB2312" w:eastAsia="仿宋_GB2312"/>
          <w:color w:val="auto"/>
          <w:spacing w:val="14"/>
          <w:sz w:val="30"/>
          <w:szCs w:val="30"/>
          <w:lang w:val="en-US" w:eastAsia="zh-CN"/>
        </w:rPr>
      </w:pPr>
      <w:r>
        <w:rPr>
          <w:rFonts w:hint="eastAsia"/>
          <w:color w:val="auto"/>
          <w:lang w:val="en-US" w:eastAsia="zh-CN"/>
        </w:rPr>
        <w:t>3、</w:t>
      </w:r>
      <w:r>
        <w:rPr>
          <w:rFonts w:hint="eastAsia" w:ascii="仿宋_GB2312" w:eastAsia="仿宋_GB2312"/>
          <w:color w:val="auto"/>
          <w:spacing w:val="14"/>
          <w:sz w:val="30"/>
          <w:szCs w:val="30"/>
          <w:lang w:val="en-US" w:eastAsia="zh-CN"/>
        </w:rPr>
        <w:t>免疫规划项目项目主要开展的业务活动包括：疾病预防控制、免疫规划等工作以及为开展以上工作外聘人员等，具体内容如下：</w:t>
      </w:r>
    </w:p>
    <w:p>
      <w:pPr>
        <w:pStyle w:val="2"/>
        <w:rPr>
          <w:rFonts w:hint="eastAsia" w:ascii="仿宋_GB2312" w:eastAsia="仿宋_GB2312"/>
          <w:color w:val="auto"/>
          <w:spacing w:val="14"/>
          <w:sz w:val="30"/>
          <w:szCs w:val="30"/>
          <w:lang w:val="en-US" w:eastAsia="zh-CN"/>
        </w:rPr>
      </w:pPr>
      <w:r>
        <w:rPr>
          <w:rFonts w:hint="eastAsia" w:ascii="仿宋_GB2312" w:eastAsia="仿宋_GB2312"/>
          <w:color w:val="auto"/>
          <w:spacing w:val="14"/>
          <w:sz w:val="30"/>
          <w:szCs w:val="30"/>
          <w:lang w:val="en-US" w:eastAsia="zh-CN"/>
        </w:rPr>
        <w:t>1、加强常规免疫，巩固和完善扩大国家免疫规划工作，贯彻落实《流动儿童计划免疫管理办法》，加强免疫工作的检查指导，对辖区内100%的接种点进行覆盖督导考核。适龄儿童（含流动人口）建卡（册）、建证率达100%。</w:t>
      </w:r>
    </w:p>
    <w:p>
      <w:pPr>
        <w:pStyle w:val="2"/>
        <w:rPr>
          <w:rFonts w:hint="eastAsia" w:ascii="仿宋_GB2312" w:eastAsia="仿宋_GB2312"/>
          <w:color w:val="auto"/>
          <w:spacing w:val="14"/>
          <w:sz w:val="30"/>
          <w:szCs w:val="30"/>
          <w:lang w:val="en-US" w:eastAsia="zh-CN"/>
        </w:rPr>
      </w:pPr>
      <w:r>
        <w:rPr>
          <w:rFonts w:hint="eastAsia" w:ascii="仿宋_GB2312" w:eastAsia="仿宋_GB2312"/>
          <w:color w:val="auto"/>
          <w:spacing w:val="14"/>
          <w:sz w:val="30"/>
          <w:szCs w:val="30"/>
          <w:lang w:val="en-US" w:eastAsia="zh-CN"/>
        </w:rPr>
        <w:t>2、扩大国家免疫规划一类疫苗适龄儿童报告接种率以乡为单位达95%以上。确保接种卡、证相符，填写规范不漏项。加强冷链管理，保证疫苗安全有效。</w:t>
      </w:r>
    </w:p>
    <w:p>
      <w:pPr>
        <w:pStyle w:val="2"/>
        <w:rPr>
          <w:rFonts w:hint="eastAsia" w:ascii="仿宋_GB2312" w:eastAsia="仿宋_GB2312"/>
          <w:color w:val="auto"/>
          <w:spacing w:val="14"/>
          <w:sz w:val="30"/>
          <w:szCs w:val="30"/>
          <w:lang w:val="en-US" w:eastAsia="zh-CN"/>
        </w:rPr>
      </w:pPr>
      <w:r>
        <w:rPr>
          <w:rFonts w:hint="eastAsia" w:ascii="仿宋_GB2312" w:eastAsia="仿宋_GB2312"/>
          <w:color w:val="auto"/>
          <w:spacing w:val="14"/>
          <w:sz w:val="30"/>
          <w:szCs w:val="30"/>
          <w:lang w:val="en-US" w:eastAsia="zh-CN"/>
        </w:rPr>
        <w:t>3、麻疹疫苗常规接种率达95%。麻疹排除病例报告发病率大于2/10万。完成麻疹抗体及乙肝监测工作。</w:t>
      </w:r>
    </w:p>
    <w:p>
      <w:pPr>
        <w:pStyle w:val="2"/>
        <w:rPr>
          <w:rFonts w:hint="eastAsia" w:ascii="仿宋_GB2312" w:eastAsia="仿宋_GB2312"/>
          <w:color w:val="auto"/>
          <w:spacing w:val="14"/>
          <w:sz w:val="30"/>
          <w:szCs w:val="30"/>
          <w:lang w:val="en-US" w:eastAsia="zh-CN"/>
        </w:rPr>
      </w:pPr>
      <w:r>
        <w:rPr>
          <w:rFonts w:hint="eastAsia" w:ascii="仿宋_GB2312" w:eastAsia="仿宋_GB2312"/>
          <w:color w:val="auto"/>
          <w:spacing w:val="14"/>
          <w:sz w:val="30"/>
          <w:szCs w:val="30"/>
          <w:lang w:val="en-US" w:eastAsia="zh-CN"/>
        </w:rPr>
        <w:t>4、加强AFP病例、新生儿破伤风、白喉、百日咳、乙脑、流脑等疾病监测及报告工作，AFP病例监测指标1/10万。</w:t>
      </w:r>
    </w:p>
    <w:p>
      <w:pPr>
        <w:pStyle w:val="2"/>
        <w:rPr>
          <w:rFonts w:hint="eastAsia" w:ascii="仿宋_GB2312" w:eastAsia="仿宋_GB2312"/>
          <w:color w:val="auto"/>
          <w:spacing w:val="14"/>
          <w:sz w:val="30"/>
          <w:szCs w:val="30"/>
          <w:lang w:val="en-US" w:eastAsia="zh-CN"/>
        </w:rPr>
      </w:pPr>
      <w:r>
        <w:rPr>
          <w:rFonts w:hint="eastAsia" w:ascii="仿宋_GB2312" w:eastAsia="仿宋_GB2312"/>
          <w:color w:val="auto"/>
          <w:spacing w:val="14"/>
          <w:sz w:val="30"/>
          <w:szCs w:val="30"/>
          <w:lang w:val="en-US" w:eastAsia="zh-CN"/>
        </w:rPr>
        <w:t>5、按照《60岁及以上户籍老年人接种23价肺炎球菌疫苗项目实施技术方案》要求，2020年完成目标人群40%的疫苗接种有效控制疫苗可控传染病的发病和流行。</w:t>
      </w:r>
    </w:p>
    <w:p>
      <w:pPr>
        <w:pStyle w:val="2"/>
        <w:rPr>
          <w:rFonts w:hint="eastAsia" w:ascii="仿宋_GB2312" w:eastAsia="仿宋_GB2312"/>
          <w:color w:val="auto"/>
          <w:spacing w:val="14"/>
          <w:sz w:val="30"/>
          <w:szCs w:val="30"/>
          <w:lang w:val="en-US" w:eastAsia="zh-CN"/>
        </w:rPr>
      </w:pPr>
      <w:r>
        <w:rPr>
          <w:rFonts w:hint="eastAsia" w:ascii="仿宋_GB2312" w:eastAsia="仿宋_GB2312"/>
          <w:color w:val="auto"/>
          <w:spacing w:val="14"/>
          <w:sz w:val="30"/>
          <w:szCs w:val="30"/>
          <w:lang w:val="en-US" w:eastAsia="zh-CN"/>
        </w:rPr>
        <w:t>贯彻落实《国务院应对新型冠状病毒感染的肺炎疫情联防联控工作机制》规定，按照《云南省新冠疫苗接种准备工作方案》要求，辖区将对规定的9大类重点人群开展新型冠状病毒疫苗（以下简称新冠疫苗）紧急接种工作。</w:t>
      </w:r>
    </w:p>
    <w:p>
      <w:pPr>
        <w:pStyle w:val="3"/>
        <w:ind w:firstLine="1968" w:firstLineChars="600"/>
        <w:rPr>
          <w:rFonts w:hint="eastAsia"/>
          <w:color w:val="auto"/>
          <w:lang w:val="en-US" w:eastAsia="zh-CN"/>
        </w:rPr>
      </w:pPr>
      <w:r>
        <w:rPr>
          <w:rFonts w:hint="eastAsia" w:ascii="仿宋_GB2312" w:eastAsia="仿宋_GB2312"/>
          <w:color w:val="auto"/>
          <w:spacing w:val="14"/>
          <w:sz w:val="30"/>
          <w:szCs w:val="30"/>
          <w:lang w:val="en-US" w:eastAsia="zh-CN"/>
        </w:rPr>
        <w:t>项目绩效表</w:t>
      </w:r>
    </w:p>
    <w:tbl>
      <w:tblPr>
        <w:tblStyle w:val="7"/>
        <w:tblW w:w="108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40"/>
        <w:gridCol w:w="495"/>
        <w:gridCol w:w="1530"/>
        <w:gridCol w:w="690"/>
        <w:gridCol w:w="1410"/>
        <w:gridCol w:w="585"/>
        <w:gridCol w:w="540"/>
        <w:gridCol w:w="630"/>
        <w:gridCol w:w="1905"/>
        <w:gridCol w:w="253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5" w:hRule="atLeast"/>
        </w:trPr>
        <w:tc>
          <w:tcPr>
            <w:tcW w:w="5790" w:type="dxa"/>
            <w:gridSpan w:val="7"/>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绩效指标</w:t>
            </w:r>
          </w:p>
        </w:tc>
        <w:tc>
          <w:tcPr>
            <w:tcW w:w="630"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评（扣）分标准</w:t>
            </w:r>
          </w:p>
        </w:tc>
        <w:tc>
          <w:tcPr>
            <w:tcW w:w="190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指标内容</w:t>
            </w:r>
          </w:p>
        </w:tc>
        <w:tc>
          <w:tcPr>
            <w:tcW w:w="2535" w:type="dxa"/>
            <w:vMerge w:val="restart"/>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绩效指标值设定依据及数据来源</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一级指标</w:t>
            </w: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二级指标</w:t>
            </w: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三级指标</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指标性质</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指标值</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度量单位</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指标属性</w:t>
            </w:r>
          </w:p>
        </w:tc>
        <w:tc>
          <w:tcPr>
            <w:tcW w:w="630"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190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c>
          <w:tcPr>
            <w:tcW w:w="253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center"/>
              <w:rPr>
                <w:rFonts w:hint="eastAsia" w:ascii="宋体" w:hAnsi="宋体" w:eastAsia="宋体" w:cs="宋体"/>
                <w:i w:val="0"/>
                <w:color w:val="auto"/>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产出指标</w:t>
            </w: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4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数量指标</w:t>
            </w: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98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2020年采购23价肺炎疫苗采购款5000支，每支80元/支未支付</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2020年5月到2020年12月将完成接种但未兑现辖区医疗机构及卫生服务中心（站）约15000剂次的接种补助</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5000</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支</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2020年采购23价肺炎疫苗采购款5000支，每支80元/支未支付 </w:t>
            </w:r>
            <w:r>
              <w:rPr>
                <w:rFonts w:hint="eastAsia" w:ascii="宋体" w:hAnsi="宋体" w:eastAsia="宋体" w:cs="宋体"/>
                <w:i w:val="0"/>
                <w:color w:val="auto"/>
                <w:kern w:val="0"/>
                <w:sz w:val="20"/>
                <w:szCs w:val="20"/>
                <w:u w:val="none"/>
                <w:lang w:val="en-US" w:eastAsia="zh-CN" w:bidi="ar"/>
              </w:rPr>
              <w:br w:type="textWrapping"/>
            </w:r>
            <w:r>
              <w:rPr>
                <w:rFonts w:hint="eastAsia" w:ascii="宋体" w:hAnsi="宋体" w:eastAsia="宋体" w:cs="宋体"/>
                <w:i w:val="0"/>
                <w:color w:val="auto"/>
                <w:kern w:val="0"/>
                <w:sz w:val="20"/>
                <w:szCs w:val="20"/>
                <w:u w:val="none"/>
                <w:lang w:val="en-US" w:eastAsia="zh-CN" w:bidi="ar"/>
              </w:rPr>
              <w:t xml:space="preserve">2020年5月到2020年12月将完成接种但未兑现辖区医疗机构及卫生服务中心（站）约15000剂次的接种补助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《昆明市2020年度疾病预防控制工作计划》2020年采购23价肺炎疫苗采购款5000支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0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2020年5月到2020年12月将完成接种但未兑现辖区医疗机构及卫生服务中心（站）约15000剂次的接种补助</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&lt;=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15000</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支</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2020年5月到2020年12月将完成接种但未兑现辖区医疗机构及卫生服务中心（站）约15000剂次的接种补助</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《昆明市2020年度疾病预防控制工作计划》2020年5月到2020年12月将完成接种但未兑现辖区医疗机构及卫生服务中心（站）约15000剂次的接种补助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全区重点人群摸底接种新冠疫苗数</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41432</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支</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全区重点人群摸底接种新冠疫苗数</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《云南省新冠疫苗接种准备工作方案》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疫苗针对疾病人群抗体检测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2/10</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万人次</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疫苗针对疾病人群抗体检测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《昆明市2020年度疾病预防控制工作计划》疫苗针对疾病人群抗体检测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8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冷链设备运转、保养、维护、验证；疫苗进销存系统维护更新；免规工作运转。</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次</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冷链设备运转、保养、维护、验证；疫苗进销存系统维护更新；免规工作运转。</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《中华人民共和国疫苗管理法》、《疫苗流通和预防接种管理条例》、《疫苗储存和运输管理规范》 冷链设备运转、保养、维护、验证；疫苗进销存系统维护更新；免规工作运转。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88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疫苗追溯系统建设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1</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套</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疫苗追溯系统建设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《关于做好疫苗信息化追溯体系建设工作的通知》（药监综药管【2019】103号）疫苗追溯系统建设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6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质量指标</w:t>
            </w: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98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疫苗针对疾病人群抗体检测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达到《2021疾病预防控制工作目标管理责任书》要求。</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定性指标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疫苗针对疾病人群抗体检测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《昆明市2020年度疾病预防控制工作计划》疫苗针对疾病人群抗体检测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0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冷链设备运转、保养、维护、验证；疫苗进销存系统维护更新；免规工作运转。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按《中华人民共和国疫苗管理法》、《疫苗流通和预防接种管理条例》、《疫苗储存和运输管理规范》《预防接种工作规范》</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定性指标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冷链设备运转、保养、维护、验证；疫苗进销存系统维护更新；免规工作运转。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《中华人民共和国疫苗管理法》、《疫苗流通和预防接种管理条例》、《疫苗储存和运输管理规范》  冷链设备运转、保养、维护、验证；疫苗进销存系统维护更新；免规工作运转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0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疫苗追溯系统建设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按照《中华人民共和国疫苗管理法》要求，做到疫苗扫码出入库、全程追溯可查。</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定性指标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5</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疫苗追溯系统建设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《关于做好疫苗信息化追溯体系建设工作的通知》（药监综药管【2019】103号）疫苗追溯系统建设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8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时效指标</w:t>
            </w: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0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全区重点人群摸底接种新冠疫苗数</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2021</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全区重点人群接种新冠疫苗</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《昆明市2020年度疾病预防控制工作计划》全区重点人群接种新冠疫苗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0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疫苗针对疾病人群抗体检测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2021</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疫苗针对疾病人群抗体检测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《昆明市2020年度疾病预防控制工作计划》疫苗针对疾病人群抗体检测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0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冷链设备运转、保养、维护、验证；疫苗进销存系统维护更新；免规工作运转。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2021 </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冷链设备运转、保养、维护、验证；疫苗进销存系统维护更新；免规工作运转。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《中华人民共和国疫苗管理法》、《疫苗流通和预防接种管理条例》、《疫苗储存和运输管理规范》 冷链设备运转、保养、维护、验证；疫苗进销存系统维护更新；免规工作运转。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0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疫苗追溯系统建设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2021</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年</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疫苗追溯系统建设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《关于做好疫苗信息化追溯体系建设工作的通知》（药监综药管【2019】103号）疫苗追溯系统建设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成本指标</w:t>
            </w: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8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2020年未支付23价肺炎疫苗采购款40万元未支付（5000*80元/支）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400000</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元</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2020年未支付23价肺炎疫苗采购款</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《昆明市2020年度疾病预防控制工作计划》2020年未支付23价肺炎疫苗采购款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6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2020年5月到2020年12月将完成接种但未兑现辖区医疗机构及卫生服务中心（站）约15000剂次的接种补助经费22.5万元（15000*15元/剂）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&lt;=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225000</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元</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2020年5月到2020年12月将完成接种但未兑现辖区医疗机构及卫生服务中心（站）约15000剂次的接种补助经费</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《昆明市2020年度疾病预防控制工作计划》020年5月到2020年12月将完成接种但未兑现辖区医疗机构及卫生服务中心（站）约15000剂次的接种补助经费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全区重点人群摸底接种新冠疫苗数41432人*2针*200元/针</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16572800</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元</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全区重点人群新冠疫苗接种</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全区重点人群新冠疫苗接种摸底调查全区重点人群新冠疫苗接种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6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疫苗针对疾病人群抗体检测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约5000</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元</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2</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疫苗针对疾病人群抗体检测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《昆明市2020年度疾病预防控制工作计划》疫苗针对疾病人群抗体检测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0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冷链设备运转、保养、维护、验证；疫苗进销存系统维护更新；免规工作运转。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约210000</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元</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冷链设备运转、保养、维护、验证；疫苗进销存系统维护更新；免规工作运转。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《中华人民共和国疫苗管理法》、《疫苗流通和预防接种管理条例》、《疫苗储存和运输管理规范》 冷链设备运转、保养、维护、验证；疫苗进销存系统维护更新；免规工作运转。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2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疫苗追溯系统建设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约50000</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元</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3</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疫苗追溯系统建设  </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《关于做好疫苗信息化追溯体系建设工作的通知》（药监综药管【2019】103号）疫苗追溯系统建设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4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效益指标</w:t>
            </w: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社会效益指标</w:t>
            </w: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602"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疫苗针对传染病发病率</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&lt;=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达到《2020年疾病预防控制工作目标管理责任书》要求。</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定性指标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疫苗针对传染病发病率</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《昆明市2020年度疾病预防控制工作计划》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生态效益指标</w:t>
            </w: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8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降低疫苗针对疾病的传染病发病，维护人群健康</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按《中华人民共和国疫苗管理法》、《疫苗流通和预防接种管理条例》《疫苗储存和运输管理规范》《预防接种工作规范》</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定性指标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降低疫苗针对疾病的传染病发病，维护人群健康</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《昆明市2020年度疾病预防控制工作计划》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可持续影响指标</w:t>
            </w: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74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对保证全人类健康有举足轻重作用</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做到疫苗扫码出入库、全程追溯可查，保障疫苗储存、运输有效性。 不发生疫苗可控传染病流行</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定性指标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对保证全人类健康有举足轻重作用</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《昆明市2020年度疾病预防控制工作计划》</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8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满意度指标</w:t>
            </w: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32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服务对象满意度指标</w:t>
            </w: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空</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800" w:hRule="atLeast"/>
        </w:trPr>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49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jc w:val="left"/>
              <w:rPr>
                <w:rFonts w:hint="eastAsia" w:ascii="宋体" w:hAnsi="宋体" w:eastAsia="宋体" w:cs="宋体"/>
                <w:i w:val="0"/>
                <w:color w:val="auto"/>
                <w:sz w:val="20"/>
                <w:szCs w:val="20"/>
                <w:u w:val="none"/>
              </w:rPr>
            </w:pPr>
          </w:p>
        </w:tc>
        <w:tc>
          <w:tcPr>
            <w:tcW w:w="15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接种人群满意度 </w:t>
            </w:r>
          </w:p>
        </w:tc>
        <w:tc>
          <w:tcPr>
            <w:tcW w:w="69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&gt;=</w:t>
            </w:r>
          </w:p>
        </w:tc>
        <w:tc>
          <w:tcPr>
            <w:tcW w:w="141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 xml:space="preserve">90 </w:t>
            </w:r>
          </w:p>
        </w:tc>
        <w:tc>
          <w:tcPr>
            <w:tcW w:w="58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w:t>
            </w:r>
          </w:p>
        </w:tc>
        <w:tc>
          <w:tcPr>
            <w:tcW w:w="54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定量指标</w:t>
            </w:r>
          </w:p>
        </w:tc>
        <w:tc>
          <w:tcPr>
            <w:tcW w:w="63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10</w:t>
            </w:r>
          </w:p>
        </w:tc>
        <w:tc>
          <w:tcPr>
            <w:tcW w:w="190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接种人群满意度 &gt;=90%</w:t>
            </w:r>
          </w:p>
        </w:tc>
        <w:tc>
          <w:tcPr>
            <w:tcW w:w="253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auto"/>
                <w:sz w:val="20"/>
                <w:szCs w:val="20"/>
                <w:u w:val="none"/>
              </w:rPr>
            </w:pPr>
            <w:r>
              <w:rPr>
                <w:rFonts w:hint="eastAsia" w:ascii="宋体" w:hAnsi="宋体" w:eastAsia="宋体" w:cs="宋体"/>
                <w:i w:val="0"/>
                <w:color w:val="auto"/>
                <w:kern w:val="0"/>
                <w:sz w:val="20"/>
                <w:szCs w:val="20"/>
                <w:u w:val="none"/>
                <w:lang w:val="en-US" w:eastAsia="zh-CN" w:bidi="ar"/>
              </w:rPr>
              <w:t>《昆明市2020年度疾病预防控制工作计划》</w:t>
            </w:r>
          </w:p>
        </w:tc>
      </w:tr>
    </w:tbl>
    <w:p>
      <w:pPr>
        <w:widowControl/>
        <w:numPr>
          <w:ilvl w:val="0"/>
          <w:numId w:val="0"/>
        </w:numPr>
        <w:jc w:val="left"/>
        <w:rPr>
          <w:rFonts w:hint="eastAsia" w:ascii="黑体" w:hAnsi="黑体" w:eastAsia="黑体" w:cs="黑体"/>
          <w:color w:val="auto"/>
          <w:kern w:val="0"/>
          <w:sz w:val="30"/>
          <w:szCs w:val="30"/>
        </w:rPr>
      </w:pPr>
    </w:p>
    <w:p>
      <w:pPr>
        <w:widowControl/>
        <w:ind w:firstLine="600" w:firstLineChars="200"/>
        <w:jc w:val="left"/>
        <w:rPr>
          <w:rFonts w:ascii="楷体" w:hAnsi="楷体" w:eastAsia="楷体" w:cs="楷体"/>
          <w:color w:val="auto"/>
          <w:kern w:val="0"/>
          <w:sz w:val="30"/>
          <w:szCs w:val="30"/>
        </w:rPr>
      </w:pPr>
      <w:r>
        <w:rPr>
          <w:rFonts w:hint="eastAsia" w:ascii="黑体" w:hAnsi="黑体" w:eastAsia="黑体"/>
          <w:color w:val="auto"/>
          <w:kern w:val="0"/>
          <w:sz w:val="30"/>
          <w:szCs w:val="30"/>
        </w:rPr>
        <w:t>九</w:t>
      </w:r>
      <w:r>
        <w:rPr>
          <w:rFonts w:ascii="黑体" w:hAnsi="黑体" w:eastAsia="黑体"/>
          <w:color w:val="auto"/>
          <w:kern w:val="0"/>
          <w:sz w:val="30"/>
          <w:szCs w:val="30"/>
        </w:rPr>
        <w:t>、其他公开信息</w:t>
      </w:r>
    </w:p>
    <w:p>
      <w:pPr>
        <w:widowControl/>
        <w:ind w:firstLine="600" w:firstLineChars="200"/>
        <w:jc w:val="left"/>
        <w:rPr>
          <w:rFonts w:ascii="楷体_GB2312" w:eastAsia="楷体_GB2312"/>
          <w:color w:val="auto"/>
          <w:kern w:val="0"/>
          <w:sz w:val="30"/>
          <w:szCs w:val="30"/>
        </w:rPr>
      </w:pPr>
      <w:r>
        <w:rPr>
          <w:rFonts w:ascii="楷体_GB2312" w:eastAsia="楷体_GB2312"/>
          <w:color w:val="auto"/>
          <w:kern w:val="0"/>
          <w:sz w:val="30"/>
          <w:szCs w:val="30"/>
        </w:rPr>
        <w:t>（一）专业名词解释</w:t>
      </w:r>
    </w:p>
    <w:p>
      <w:pPr>
        <w:numPr>
          <w:ilvl w:val="0"/>
          <w:numId w:val="0"/>
        </w:numPr>
        <w:ind w:leftChars="0" w:firstLine="600" w:firstLineChars="200"/>
        <w:rPr>
          <w:rFonts w:hint="eastAsia" w:eastAsia="仿宋_GB2312"/>
          <w:color w:val="auto"/>
          <w:kern w:val="0"/>
          <w:sz w:val="30"/>
          <w:szCs w:val="30"/>
          <w:lang w:val="zh-CN" w:eastAsia="zh-CN"/>
        </w:rPr>
      </w:pPr>
      <w:r>
        <w:rPr>
          <w:rFonts w:hint="eastAsia" w:eastAsia="仿宋_GB2312"/>
          <w:color w:val="auto"/>
          <w:kern w:val="0"/>
          <w:sz w:val="30"/>
          <w:szCs w:val="30"/>
          <w:lang w:val="zh-CN" w:eastAsia="zh-CN"/>
        </w:rPr>
        <w:t>1.“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执勤用车。（3）公务接待费，指单位按规定开支的各类公务接待（含外宾接待）支出。</w:t>
      </w:r>
    </w:p>
    <w:p>
      <w:pPr>
        <w:numPr>
          <w:ilvl w:val="0"/>
          <w:numId w:val="0"/>
        </w:numPr>
        <w:ind w:leftChars="0" w:firstLine="600" w:firstLineChars="200"/>
        <w:rPr>
          <w:rFonts w:hint="eastAsia" w:eastAsia="仿宋_GB2312"/>
          <w:color w:val="auto"/>
          <w:kern w:val="0"/>
          <w:sz w:val="30"/>
          <w:szCs w:val="30"/>
          <w:lang w:val="zh-CN" w:eastAsia="zh-CN"/>
        </w:rPr>
      </w:pPr>
      <w:r>
        <w:rPr>
          <w:rFonts w:hint="eastAsia" w:eastAsia="仿宋_GB2312"/>
          <w:color w:val="auto"/>
          <w:kern w:val="0"/>
          <w:sz w:val="30"/>
          <w:szCs w:val="30"/>
          <w:lang w:val="zh-CN" w:eastAsia="zh-CN"/>
        </w:rPr>
        <w:t>2．基本支出中人员经费、办公经费包括工资福利支出和对个人和家庭的补助，日常公用支出包括商品和服务支出、其他资本性支出等人员经费、办公经费以外的支出。</w:t>
      </w:r>
    </w:p>
    <w:p>
      <w:pPr>
        <w:numPr>
          <w:ilvl w:val="0"/>
          <w:numId w:val="0"/>
        </w:numPr>
        <w:ind w:leftChars="0" w:firstLine="600" w:firstLineChars="200"/>
        <w:rPr>
          <w:rFonts w:hint="eastAsia" w:eastAsia="仿宋_GB2312"/>
          <w:color w:val="auto"/>
          <w:kern w:val="0"/>
          <w:sz w:val="30"/>
          <w:szCs w:val="30"/>
          <w:lang w:val="zh-CN" w:eastAsia="zh-CN"/>
        </w:rPr>
      </w:pPr>
      <w:r>
        <w:rPr>
          <w:rFonts w:hint="eastAsia" w:eastAsia="仿宋_GB2312"/>
          <w:color w:val="auto"/>
          <w:kern w:val="0"/>
          <w:sz w:val="30"/>
          <w:szCs w:val="30"/>
          <w:lang w:val="zh-CN" w:eastAsia="zh-CN"/>
        </w:rPr>
        <w:t>3．机关运行经费指行政单位和参照公务员法管理的事业单位使用一般公共预算财政拨款安排的除人员经费、办公经费以外的基本支出。</w:t>
      </w:r>
    </w:p>
    <w:p>
      <w:pPr>
        <w:widowControl/>
        <w:ind w:firstLine="600" w:firstLineChars="200"/>
        <w:jc w:val="left"/>
        <w:rPr>
          <w:rFonts w:hint="eastAsia" w:ascii="楷体_GB2312" w:eastAsia="楷体_GB2312"/>
          <w:color w:val="auto"/>
          <w:kern w:val="0"/>
          <w:sz w:val="30"/>
          <w:szCs w:val="30"/>
        </w:rPr>
      </w:pPr>
      <w:r>
        <w:rPr>
          <w:rFonts w:ascii="楷体_GB2312" w:eastAsia="楷体_GB2312"/>
          <w:color w:val="auto"/>
          <w:kern w:val="0"/>
          <w:sz w:val="30"/>
          <w:szCs w:val="30"/>
        </w:rPr>
        <w:t>（二）机关运行经费安排</w:t>
      </w:r>
      <w:r>
        <w:rPr>
          <w:rFonts w:hint="eastAsia" w:ascii="楷体_GB2312" w:eastAsia="楷体_GB2312"/>
          <w:color w:val="auto"/>
          <w:kern w:val="0"/>
          <w:sz w:val="30"/>
          <w:szCs w:val="30"/>
        </w:rPr>
        <w:t>变化情况及原因说明</w:t>
      </w:r>
    </w:p>
    <w:p>
      <w:pPr>
        <w:widowControl/>
        <w:ind w:firstLine="600" w:firstLineChars="200"/>
        <w:jc w:val="left"/>
        <w:rPr>
          <w:rFonts w:hint="default" w:ascii="楷体" w:hAnsi="楷体" w:eastAsia="楷体" w:cs="楷体"/>
          <w:color w:val="auto"/>
          <w:kern w:val="0"/>
          <w:sz w:val="30"/>
          <w:szCs w:val="30"/>
          <w:lang w:val="en-US"/>
        </w:rPr>
      </w:pPr>
      <w:r>
        <w:rPr>
          <w:rFonts w:hint="eastAsia" w:eastAsia="仿宋_GB2312"/>
          <w:color w:val="auto"/>
          <w:kern w:val="0"/>
          <w:sz w:val="30"/>
          <w:szCs w:val="30"/>
        </w:rPr>
        <w:t>2021年机关运行经费安排</w:t>
      </w:r>
      <w:r>
        <w:rPr>
          <w:rFonts w:hint="eastAsia" w:eastAsia="仿宋_GB2312"/>
          <w:color w:val="auto"/>
          <w:kern w:val="0"/>
          <w:sz w:val="30"/>
          <w:szCs w:val="30"/>
          <w:lang w:val="en-US" w:eastAsia="zh-CN"/>
        </w:rPr>
        <w:t>94.72</w:t>
      </w:r>
      <w:r>
        <w:rPr>
          <w:rFonts w:hint="eastAsia" w:eastAsia="仿宋_GB2312"/>
          <w:color w:val="auto"/>
          <w:kern w:val="0"/>
          <w:sz w:val="30"/>
          <w:szCs w:val="30"/>
        </w:rPr>
        <w:t>万元，</w:t>
      </w:r>
      <w:r>
        <w:rPr>
          <w:rFonts w:hint="eastAsia" w:eastAsia="仿宋_GB2312"/>
          <w:color w:val="auto"/>
          <w:kern w:val="0"/>
          <w:sz w:val="30"/>
          <w:szCs w:val="30"/>
          <w:lang w:val="zh-CN" w:eastAsia="zh-CN"/>
        </w:rPr>
        <w:t>主要用于办公经费、印刷费、水电费、汽燃费、办公设备购置等日常开支，以保证机构正常运转。</w:t>
      </w:r>
      <w:r>
        <w:rPr>
          <w:rFonts w:hint="eastAsia" w:eastAsia="仿宋_GB2312"/>
          <w:color w:val="auto"/>
          <w:kern w:val="0"/>
          <w:sz w:val="30"/>
          <w:szCs w:val="30"/>
        </w:rPr>
        <w:t>与上年对比</w:t>
      </w:r>
      <w:r>
        <w:rPr>
          <w:rFonts w:hint="eastAsia" w:eastAsia="仿宋_GB2312"/>
          <w:color w:val="auto"/>
          <w:kern w:val="0"/>
          <w:sz w:val="30"/>
          <w:szCs w:val="30"/>
          <w:lang w:val="en-US" w:eastAsia="zh-CN"/>
        </w:rPr>
        <w:t>减少100.55万</w:t>
      </w:r>
      <w:r>
        <w:rPr>
          <w:rFonts w:hint="eastAsia" w:ascii="楷体" w:hAnsi="楷体" w:eastAsia="楷体" w:cs="楷体"/>
          <w:color w:val="auto"/>
          <w:kern w:val="0"/>
          <w:sz w:val="30"/>
          <w:szCs w:val="30"/>
        </w:rPr>
        <w:t>，</w:t>
      </w:r>
      <w:r>
        <w:rPr>
          <w:rFonts w:hint="eastAsia" w:eastAsia="仿宋_GB2312"/>
          <w:color w:val="auto"/>
          <w:kern w:val="0"/>
          <w:sz w:val="30"/>
          <w:szCs w:val="30"/>
        </w:rPr>
        <w:t>主要原因分析</w:t>
      </w:r>
      <w:r>
        <w:rPr>
          <w:rFonts w:hint="eastAsia" w:eastAsia="仿宋_GB2312"/>
          <w:color w:val="auto"/>
          <w:kern w:val="0"/>
          <w:sz w:val="30"/>
          <w:szCs w:val="30"/>
          <w:lang w:val="en-US" w:eastAsia="zh-CN"/>
        </w:rPr>
        <w:t>2021年计生协管员经费只预算3个月经费，上年预算1年经费，故预算减少。</w:t>
      </w:r>
    </w:p>
    <w:p>
      <w:pPr>
        <w:widowControl/>
        <w:ind w:firstLine="600" w:firstLineChars="200"/>
        <w:jc w:val="left"/>
        <w:rPr>
          <w:rFonts w:ascii="楷体_GB2312" w:eastAsia="楷体_GB2312"/>
          <w:color w:val="auto"/>
          <w:kern w:val="0"/>
          <w:sz w:val="30"/>
          <w:szCs w:val="30"/>
        </w:rPr>
      </w:pPr>
      <w:r>
        <w:rPr>
          <w:rFonts w:ascii="楷体_GB2312" w:eastAsia="楷体_GB2312"/>
          <w:color w:val="auto"/>
          <w:kern w:val="0"/>
          <w:sz w:val="30"/>
          <w:szCs w:val="30"/>
        </w:rPr>
        <w:t>（三）</w:t>
      </w:r>
      <w:r>
        <w:rPr>
          <w:rFonts w:ascii="楷体_GB2312" w:eastAsia="楷体_GB2312"/>
          <w:color w:val="auto"/>
          <w:kern w:val="0"/>
          <w:sz w:val="32"/>
          <w:szCs w:val="32"/>
        </w:rPr>
        <w:t>国有资产占</w:t>
      </w:r>
      <w:r>
        <w:rPr>
          <w:rFonts w:hint="eastAsia" w:ascii="楷体_GB2312" w:eastAsia="楷体_GB2312"/>
          <w:color w:val="auto"/>
          <w:kern w:val="0"/>
          <w:sz w:val="32"/>
          <w:szCs w:val="32"/>
        </w:rPr>
        <w:t>有使用</w:t>
      </w:r>
      <w:r>
        <w:rPr>
          <w:rFonts w:ascii="楷体_GB2312" w:eastAsia="楷体_GB2312"/>
          <w:color w:val="auto"/>
          <w:kern w:val="0"/>
          <w:sz w:val="32"/>
          <w:szCs w:val="32"/>
        </w:rPr>
        <w:t>情况</w:t>
      </w:r>
    </w:p>
    <w:p>
      <w:pPr>
        <w:widowControl/>
        <w:ind w:firstLine="600" w:firstLineChars="200"/>
        <w:jc w:val="left"/>
        <w:rPr>
          <w:rFonts w:eastAsia="仿宋_GB2312"/>
          <w:color w:val="auto"/>
          <w:kern w:val="0"/>
          <w:sz w:val="30"/>
          <w:szCs w:val="30"/>
        </w:rPr>
      </w:pPr>
      <w:r>
        <w:rPr>
          <w:rFonts w:hint="eastAsia" w:eastAsia="仿宋_GB2312"/>
          <w:color w:val="auto"/>
          <w:kern w:val="0"/>
          <w:sz w:val="30"/>
          <w:szCs w:val="30"/>
        </w:rPr>
        <w:t>截至2020年12月31日的国有资产占有使用情况如下：</w:t>
      </w:r>
    </w:p>
    <w:p>
      <w:pPr>
        <w:widowControl/>
        <w:ind w:firstLine="600" w:firstLineChars="200"/>
        <w:jc w:val="left"/>
        <w:rPr>
          <w:rFonts w:hint="eastAsia" w:eastAsia="仿宋_GB2312"/>
          <w:color w:val="auto"/>
          <w:kern w:val="0"/>
          <w:sz w:val="30"/>
          <w:szCs w:val="30"/>
        </w:rPr>
      </w:pPr>
      <w:r>
        <w:rPr>
          <w:rFonts w:hint="eastAsia" w:eastAsia="仿宋_GB2312"/>
          <w:color w:val="auto"/>
          <w:kern w:val="0"/>
          <w:sz w:val="30"/>
          <w:szCs w:val="30"/>
        </w:rPr>
        <w:t>截至20</w:t>
      </w:r>
      <w:r>
        <w:rPr>
          <w:rFonts w:hint="eastAsia" w:eastAsia="仿宋_GB2312"/>
          <w:color w:val="auto"/>
          <w:kern w:val="0"/>
          <w:sz w:val="30"/>
          <w:szCs w:val="30"/>
          <w:lang w:val="en-US" w:eastAsia="zh-CN"/>
        </w:rPr>
        <w:t>20</w:t>
      </w:r>
      <w:r>
        <w:rPr>
          <w:rFonts w:hint="eastAsia" w:eastAsia="仿宋_GB2312"/>
          <w:color w:val="auto"/>
          <w:kern w:val="0"/>
          <w:sz w:val="30"/>
          <w:szCs w:val="30"/>
        </w:rPr>
        <w:t>年12月31日的国有资产占有使用情况如下：</w:t>
      </w:r>
    </w:p>
    <w:p>
      <w:pPr>
        <w:widowControl/>
        <w:ind w:firstLine="600" w:firstLineChars="200"/>
        <w:jc w:val="left"/>
        <w:rPr>
          <w:rFonts w:hint="eastAsia" w:eastAsia="仿宋_GB2312"/>
          <w:color w:val="auto"/>
          <w:kern w:val="0"/>
          <w:sz w:val="30"/>
          <w:szCs w:val="30"/>
          <w:lang w:val="zh-CN" w:eastAsia="zh-CN"/>
        </w:rPr>
      </w:pPr>
      <w:r>
        <w:rPr>
          <w:rFonts w:hint="eastAsia" w:eastAsia="仿宋_GB2312"/>
          <w:color w:val="auto"/>
          <w:kern w:val="0"/>
          <w:sz w:val="30"/>
          <w:szCs w:val="30"/>
          <w:lang w:val="zh-CN" w:eastAsia="zh-CN"/>
        </w:rPr>
        <w:t>部门资产总额</w:t>
      </w:r>
      <w:r>
        <w:rPr>
          <w:rFonts w:hint="eastAsia" w:eastAsia="仿宋_GB2312"/>
          <w:color w:val="auto"/>
          <w:kern w:val="0"/>
          <w:sz w:val="30"/>
          <w:szCs w:val="30"/>
          <w:lang w:val="en-US" w:eastAsia="zh-CN"/>
        </w:rPr>
        <w:t>4700.51</w:t>
      </w:r>
      <w:r>
        <w:rPr>
          <w:rFonts w:hint="eastAsia" w:eastAsia="仿宋_GB2312"/>
          <w:color w:val="auto"/>
          <w:kern w:val="0"/>
          <w:sz w:val="30"/>
          <w:szCs w:val="30"/>
          <w:lang w:val="zh-CN" w:eastAsia="zh-CN"/>
        </w:rPr>
        <w:t>万元，其中：流动资产</w:t>
      </w:r>
      <w:r>
        <w:rPr>
          <w:rFonts w:hint="eastAsia" w:eastAsia="仿宋_GB2312"/>
          <w:color w:val="auto"/>
          <w:kern w:val="0"/>
          <w:sz w:val="30"/>
          <w:szCs w:val="30"/>
          <w:lang w:val="en-US" w:eastAsia="zh-CN"/>
        </w:rPr>
        <w:t>1841.04</w:t>
      </w:r>
      <w:r>
        <w:rPr>
          <w:rFonts w:hint="eastAsia" w:eastAsia="仿宋_GB2312"/>
          <w:color w:val="auto"/>
          <w:kern w:val="0"/>
          <w:sz w:val="30"/>
          <w:szCs w:val="30"/>
          <w:lang w:val="zh-CN" w:eastAsia="zh-CN"/>
        </w:rPr>
        <w:t xml:space="preserve"> 万元，固定资产</w:t>
      </w:r>
      <w:r>
        <w:rPr>
          <w:rFonts w:hint="eastAsia" w:eastAsia="仿宋_GB2312"/>
          <w:color w:val="auto"/>
          <w:kern w:val="0"/>
          <w:sz w:val="30"/>
          <w:szCs w:val="30"/>
          <w:lang w:val="en-US" w:eastAsia="zh-CN"/>
        </w:rPr>
        <w:t>1777.34</w:t>
      </w:r>
      <w:r>
        <w:rPr>
          <w:rFonts w:hint="eastAsia" w:eastAsia="仿宋_GB2312"/>
          <w:color w:val="auto"/>
          <w:kern w:val="0"/>
          <w:sz w:val="30"/>
          <w:szCs w:val="30"/>
          <w:lang w:val="zh-CN" w:eastAsia="zh-CN"/>
        </w:rPr>
        <w:t xml:space="preserve"> 万元，无形资产</w:t>
      </w:r>
      <w:r>
        <w:rPr>
          <w:rFonts w:hint="eastAsia" w:eastAsia="仿宋_GB2312"/>
          <w:color w:val="auto"/>
          <w:kern w:val="0"/>
          <w:sz w:val="30"/>
          <w:szCs w:val="30"/>
          <w:lang w:val="en-US" w:eastAsia="zh-CN"/>
        </w:rPr>
        <w:t>10.81</w:t>
      </w:r>
      <w:r>
        <w:rPr>
          <w:rFonts w:hint="eastAsia" w:eastAsia="仿宋_GB2312"/>
          <w:color w:val="auto"/>
          <w:kern w:val="0"/>
          <w:sz w:val="30"/>
          <w:szCs w:val="30"/>
          <w:lang w:val="zh-CN" w:eastAsia="zh-CN"/>
        </w:rPr>
        <w:t>万元，对外投资/有价证券</w:t>
      </w:r>
      <w:r>
        <w:rPr>
          <w:rFonts w:hint="eastAsia" w:eastAsia="仿宋_GB2312"/>
          <w:color w:val="auto"/>
          <w:kern w:val="0"/>
          <w:sz w:val="30"/>
          <w:szCs w:val="30"/>
          <w:lang w:val="en-US" w:eastAsia="zh-CN"/>
        </w:rPr>
        <w:t>0</w:t>
      </w:r>
      <w:r>
        <w:rPr>
          <w:rFonts w:hint="eastAsia" w:eastAsia="仿宋_GB2312"/>
          <w:color w:val="auto"/>
          <w:kern w:val="0"/>
          <w:sz w:val="30"/>
          <w:szCs w:val="30"/>
          <w:lang w:val="zh-CN" w:eastAsia="zh-CN"/>
        </w:rPr>
        <w:t>万元，在建工程</w:t>
      </w:r>
      <w:r>
        <w:rPr>
          <w:rFonts w:hint="eastAsia" w:eastAsia="仿宋_GB2312"/>
          <w:color w:val="auto"/>
          <w:kern w:val="0"/>
          <w:sz w:val="30"/>
          <w:szCs w:val="30"/>
          <w:lang w:val="en-US" w:eastAsia="zh-CN"/>
        </w:rPr>
        <w:t>1010.62</w:t>
      </w:r>
      <w:r>
        <w:rPr>
          <w:rFonts w:hint="eastAsia" w:eastAsia="仿宋_GB2312"/>
          <w:color w:val="auto"/>
          <w:kern w:val="0"/>
          <w:sz w:val="30"/>
          <w:szCs w:val="30"/>
          <w:lang w:val="zh-CN" w:eastAsia="zh-CN"/>
        </w:rPr>
        <w:t xml:space="preserve"> 万元，其他资产</w:t>
      </w:r>
      <w:r>
        <w:rPr>
          <w:rFonts w:hint="eastAsia" w:eastAsia="仿宋_GB2312"/>
          <w:color w:val="auto"/>
          <w:kern w:val="0"/>
          <w:sz w:val="30"/>
          <w:szCs w:val="30"/>
          <w:lang w:val="en-US" w:eastAsia="zh-CN"/>
        </w:rPr>
        <w:t>60.66</w:t>
      </w:r>
      <w:r>
        <w:rPr>
          <w:rFonts w:hint="eastAsia" w:eastAsia="仿宋_GB2312"/>
          <w:color w:val="auto"/>
          <w:kern w:val="0"/>
          <w:sz w:val="30"/>
          <w:szCs w:val="30"/>
          <w:lang w:val="zh-CN" w:eastAsia="zh-CN"/>
        </w:rPr>
        <w:t>万元。</w:t>
      </w:r>
    </w:p>
    <w:p>
      <w:pPr>
        <w:widowControl/>
        <w:ind w:firstLine="600" w:firstLineChars="200"/>
        <w:jc w:val="left"/>
        <w:rPr>
          <w:rFonts w:hint="eastAsia" w:eastAsia="仿宋_GB2312"/>
          <w:color w:val="auto"/>
          <w:kern w:val="0"/>
          <w:sz w:val="30"/>
          <w:szCs w:val="30"/>
        </w:rPr>
      </w:pPr>
    </w:p>
    <w:p>
      <w:pPr>
        <w:widowControl/>
        <w:ind w:firstLine="600" w:firstLineChars="200"/>
        <w:jc w:val="left"/>
        <w:rPr>
          <w:rFonts w:eastAsia="仿宋_GB2312"/>
          <w:color w:val="auto"/>
          <w:kern w:val="0"/>
          <w:sz w:val="30"/>
          <w:szCs w:val="30"/>
        </w:rPr>
      </w:pPr>
      <w:r>
        <w:rPr>
          <w:rFonts w:hint="eastAsia" w:eastAsia="仿宋_GB2312"/>
          <w:color w:val="auto"/>
          <w:kern w:val="0"/>
          <w:sz w:val="30"/>
          <w:szCs w:val="30"/>
        </w:rPr>
        <w:t>(请参照部门2020年决算报表数据填列)</w:t>
      </w:r>
    </w:p>
    <w:p>
      <w:pPr>
        <w:widowControl/>
        <w:ind w:firstLine="600" w:firstLineChars="200"/>
        <w:jc w:val="left"/>
        <w:rPr>
          <w:rFonts w:eastAsia="仿宋_GB2312"/>
          <w:color w:val="auto"/>
          <w:kern w:val="0"/>
          <w:sz w:val="30"/>
          <w:szCs w:val="30"/>
        </w:rPr>
      </w:pPr>
    </w:p>
    <w:p>
      <w:pPr>
        <w:widowControl/>
        <w:ind w:firstLine="600" w:firstLineChars="200"/>
        <w:jc w:val="left"/>
        <w:rPr>
          <w:rFonts w:ascii="楷体_GB2312" w:eastAsia="楷体_GB2312"/>
          <w:color w:val="auto"/>
          <w:kern w:val="0"/>
          <w:sz w:val="30"/>
          <w:szCs w:val="30"/>
        </w:rPr>
      </w:pPr>
      <w:r>
        <w:rPr>
          <w:rFonts w:hint="eastAsia" w:eastAsia="仿宋_GB2312"/>
          <w:color w:val="auto"/>
          <w:kern w:val="0"/>
          <w:sz w:val="30"/>
          <w:szCs w:val="30"/>
        </w:rPr>
        <w:t>鉴于上述数据为快报数，相关数据需在完成2020年决算编制后才能统计汇总相关数据，因此，将在公开2020年度部门决算时一并公开部门截至2020年12月31日的国有资产占有使用情况。</w:t>
      </w:r>
    </w:p>
    <w:p>
      <w:pPr>
        <w:widowControl/>
        <w:ind w:firstLine="600" w:firstLineChars="200"/>
        <w:jc w:val="left"/>
        <w:rPr>
          <w:rFonts w:ascii="黑体" w:hAnsi="黑体" w:eastAsia="黑体"/>
          <w:color w:val="auto"/>
          <w:kern w:val="0"/>
          <w:sz w:val="30"/>
          <w:szCs w:val="30"/>
        </w:rPr>
      </w:pPr>
      <w:r>
        <w:rPr>
          <w:rFonts w:hint="eastAsia" w:ascii="黑体" w:hAnsi="黑体" w:eastAsia="黑体"/>
          <w:color w:val="auto"/>
          <w:kern w:val="0"/>
          <w:sz w:val="30"/>
          <w:szCs w:val="30"/>
        </w:rPr>
        <w:t>十、预算收支增减变化情况说明</w:t>
      </w:r>
    </w:p>
    <w:p>
      <w:pPr>
        <w:widowControl/>
        <w:ind w:firstLine="600" w:firstLineChars="200"/>
        <w:jc w:val="left"/>
        <w:rPr>
          <w:rFonts w:ascii="楷体_GB2312" w:hAnsi="楷体" w:eastAsia="楷体_GB2312"/>
          <w:color w:val="auto"/>
          <w:kern w:val="0"/>
          <w:sz w:val="30"/>
          <w:szCs w:val="30"/>
        </w:rPr>
      </w:pPr>
      <w:r>
        <w:rPr>
          <w:rFonts w:hint="eastAsia" w:ascii="楷体_GB2312" w:hAnsi="楷体" w:eastAsia="楷体_GB2312"/>
          <w:color w:val="auto"/>
          <w:kern w:val="0"/>
          <w:sz w:val="30"/>
          <w:szCs w:val="30"/>
        </w:rPr>
        <w:t>（一）基本支出预算变动的主要原因</w:t>
      </w:r>
    </w:p>
    <w:p>
      <w:pPr>
        <w:widowControl/>
        <w:ind w:firstLine="600" w:firstLineChars="200"/>
        <w:jc w:val="left"/>
        <w:rPr>
          <w:rFonts w:ascii="仿宋_GB2312" w:eastAsia="仿宋_GB2312"/>
          <w:color w:val="auto"/>
          <w:kern w:val="0"/>
          <w:sz w:val="30"/>
          <w:szCs w:val="30"/>
        </w:rPr>
      </w:pPr>
      <w:r>
        <w:rPr>
          <w:rFonts w:hint="eastAsia" w:eastAsia="仿宋_GB2312"/>
          <w:color w:val="auto"/>
          <w:kern w:val="0"/>
          <w:sz w:val="30"/>
          <w:szCs w:val="30"/>
          <w:lang w:val="en-US" w:eastAsia="zh-CN"/>
        </w:rPr>
        <w:t>2021</w:t>
      </w:r>
      <w:r>
        <w:rPr>
          <w:rFonts w:hint="eastAsia" w:eastAsia="仿宋_GB2312"/>
          <w:color w:val="auto"/>
          <w:kern w:val="0"/>
          <w:sz w:val="30"/>
          <w:szCs w:val="30"/>
        </w:rPr>
        <w:t>年本级财力安排</w:t>
      </w:r>
      <w:r>
        <w:rPr>
          <w:rFonts w:hint="eastAsia" w:eastAsia="仿宋_GB2312"/>
          <w:color w:val="auto"/>
          <w:kern w:val="0"/>
          <w:sz w:val="30"/>
          <w:szCs w:val="30"/>
          <w:lang w:eastAsia="zh-CN"/>
        </w:rPr>
        <w:t>盘龙区卫生健康局</w:t>
      </w:r>
      <w:r>
        <w:rPr>
          <w:rFonts w:hint="eastAsia" w:eastAsia="仿宋_GB2312"/>
          <w:color w:val="auto"/>
          <w:kern w:val="0"/>
          <w:sz w:val="30"/>
          <w:szCs w:val="30"/>
        </w:rPr>
        <w:t>部门</w:t>
      </w:r>
      <w:r>
        <w:rPr>
          <w:rFonts w:eastAsia="仿宋_GB2312"/>
          <w:color w:val="auto"/>
          <w:kern w:val="0"/>
          <w:sz w:val="30"/>
          <w:szCs w:val="30"/>
        </w:rPr>
        <w:t>基本支出</w:t>
      </w:r>
      <w:r>
        <w:rPr>
          <w:rFonts w:hint="eastAsia" w:eastAsia="仿宋_GB2312"/>
          <w:color w:val="auto"/>
          <w:kern w:val="0"/>
          <w:sz w:val="30"/>
          <w:szCs w:val="30"/>
          <w:lang w:val="en-US" w:eastAsia="zh-CN"/>
        </w:rPr>
        <w:t>508.66</w:t>
      </w:r>
      <w:r>
        <w:rPr>
          <w:rFonts w:hint="eastAsia" w:eastAsia="仿宋_GB2312"/>
          <w:color w:val="auto"/>
          <w:kern w:val="0"/>
          <w:sz w:val="30"/>
          <w:szCs w:val="30"/>
        </w:rPr>
        <w:t>万元，与上年对比减少</w:t>
      </w:r>
      <w:r>
        <w:rPr>
          <w:rFonts w:hint="eastAsia" w:eastAsia="仿宋_GB2312"/>
          <w:color w:val="auto"/>
          <w:kern w:val="0"/>
          <w:sz w:val="30"/>
          <w:szCs w:val="30"/>
          <w:lang w:val="en-US" w:eastAsia="zh-CN"/>
        </w:rPr>
        <w:t>148.97</w:t>
      </w:r>
      <w:r>
        <w:rPr>
          <w:rFonts w:hint="eastAsia" w:eastAsia="仿宋_GB2312"/>
          <w:color w:val="auto"/>
          <w:kern w:val="0"/>
          <w:sz w:val="30"/>
          <w:szCs w:val="30"/>
        </w:rPr>
        <w:t>万元，增减变化的原因主要是：</w:t>
      </w:r>
      <w:r>
        <w:rPr>
          <w:rFonts w:hint="eastAsia" w:eastAsia="仿宋_GB2312"/>
          <w:color w:val="auto"/>
          <w:kern w:val="0"/>
          <w:sz w:val="30"/>
          <w:szCs w:val="30"/>
          <w:lang w:val="en-US" w:eastAsia="zh-CN"/>
        </w:rPr>
        <w:t>计生协管员经费只预算3个月经费，上年是预算1年经费</w:t>
      </w:r>
      <w:r>
        <w:rPr>
          <w:rFonts w:hint="eastAsia" w:ascii="楷体" w:hAnsi="楷体" w:eastAsia="楷体" w:cs="楷体"/>
          <w:color w:val="auto"/>
          <w:kern w:val="0"/>
          <w:sz w:val="30"/>
          <w:szCs w:val="30"/>
        </w:rPr>
        <w:t>；</w:t>
      </w:r>
    </w:p>
    <w:p>
      <w:pPr>
        <w:widowControl/>
        <w:ind w:firstLine="600" w:firstLineChars="200"/>
        <w:jc w:val="left"/>
        <w:rPr>
          <w:rFonts w:ascii="楷体_GB2312" w:hAnsi="楷体" w:eastAsia="楷体_GB2312"/>
          <w:color w:val="auto"/>
          <w:kern w:val="0"/>
          <w:sz w:val="30"/>
          <w:szCs w:val="30"/>
        </w:rPr>
      </w:pPr>
      <w:r>
        <w:rPr>
          <w:rFonts w:hint="eastAsia" w:ascii="楷体_GB2312" w:hAnsi="楷体" w:eastAsia="楷体_GB2312"/>
          <w:color w:val="auto"/>
          <w:kern w:val="0"/>
          <w:sz w:val="30"/>
          <w:szCs w:val="30"/>
        </w:rPr>
        <w:t>（二）项目支出预算变动的主要原因</w:t>
      </w:r>
    </w:p>
    <w:p>
      <w:pPr>
        <w:widowControl/>
        <w:ind w:firstLine="600" w:firstLineChars="200"/>
        <w:jc w:val="left"/>
        <w:rPr>
          <w:rFonts w:hint="default" w:eastAsia="仿宋_GB2312"/>
          <w:color w:val="auto"/>
          <w:kern w:val="0"/>
          <w:sz w:val="30"/>
          <w:szCs w:val="30"/>
          <w:lang w:val="en-US"/>
        </w:rPr>
      </w:pPr>
      <w:r>
        <w:rPr>
          <w:rFonts w:hint="eastAsia" w:eastAsia="仿宋_GB2312"/>
          <w:color w:val="auto"/>
          <w:kern w:val="0"/>
          <w:sz w:val="30"/>
          <w:szCs w:val="30"/>
          <w:lang w:val="en-US" w:eastAsia="zh-CN"/>
        </w:rPr>
        <w:t>2021</w:t>
      </w:r>
      <w:r>
        <w:rPr>
          <w:rFonts w:hint="eastAsia" w:eastAsia="仿宋_GB2312"/>
          <w:color w:val="auto"/>
          <w:kern w:val="0"/>
          <w:sz w:val="30"/>
          <w:szCs w:val="30"/>
        </w:rPr>
        <w:t>年本级财力安排</w:t>
      </w:r>
      <w:r>
        <w:rPr>
          <w:rFonts w:hint="eastAsia" w:eastAsia="仿宋_GB2312"/>
          <w:color w:val="auto"/>
          <w:kern w:val="0"/>
          <w:sz w:val="30"/>
          <w:szCs w:val="30"/>
          <w:lang w:eastAsia="zh-CN"/>
        </w:rPr>
        <w:t>盘龙区卫生健康局</w:t>
      </w:r>
      <w:r>
        <w:rPr>
          <w:rFonts w:hint="eastAsia" w:eastAsia="仿宋_GB2312"/>
          <w:color w:val="auto"/>
          <w:kern w:val="0"/>
          <w:sz w:val="30"/>
          <w:szCs w:val="30"/>
        </w:rPr>
        <w:t>部门项目支出</w:t>
      </w:r>
      <w:r>
        <w:rPr>
          <w:rFonts w:hint="eastAsia" w:eastAsia="仿宋_GB2312"/>
          <w:color w:val="auto"/>
          <w:kern w:val="0"/>
          <w:sz w:val="30"/>
          <w:szCs w:val="30"/>
          <w:lang w:val="en-US" w:eastAsia="zh-CN"/>
        </w:rPr>
        <w:t>3016.69</w:t>
      </w:r>
      <w:r>
        <w:rPr>
          <w:rFonts w:hint="eastAsia" w:eastAsia="仿宋_GB2312"/>
          <w:color w:val="auto"/>
          <w:kern w:val="0"/>
          <w:sz w:val="30"/>
          <w:szCs w:val="30"/>
        </w:rPr>
        <w:t>万元，与上年对比减少</w:t>
      </w:r>
      <w:r>
        <w:rPr>
          <w:rFonts w:hint="eastAsia" w:eastAsia="仿宋_GB2312"/>
          <w:color w:val="auto"/>
          <w:kern w:val="0"/>
          <w:sz w:val="30"/>
          <w:szCs w:val="30"/>
          <w:lang w:val="en-US" w:eastAsia="zh-CN"/>
        </w:rPr>
        <w:t>689.79</w:t>
      </w:r>
      <w:r>
        <w:rPr>
          <w:rFonts w:hint="eastAsia" w:eastAsia="仿宋_GB2312"/>
          <w:color w:val="auto"/>
          <w:kern w:val="0"/>
          <w:sz w:val="30"/>
          <w:szCs w:val="30"/>
        </w:rPr>
        <w:t>万元，增减变化的原因主要是：</w:t>
      </w:r>
      <w:r>
        <w:rPr>
          <w:rFonts w:hint="eastAsia" w:eastAsia="仿宋_GB2312"/>
          <w:color w:val="auto"/>
          <w:kern w:val="0"/>
          <w:sz w:val="30"/>
          <w:szCs w:val="30"/>
          <w:lang w:val="en-US" w:eastAsia="zh-CN"/>
        </w:rPr>
        <w:t>仅</w:t>
      </w:r>
      <w:r>
        <w:rPr>
          <w:rFonts w:hint="eastAsia" w:eastAsia="仿宋_GB2312"/>
          <w:color w:val="auto"/>
          <w:kern w:val="0"/>
          <w:sz w:val="30"/>
          <w:szCs w:val="30"/>
        </w:rPr>
        <w:t>高龄老人补助及服务专项经费</w:t>
      </w:r>
      <w:r>
        <w:rPr>
          <w:rFonts w:hint="eastAsia" w:eastAsia="仿宋_GB2312"/>
          <w:color w:val="auto"/>
          <w:kern w:val="0"/>
          <w:sz w:val="30"/>
          <w:szCs w:val="30"/>
          <w:lang w:val="en-US" w:eastAsia="zh-CN"/>
        </w:rPr>
        <w:t>就减少742.4万。</w:t>
      </w:r>
    </w:p>
    <w:p>
      <w:pPr>
        <w:rPr>
          <w:color w:val="auto"/>
        </w:rPr>
      </w:pPr>
    </w:p>
    <w:sectPr>
      <w:headerReference r:id="rId3" w:type="default"/>
      <w:headerReference r:id="rId4" w:type="even"/>
      <w:pgSz w:w="11906" w:h="16838"/>
      <w:pgMar w:top="1247" w:right="1797" w:bottom="1247"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E6DA1"/>
    <w:multiLevelType w:val="singleLevel"/>
    <w:tmpl w:val="086E6DA1"/>
    <w:lvl w:ilvl="0" w:tentative="0">
      <w:start w:val="1"/>
      <w:numFmt w:val="decimal"/>
      <w:suff w:val="nothing"/>
      <w:lvlText w:val="%1、"/>
      <w:lvlJc w:val="left"/>
    </w:lvl>
  </w:abstractNum>
  <w:abstractNum w:abstractNumId="1">
    <w:nsid w:val="7BD62B1D"/>
    <w:multiLevelType w:val="singleLevel"/>
    <w:tmpl w:val="7BD62B1D"/>
    <w:lvl w:ilvl="0" w:tentative="0">
      <w:start w:val="2"/>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94354"/>
    <w:rsid w:val="00031E2A"/>
    <w:rsid w:val="00057A58"/>
    <w:rsid w:val="00097272"/>
    <w:rsid w:val="000D315D"/>
    <w:rsid w:val="000E55AC"/>
    <w:rsid w:val="00181EBB"/>
    <w:rsid w:val="00186E75"/>
    <w:rsid w:val="001936E5"/>
    <w:rsid w:val="001B7DE7"/>
    <w:rsid w:val="00282F08"/>
    <w:rsid w:val="0028530E"/>
    <w:rsid w:val="002C322A"/>
    <w:rsid w:val="002D501F"/>
    <w:rsid w:val="00364E74"/>
    <w:rsid w:val="003A3075"/>
    <w:rsid w:val="003B2803"/>
    <w:rsid w:val="003D51CC"/>
    <w:rsid w:val="003E4587"/>
    <w:rsid w:val="00412FE2"/>
    <w:rsid w:val="004A0403"/>
    <w:rsid w:val="004F0825"/>
    <w:rsid w:val="005916A7"/>
    <w:rsid w:val="005D37A4"/>
    <w:rsid w:val="00622A89"/>
    <w:rsid w:val="00626439"/>
    <w:rsid w:val="006A6826"/>
    <w:rsid w:val="006B1EDA"/>
    <w:rsid w:val="006E6709"/>
    <w:rsid w:val="006F6026"/>
    <w:rsid w:val="007037EF"/>
    <w:rsid w:val="007735A4"/>
    <w:rsid w:val="00794354"/>
    <w:rsid w:val="007A0014"/>
    <w:rsid w:val="007A5D71"/>
    <w:rsid w:val="007B2D63"/>
    <w:rsid w:val="0081628E"/>
    <w:rsid w:val="00827CB9"/>
    <w:rsid w:val="00876408"/>
    <w:rsid w:val="008812EF"/>
    <w:rsid w:val="008B456B"/>
    <w:rsid w:val="0090442C"/>
    <w:rsid w:val="00921AAE"/>
    <w:rsid w:val="00925F20"/>
    <w:rsid w:val="00953BB3"/>
    <w:rsid w:val="00960924"/>
    <w:rsid w:val="00985941"/>
    <w:rsid w:val="009B4D39"/>
    <w:rsid w:val="009D2172"/>
    <w:rsid w:val="00A13EBA"/>
    <w:rsid w:val="00A15B4A"/>
    <w:rsid w:val="00A629D6"/>
    <w:rsid w:val="00A70EB9"/>
    <w:rsid w:val="00B4760D"/>
    <w:rsid w:val="00B740DD"/>
    <w:rsid w:val="00BA5F7D"/>
    <w:rsid w:val="00BB0895"/>
    <w:rsid w:val="00BC3C82"/>
    <w:rsid w:val="00BE7EF7"/>
    <w:rsid w:val="00C22B0A"/>
    <w:rsid w:val="00C603C1"/>
    <w:rsid w:val="00C622FD"/>
    <w:rsid w:val="00C64CA5"/>
    <w:rsid w:val="00CA3ED0"/>
    <w:rsid w:val="00CA5798"/>
    <w:rsid w:val="00CF75AD"/>
    <w:rsid w:val="00D07122"/>
    <w:rsid w:val="00DB618A"/>
    <w:rsid w:val="00DD00CD"/>
    <w:rsid w:val="00DD7CF9"/>
    <w:rsid w:val="00EF0776"/>
    <w:rsid w:val="00F00A42"/>
    <w:rsid w:val="00F05B87"/>
    <w:rsid w:val="00F44072"/>
    <w:rsid w:val="00F53EFE"/>
    <w:rsid w:val="00F83912"/>
    <w:rsid w:val="00FB75F3"/>
    <w:rsid w:val="1ABF7128"/>
    <w:rsid w:val="22551E62"/>
    <w:rsid w:val="2B843557"/>
    <w:rsid w:val="2F8D4DDE"/>
    <w:rsid w:val="38290609"/>
    <w:rsid w:val="3A6E3353"/>
    <w:rsid w:val="3C626181"/>
    <w:rsid w:val="3EF13C6B"/>
    <w:rsid w:val="40A2571F"/>
    <w:rsid w:val="43E34FC8"/>
    <w:rsid w:val="460C4643"/>
    <w:rsid w:val="48B43E0D"/>
    <w:rsid w:val="51DA2B2F"/>
    <w:rsid w:val="520818B6"/>
    <w:rsid w:val="5D7B0CF9"/>
    <w:rsid w:val="66E305C2"/>
    <w:rsid w:val="6F39524E"/>
    <w:rsid w:val="76FE1A08"/>
    <w:rsid w:val="789362A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0"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uiPriority w:val="0"/>
    <w:rPr>
      <w:sz w:val="32"/>
      <w:szCs w:val="32"/>
    </w:rPr>
  </w:style>
  <w:style w:type="paragraph" w:styleId="3">
    <w:name w:val="toc 5"/>
    <w:basedOn w:val="1"/>
    <w:next w:val="1"/>
    <w:qFormat/>
    <w:uiPriority w:val="0"/>
    <w:pPr>
      <w:ind w:left="1680"/>
    </w:pPr>
  </w:style>
  <w:style w:type="paragraph" w:styleId="4">
    <w:name w:val="footer"/>
    <w:basedOn w:val="1"/>
    <w:link w:val="10"/>
    <w:unhideWhenUsed/>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6">
    <w:name w:val="Normal (Web)"/>
    <w:basedOn w:val="1"/>
    <w:semiHidden/>
    <w:unhideWhenUsed/>
    <w:uiPriority w:val="99"/>
    <w:pPr>
      <w:widowControl/>
      <w:spacing w:before="100" w:beforeAutospacing="1" w:after="100" w:afterAutospacing="1"/>
      <w:jc w:val="left"/>
    </w:pPr>
    <w:rPr>
      <w:rFonts w:ascii="宋体" w:hAnsi="宋体" w:cs="宋体"/>
      <w:kern w:val="0"/>
      <w:sz w:val="24"/>
    </w:rPr>
  </w:style>
  <w:style w:type="character" w:customStyle="1" w:styleId="9">
    <w:name w:val="页眉 Char"/>
    <w:basedOn w:val="8"/>
    <w:link w:val="5"/>
    <w:semiHidden/>
    <w:uiPriority w:val="99"/>
    <w:rPr>
      <w:sz w:val="18"/>
      <w:szCs w:val="18"/>
    </w:rPr>
  </w:style>
  <w:style w:type="character" w:customStyle="1" w:styleId="10">
    <w:name w:val="页脚 Char"/>
    <w:basedOn w:val="8"/>
    <w:link w:val="4"/>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6</Pages>
  <Words>378</Words>
  <Characters>2161</Characters>
  <Lines>18</Lines>
  <Paragraphs>5</Paragraphs>
  <TotalTime>0</TotalTime>
  <ScaleCrop>false</ScaleCrop>
  <LinksUpToDate>false</LinksUpToDate>
  <CharactersWithSpaces>2534</CharactersWithSpaces>
  <Application>WPS Office_11.8.6.8722_F1E327BC-269C-435d-A152-05C5408002CA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2021-01-22T02:23:00Z</dcterms:created>
  <dc:creator>周强</dc:creator>
  <cp:lastModifiedBy>卫兰</cp:lastModifiedBy>
  <cp:lastPrinted>2019-02-15T02:07:00Z</cp:lastPrinted>
  <dcterms:modified xsi:type="dcterms:W3CDTF">2021-02-22T02:44:25Z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2052-11.8.6.8722</vt:lpwstr>
  </property>
</Properties>
</file>