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昆明市精神卫生防治医院</w:t>
      </w: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/>
          <w:kern w:val="0"/>
          <w:sz w:val="36"/>
          <w:szCs w:val="36"/>
        </w:rPr>
        <w:t>20</w:t>
      </w:r>
      <w:r>
        <w:rPr>
          <w:rFonts w:hint="eastAsia" w:ascii="方正小标宋简体" w:eastAsia="方正小标宋简体"/>
          <w:kern w:val="0"/>
          <w:sz w:val="36"/>
          <w:szCs w:val="36"/>
        </w:rPr>
        <w:t>2</w:t>
      </w:r>
      <w:r>
        <w:rPr>
          <w:rFonts w:hint="eastAsia" w:ascii="方正小标宋简体" w:eastAsia="方正小标宋简体"/>
          <w:kern w:val="0"/>
          <w:sz w:val="36"/>
          <w:szCs w:val="36"/>
          <w:lang w:val="en-US" w:eastAsia="zh-CN"/>
        </w:rPr>
        <w:t>1</w:t>
      </w:r>
      <w:r>
        <w:rPr>
          <w:rFonts w:hint="eastAsia" w:ascii="方正小标宋简体" w:eastAsia="方正小标宋简体"/>
          <w:kern w:val="0"/>
          <w:sz w:val="36"/>
          <w:szCs w:val="36"/>
        </w:rPr>
        <w:t>年部门预算编制说明</w:t>
      </w:r>
    </w:p>
    <w:p>
      <w:pPr>
        <w:widowControl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450" w:firstLineChars="15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一、基本职能及主要工作</w:t>
      </w:r>
    </w:p>
    <w:p>
      <w:pPr>
        <w:widowControl/>
        <w:ind w:firstLine="300" w:firstLineChars="100"/>
        <w:jc w:val="left"/>
        <w:rPr>
          <w:rFonts w:ascii="楷体_GB2312" w:eastAsia="楷体_GB2312"/>
          <w:b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（一）部门主要职责</w:t>
      </w:r>
    </w:p>
    <w:p>
      <w:pPr>
        <w:ind w:right="-512" w:rightChars="-244"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负责盘龙辖区精神疾病的预防、治疗、康复，以重性精神疾病的管理为工作主导，负责辖区内重性精神患者的治疗和康复，并对基层精神卫生工作进行技术指导和培训；针对海洛因依赖者，提供美沙酮维持治疗，通过治疗门诊的平台，对海洛因依赖患者及家属进行有效的治疗和行为干预，减少物质滥用的危害；同时，我院还下设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个社区卫生服务中心，</w:t>
      </w:r>
      <w:r>
        <w:rPr>
          <w:rFonts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个社区卫生服务站，承当社区医疗、预防、保健、康复、健康教育和计划生育指导咨询等基本公共卫生服务工作，中心突出精神疾病防治的特色，站则以中医中药治疗为特点。</w:t>
      </w:r>
    </w:p>
    <w:p>
      <w:pPr>
        <w:widowControl/>
        <w:ind w:firstLine="300" w:firstLineChars="1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（二）机构设置情况</w:t>
      </w:r>
    </w:p>
    <w:p>
      <w:pPr>
        <w:ind w:right="-512" w:rightChars="-244"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单位机构数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个，其内设机构情况如下：职能科室</w:t>
      </w:r>
      <w:r>
        <w:rPr>
          <w:rFonts w:ascii="仿宋_GB2312" w:hAnsi="宋体" w:eastAsia="仿宋_GB2312"/>
          <w:sz w:val="32"/>
          <w:szCs w:val="32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个（办公室、财务科、医务科、重精科、护理部、药剂科、医保科、总务科）；社区卫生服务中心（站）</w:t>
      </w:r>
      <w:r>
        <w:rPr>
          <w:rFonts w:ascii="仿宋_GB2312" w:hAnsi="宋体" w:eastAsia="仿宋_GB2312"/>
          <w:sz w:val="32"/>
          <w:szCs w:val="32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个（拓东、金星东、白龙、明通巷）、国家社区药物维持治疗麻线营门诊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个。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二、预算单位基本情况</w:t>
      </w:r>
    </w:p>
    <w:p>
      <w:pPr>
        <w:widowControl/>
        <w:ind w:firstLine="64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ascii="仿宋_GB2312" w:hAnsi="宋体" w:eastAsia="仿宋_GB2312"/>
          <w:sz w:val="32"/>
          <w:szCs w:val="32"/>
        </w:rPr>
        <w:t>我院为财政差额拨款公益一类事业单位，隶属盘龙区卫计局。</w:t>
      </w:r>
      <w:r>
        <w:rPr>
          <w:rFonts w:hint="eastAsia" w:eastAsia="仿宋_GB2312"/>
          <w:kern w:val="0"/>
          <w:sz w:val="30"/>
          <w:szCs w:val="30"/>
        </w:rPr>
        <w:t>截止20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</w:t>
      </w:r>
      <w:r>
        <w:rPr>
          <w:rFonts w:hint="eastAsia" w:eastAsia="仿宋_GB2312"/>
          <w:kern w:val="0"/>
          <w:sz w:val="30"/>
          <w:szCs w:val="30"/>
        </w:rPr>
        <w:t>年</w:t>
      </w:r>
      <w:r>
        <w:rPr>
          <w:rFonts w:eastAsia="仿宋_GB2312"/>
          <w:kern w:val="0"/>
          <w:sz w:val="30"/>
          <w:szCs w:val="30"/>
        </w:rPr>
        <w:t>1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</w:t>
      </w:r>
      <w:r>
        <w:rPr>
          <w:rFonts w:hint="eastAsia" w:eastAsia="仿宋_GB2312"/>
          <w:kern w:val="0"/>
          <w:sz w:val="30"/>
          <w:szCs w:val="30"/>
        </w:rPr>
        <w:t>月统计，部门基本情况如下：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在职人员编制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63</w:t>
      </w:r>
      <w:r>
        <w:rPr>
          <w:rFonts w:hint="eastAsia" w:eastAsia="仿宋_GB2312"/>
          <w:kern w:val="0"/>
          <w:sz w:val="30"/>
          <w:szCs w:val="30"/>
        </w:rPr>
        <w:t>人，其中：事业编制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63</w:t>
      </w:r>
      <w:r>
        <w:rPr>
          <w:rFonts w:hint="eastAsia" w:eastAsia="仿宋_GB2312"/>
          <w:kern w:val="0"/>
          <w:sz w:val="30"/>
          <w:szCs w:val="30"/>
        </w:rPr>
        <w:t>人。在职实有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62</w:t>
      </w:r>
      <w:r>
        <w:rPr>
          <w:rFonts w:hint="eastAsia" w:eastAsia="仿宋_GB2312"/>
          <w:kern w:val="0"/>
          <w:sz w:val="30"/>
          <w:szCs w:val="30"/>
        </w:rPr>
        <w:t>人，其中：</w:t>
      </w: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hint="eastAsia" w:eastAsia="仿宋_GB2312"/>
          <w:kern w:val="0"/>
          <w:sz w:val="30"/>
          <w:szCs w:val="30"/>
        </w:rPr>
        <w:t>财政全供养</w:t>
      </w:r>
      <w:r>
        <w:rPr>
          <w:rFonts w:eastAsia="仿宋_GB2312"/>
          <w:kern w:val="0"/>
          <w:sz w:val="30"/>
          <w:szCs w:val="30"/>
        </w:rPr>
        <w:t>18</w:t>
      </w:r>
      <w:r>
        <w:rPr>
          <w:rFonts w:hint="eastAsia" w:eastAsia="仿宋_GB2312"/>
          <w:kern w:val="0"/>
          <w:sz w:val="30"/>
          <w:szCs w:val="30"/>
        </w:rPr>
        <w:t>人，财政部分供养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44</w:t>
      </w:r>
      <w:r>
        <w:rPr>
          <w:rFonts w:hint="eastAsia" w:eastAsia="仿宋_GB2312"/>
          <w:kern w:val="0"/>
          <w:sz w:val="30"/>
          <w:szCs w:val="30"/>
        </w:rPr>
        <w:t>人。</w:t>
      </w:r>
      <w:bookmarkStart w:id="0" w:name="_GoBack"/>
      <w:bookmarkEnd w:id="0"/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退休人员</w:t>
      </w: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79</w:t>
      </w:r>
      <w:r>
        <w:rPr>
          <w:rFonts w:hint="eastAsia" w:eastAsia="仿宋_GB2312"/>
          <w:kern w:val="0"/>
          <w:sz w:val="30"/>
          <w:szCs w:val="30"/>
        </w:rPr>
        <w:t>人。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实有车辆</w:t>
      </w:r>
      <w:r>
        <w:rPr>
          <w:rFonts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</w:rPr>
        <w:t>辆。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三、预算单位收入情况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（一）部门财务收入情况</w:t>
      </w:r>
    </w:p>
    <w:p>
      <w:pPr>
        <w:ind w:firstLine="600" w:firstLineChars="200"/>
        <w:jc w:val="left"/>
        <w:rPr>
          <w:rFonts w:ascii="宋体" w:hAnsi="宋体" w:cs="Arial"/>
          <w:b/>
          <w:bCs/>
          <w:color w:val="000000"/>
          <w:kern w:val="0"/>
          <w:sz w:val="18"/>
          <w:szCs w:val="18"/>
        </w:rPr>
      </w:pP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年部门财务总收入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1875.41</w:t>
      </w:r>
      <w:r>
        <w:rPr>
          <w:rFonts w:hint="eastAsia" w:eastAsia="仿宋_GB2312"/>
          <w:kern w:val="0"/>
          <w:sz w:val="30"/>
          <w:szCs w:val="30"/>
        </w:rPr>
        <w:t>万元，</w:t>
      </w:r>
      <w:r>
        <w:rPr>
          <w:rFonts w:hint="eastAsia" w:ascii="华文仿宋" w:hAnsi="华文仿宋" w:eastAsia="华文仿宋"/>
          <w:kern w:val="0"/>
          <w:sz w:val="30"/>
          <w:szCs w:val="30"/>
        </w:rPr>
        <w:t>其</w:t>
      </w:r>
      <w:r>
        <w:rPr>
          <w:rFonts w:hint="eastAsia" w:eastAsia="仿宋_GB2312"/>
          <w:kern w:val="0"/>
          <w:sz w:val="30"/>
          <w:szCs w:val="30"/>
        </w:rPr>
        <w:t>中：一般公共预算财政拨款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万元，事业收入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806.70</w:t>
      </w:r>
      <w:r>
        <w:rPr>
          <w:rFonts w:hint="eastAsia" w:eastAsia="仿宋_GB2312"/>
          <w:kern w:val="0"/>
          <w:sz w:val="30"/>
          <w:szCs w:val="30"/>
        </w:rPr>
        <w:t>万元，其他收入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310.40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（二）财政拨款收入情况</w:t>
      </w:r>
    </w:p>
    <w:p>
      <w:pPr>
        <w:widowControl/>
        <w:ind w:firstLine="750" w:firstLineChars="25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年部门财政拨款收入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万元，其中</w:t>
      </w:r>
      <w:r>
        <w:rPr>
          <w:rFonts w:eastAsia="仿宋_GB2312"/>
          <w:kern w:val="0"/>
          <w:sz w:val="30"/>
          <w:szCs w:val="30"/>
        </w:rPr>
        <w:t>:</w:t>
      </w:r>
      <w:r>
        <w:rPr>
          <w:rFonts w:hint="eastAsia" w:eastAsia="仿宋_GB2312"/>
          <w:kern w:val="0"/>
          <w:sz w:val="30"/>
          <w:szCs w:val="30"/>
        </w:rPr>
        <w:t>本年收入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万元，上年结转收入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万元。本年收入中，一般公共预算财政拨款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。</w:t>
      </w:r>
    </w:p>
    <w:p>
      <w:pPr>
        <w:widowControl/>
        <w:numPr>
          <w:ilvl w:val="0"/>
          <w:numId w:val="1"/>
        </w:numPr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预算单位支出情况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年部门预算总支出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1875.41</w:t>
      </w:r>
      <w:r>
        <w:rPr>
          <w:rFonts w:hint="eastAsia" w:eastAsia="仿宋_GB2312"/>
          <w:kern w:val="0"/>
          <w:sz w:val="30"/>
          <w:szCs w:val="30"/>
        </w:rPr>
        <w:t>万元。财政拨款安排支出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万元，其中，基本支出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万元，项目支出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450" w:firstLineChars="1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（一）财政拨款安排支出按功能科目分类情况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21004</w:t>
      </w:r>
      <w:r>
        <w:rPr>
          <w:rFonts w:hint="eastAsia" w:ascii="仿宋_GB2312" w:eastAsia="仿宋_GB2312"/>
          <w:kern w:val="0"/>
          <w:sz w:val="30"/>
          <w:szCs w:val="30"/>
        </w:rPr>
        <w:t>04，主要反映卫生健康部门所属精神卫生机构的支出。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21011</w:t>
      </w:r>
      <w:r>
        <w:rPr>
          <w:rFonts w:hint="eastAsia" w:ascii="仿宋_GB2312" w:eastAsia="仿宋_GB2312"/>
          <w:kern w:val="0"/>
          <w:sz w:val="30"/>
          <w:szCs w:val="30"/>
        </w:rPr>
        <w:t>02，主要反映财政部门安排的事业单位基本医疗保险缴费经费。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21011</w:t>
      </w:r>
      <w:r>
        <w:rPr>
          <w:rFonts w:hint="eastAsia" w:ascii="仿宋_GB2312" w:eastAsia="仿宋_GB2312"/>
          <w:kern w:val="0"/>
          <w:sz w:val="30"/>
          <w:szCs w:val="30"/>
        </w:rPr>
        <w:t>03，主要反映财政部门安排的公务员医疗补助经费。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2080505</w:t>
      </w:r>
      <w:r>
        <w:rPr>
          <w:rFonts w:hint="eastAsia" w:ascii="仿宋_GB2312" w:eastAsia="仿宋_GB2312"/>
          <w:kern w:val="0"/>
          <w:sz w:val="30"/>
          <w:szCs w:val="30"/>
        </w:rPr>
        <w:t>，主要反映机关事业单位缴纳的基本养老保险支出。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2080506</w:t>
      </w:r>
      <w:r>
        <w:rPr>
          <w:rFonts w:hint="eastAsia" w:ascii="仿宋_GB2312" w:eastAsia="仿宋_GB2312"/>
          <w:kern w:val="0"/>
          <w:sz w:val="30"/>
          <w:szCs w:val="30"/>
        </w:rPr>
        <w:t>，主要反映机关事业单位缴纳的职业年金支出。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22102</w:t>
      </w:r>
      <w:r>
        <w:rPr>
          <w:rFonts w:hint="eastAsia" w:ascii="仿宋_GB2312" w:eastAsia="仿宋_GB2312"/>
          <w:kern w:val="0"/>
          <w:sz w:val="30"/>
          <w:szCs w:val="30"/>
        </w:rPr>
        <w:t>01，主要反映行政事业单位按规定为职工缴纳的住房公积金。</w:t>
      </w:r>
    </w:p>
    <w:p>
      <w:pPr>
        <w:widowControl/>
        <w:numPr>
          <w:ilvl w:val="0"/>
          <w:numId w:val="2"/>
        </w:numPr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财政拨款安排支出按经济科目分类情况</w:t>
      </w:r>
    </w:p>
    <w:p>
      <w:pPr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基本支出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万元。其中工资福利支出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725.10</w:t>
      </w:r>
      <w:r>
        <w:rPr>
          <w:rFonts w:hint="eastAsia" w:eastAsia="仿宋_GB2312"/>
          <w:kern w:val="0"/>
          <w:sz w:val="30"/>
          <w:szCs w:val="30"/>
        </w:rPr>
        <w:t>万元，商品和服务支出33.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21</w:t>
      </w:r>
      <w:r>
        <w:rPr>
          <w:rFonts w:hint="eastAsia" w:eastAsia="仿宋_GB2312"/>
          <w:kern w:val="0"/>
          <w:sz w:val="30"/>
          <w:szCs w:val="30"/>
        </w:rPr>
        <w:t>万元，对个人和家庭补助支出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hint="eastAsia" w:ascii="黑体" w:hAnsi="黑体" w:eastAsia="黑体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/>
          <w:kern w:val="0"/>
          <w:sz w:val="30"/>
          <w:szCs w:val="30"/>
        </w:rPr>
        <w:t>五、</w:t>
      </w: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区对下专项转移支付情况</w:t>
      </w:r>
    </w:p>
    <w:p>
      <w:pPr>
        <w:widowControl/>
        <w:ind w:firstLine="600" w:firstLineChars="200"/>
        <w:jc w:val="left"/>
        <w:rPr>
          <w:rFonts w:hint="eastAsia" w:ascii="黑体" w:hAnsi="黑体" w:eastAsia="黑体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2021年本单位无区对下专项转移支付事项。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六、政府采购预算情况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2021年本单位无政府采购预算。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七、部门“三公”经费增减变化情况及原因说明</w:t>
      </w:r>
    </w:p>
    <w:p>
      <w:pPr>
        <w:widowControl/>
        <w:ind w:firstLine="600" w:firstLineChars="200"/>
        <w:jc w:val="left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年一般公共预算财政拨款“三公”经费预算</w:t>
      </w:r>
      <w:r>
        <w:rPr>
          <w:rFonts w:hint="eastAsia" w:eastAsia="仿宋_GB2312"/>
          <w:kern w:val="0"/>
          <w:sz w:val="30"/>
          <w:szCs w:val="30"/>
          <w:lang w:eastAsia="zh-CN"/>
        </w:rPr>
        <w:t>合计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万元，比上年增加（减少）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万元，其中：因公出国（境）费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万元，比上年增加（减少）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万元；公务接待费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万元，比上年增加（减少）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万元；公务用车购置及运行</w:t>
      </w:r>
      <w:r>
        <w:rPr>
          <w:rFonts w:hint="eastAsia" w:eastAsia="仿宋_GB2312"/>
          <w:kern w:val="0"/>
          <w:sz w:val="30"/>
          <w:szCs w:val="30"/>
          <w:lang w:eastAsia="zh-CN"/>
        </w:rPr>
        <w:t>维护</w:t>
      </w:r>
      <w:r>
        <w:rPr>
          <w:rFonts w:hint="eastAsia" w:eastAsia="仿宋_GB2312"/>
          <w:kern w:val="0"/>
          <w:sz w:val="30"/>
          <w:szCs w:val="30"/>
        </w:rPr>
        <w:t>费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万元，比上年增加（减少）</w:t>
      </w:r>
      <w:r>
        <w:rPr>
          <w:rFonts w:eastAsia="仿宋_GB2312"/>
          <w:kern w:val="0"/>
          <w:sz w:val="30"/>
          <w:szCs w:val="30"/>
        </w:rPr>
        <w:t>0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hint="eastAsia" w:ascii="黑体" w:hAnsi="黑体" w:eastAsia="黑体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/>
          <w:kern w:val="0"/>
          <w:sz w:val="30"/>
          <w:szCs w:val="30"/>
        </w:rPr>
        <w:t>八、</w:t>
      </w: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重点项目预算绩效目标情况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无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九、</w:t>
      </w:r>
      <w:r>
        <w:rPr>
          <w:rFonts w:hint="eastAsia" w:ascii="黑体" w:hAnsi="黑体" w:eastAsia="黑体"/>
          <w:kern w:val="0"/>
          <w:sz w:val="30"/>
          <w:szCs w:val="30"/>
        </w:rPr>
        <w:t>其他公开信息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（一）专业名词解释</w:t>
      </w:r>
    </w:p>
    <w:p>
      <w:pPr>
        <w:widowControl/>
        <w:ind w:firstLine="640" w:firstLineChars="20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hint="eastAsia" w:ascii="仿宋_GB2312" w:eastAsia="仿宋_GB2312"/>
          <w:kern w:val="0"/>
          <w:sz w:val="32"/>
          <w:szCs w:val="32"/>
        </w:rPr>
        <w:t>、</w:t>
      </w:r>
      <w:r>
        <w:rPr>
          <w:rFonts w:ascii="仿宋_GB2312" w:eastAsia="仿宋_GB2312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</w:rPr>
        <w:t>“三公”经费包括因公出国（境）费、公务用车购置及运行费和公务接待费。</w:t>
      </w:r>
    </w:p>
    <w:p>
      <w:pPr>
        <w:widowControl/>
        <w:ind w:firstLine="640" w:firstLineChars="20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hint="eastAsia" w:ascii="仿宋_GB2312" w:eastAsia="仿宋_GB2312"/>
          <w:kern w:val="0"/>
          <w:sz w:val="32"/>
          <w:szCs w:val="32"/>
        </w:rPr>
        <w:t>）因公出国（境）费，指单位工作人员公务出国（境）的住宿费、旅费、伙食补助费、杂费、培训费等支出。</w:t>
      </w:r>
    </w:p>
    <w:p>
      <w:pPr>
        <w:widowControl/>
        <w:ind w:firstLine="640" w:firstLineChars="20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hint="eastAsia" w:ascii="仿宋_GB2312" w:eastAsia="仿宋_GB2312"/>
          <w:kern w:val="0"/>
          <w:sz w:val="32"/>
          <w:szCs w:val="32"/>
        </w:rPr>
        <w:t>）公务用车购置及运行费，指单位公务用车购置费及租用费、燃料费、维修费、过路过桥费、保险费、安全奖励费用等支出，公务用车指用于履行公务的机动车辆，包括领导干部专车、一般公务用车和执法执勤用车。</w:t>
      </w:r>
    </w:p>
    <w:p>
      <w:pPr>
        <w:widowControl/>
        <w:ind w:firstLine="640" w:firstLineChars="200"/>
        <w:jc w:val="left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hint="eastAsia" w:ascii="仿宋_GB2312" w:eastAsia="仿宋_GB2312"/>
          <w:kern w:val="0"/>
          <w:sz w:val="32"/>
          <w:szCs w:val="32"/>
        </w:rPr>
        <w:t>）公务接待费，指单位按规定开支的各类公务接待（含外宾接待）支出。</w:t>
      </w:r>
    </w:p>
    <w:p>
      <w:pPr>
        <w:tabs>
          <w:tab w:val="left" w:pos="540"/>
        </w:tabs>
        <w:ind w:firstLine="640" w:firstLineChars="200"/>
        <w:rPr>
          <w:rFonts w:ascii="仿宋_GB2312" w:hAnsi="微软雅黑" w:eastAsia="仿宋_GB2312"/>
          <w:bCs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hint="eastAsia" w:ascii="仿宋_GB2312" w:eastAsia="仿宋_GB2312"/>
          <w:kern w:val="0"/>
          <w:sz w:val="32"/>
          <w:szCs w:val="32"/>
        </w:rPr>
        <w:t>、</w:t>
      </w:r>
      <w:r>
        <w:rPr>
          <w:rStyle w:val="9"/>
          <w:rFonts w:hint="eastAsia" w:ascii="仿宋_GB2312" w:hAnsi="微软雅黑" w:eastAsia="仿宋_GB2312"/>
          <w:b w:val="0"/>
          <w:sz w:val="32"/>
          <w:szCs w:val="32"/>
        </w:rPr>
        <w:t>财政拨款</w:t>
      </w:r>
      <w:r>
        <w:rPr>
          <w:rFonts w:hint="eastAsia" w:ascii="仿宋_GB2312" w:hAnsi="微软雅黑" w:eastAsia="仿宋_GB2312"/>
          <w:sz w:val="32"/>
          <w:szCs w:val="32"/>
        </w:rPr>
        <w:t>指由一般公共预算、政府性基金预算安排的财政拨款数。</w:t>
      </w:r>
    </w:p>
    <w:p>
      <w:pPr>
        <w:tabs>
          <w:tab w:val="left" w:pos="540"/>
        </w:tabs>
        <w:ind w:firstLine="627" w:firstLineChars="196"/>
        <w:rPr>
          <w:rFonts w:ascii="仿宋_GB2312" w:hAnsi="微软雅黑" w:eastAsia="仿宋_GB2312"/>
          <w:bCs/>
          <w:sz w:val="32"/>
          <w:szCs w:val="32"/>
        </w:rPr>
      </w:pPr>
      <w:r>
        <w:rPr>
          <w:rStyle w:val="9"/>
          <w:rFonts w:ascii="仿宋_GB2312" w:hAnsi="微软雅黑" w:eastAsia="仿宋_GB2312"/>
          <w:b w:val="0"/>
          <w:sz w:val="32"/>
          <w:szCs w:val="32"/>
        </w:rPr>
        <w:t>3</w:t>
      </w:r>
      <w:r>
        <w:rPr>
          <w:rStyle w:val="9"/>
          <w:rFonts w:hint="eastAsia" w:ascii="仿宋_GB2312" w:hAnsi="微软雅黑" w:eastAsia="仿宋_GB2312"/>
          <w:b w:val="0"/>
          <w:sz w:val="32"/>
          <w:szCs w:val="32"/>
        </w:rPr>
        <w:t>、一般公共预算</w:t>
      </w:r>
      <w:r>
        <w:rPr>
          <w:rFonts w:hint="eastAsia" w:ascii="仿宋_GB2312" w:hAnsi="微软雅黑" w:eastAsia="仿宋_GB2312"/>
          <w:sz w:val="32"/>
          <w:szCs w:val="32"/>
        </w:rPr>
        <w:t>包括公共财政拨款（补助）资金、专项收入。</w:t>
      </w:r>
    </w:p>
    <w:p>
      <w:pPr>
        <w:tabs>
          <w:tab w:val="left" w:pos="-180"/>
          <w:tab w:val="left" w:pos="0"/>
        </w:tabs>
        <w:ind w:firstLine="627" w:firstLineChars="196"/>
        <w:rPr>
          <w:rFonts w:ascii="仿宋_GB2312" w:hAnsi="微软雅黑" w:eastAsia="仿宋_GB2312"/>
          <w:sz w:val="32"/>
          <w:szCs w:val="32"/>
        </w:rPr>
      </w:pPr>
      <w:r>
        <w:rPr>
          <w:rStyle w:val="9"/>
          <w:rFonts w:ascii="仿宋_GB2312" w:hAnsi="微软雅黑" w:eastAsia="仿宋_GB2312"/>
          <w:b w:val="0"/>
          <w:sz w:val="32"/>
          <w:szCs w:val="32"/>
        </w:rPr>
        <w:t>4</w:t>
      </w:r>
      <w:r>
        <w:rPr>
          <w:rStyle w:val="9"/>
          <w:rFonts w:hint="eastAsia" w:ascii="仿宋_GB2312" w:hAnsi="微软雅黑" w:eastAsia="仿宋_GB2312"/>
          <w:b w:val="0"/>
          <w:sz w:val="32"/>
          <w:szCs w:val="32"/>
        </w:rPr>
        <w:t>、基本支出：指为保障机构正常运转、完成日常工作任务而发生的人员支出和公用经费。</w:t>
      </w:r>
    </w:p>
    <w:p>
      <w:pPr>
        <w:tabs>
          <w:tab w:val="left" w:pos="540"/>
        </w:tabs>
        <w:ind w:firstLine="627" w:firstLineChars="196"/>
        <w:rPr>
          <w:rFonts w:ascii="仿宋_GB2312" w:hAnsi="微软雅黑" w:eastAsia="仿宋_GB2312"/>
          <w:b/>
          <w:bCs/>
          <w:sz w:val="32"/>
          <w:szCs w:val="32"/>
        </w:rPr>
      </w:pPr>
      <w:r>
        <w:rPr>
          <w:rStyle w:val="9"/>
          <w:rFonts w:ascii="仿宋_GB2312" w:hAnsi="微软雅黑" w:eastAsia="仿宋_GB2312"/>
          <w:b w:val="0"/>
          <w:sz w:val="32"/>
          <w:szCs w:val="32"/>
        </w:rPr>
        <w:t>5</w:t>
      </w:r>
      <w:r>
        <w:rPr>
          <w:rStyle w:val="9"/>
          <w:rFonts w:hint="eastAsia" w:ascii="仿宋_GB2312" w:hAnsi="微软雅黑" w:eastAsia="仿宋_GB2312"/>
          <w:b w:val="0"/>
          <w:sz w:val="32"/>
          <w:szCs w:val="32"/>
        </w:rPr>
        <w:t>、项目支出：指基本支出之外为完成特定任务和事业</w:t>
      </w:r>
      <w:r>
        <w:rPr>
          <w:rFonts w:hint="eastAsia" w:ascii="仿宋_GB2312" w:hAnsi="微软雅黑" w:eastAsia="仿宋_GB2312"/>
          <w:sz w:val="32"/>
          <w:szCs w:val="32"/>
        </w:rPr>
        <w:t>包括发展目标所发生的支出</w:t>
      </w:r>
      <w:r>
        <w:rPr>
          <w:rFonts w:hint="eastAsia" w:ascii="仿宋_GB2312" w:hAnsi="微软雅黑" w:eastAsia="仿宋_GB2312"/>
          <w:b/>
          <w:sz w:val="32"/>
          <w:szCs w:val="32"/>
        </w:rPr>
        <w:t>。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</w:t>
      </w:r>
      <w:r>
        <w:rPr>
          <w:rFonts w:ascii="楷体_GB2312" w:eastAsia="楷体_GB2312"/>
          <w:kern w:val="0"/>
          <w:sz w:val="30"/>
          <w:szCs w:val="30"/>
        </w:rPr>
        <w:t>机关运行经费安排</w:t>
      </w:r>
      <w:r>
        <w:rPr>
          <w:rFonts w:hint="eastAsia" w:ascii="楷体_GB2312" w:eastAsia="楷体_GB2312"/>
          <w:kern w:val="0"/>
          <w:sz w:val="30"/>
          <w:szCs w:val="30"/>
        </w:rPr>
        <w:t>变化情况及原因说明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无</w:t>
      </w:r>
    </w:p>
    <w:p>
      <w:pPr>
        <w:widowControl/>
        <w:numPr>
          <w:ilvl w:val="0"/>
          <w:numId w:val="3"/>
        </w:numPr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国有资产占用情况</w:t>
      </w:r>
    </w:p>
    <w:p>
      <w:pPr>
        <w:widowControl/>
        <w:ind w:left="600"/>
        <w:jc w:val="left"/>
        <w:rPr>
          <w:rFonts w:eastAsia="仿宋_GB2312"/>
          <w:color w:val="000000" w:themeColor="text1"/>
          <w:kern w:val="0"/>
          <w:sz w:val="30"/>
          <w:szCs w:val="30"/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</w:rPr>
        <w:t>截至20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</w:rPr>
        <w:t>20</w:t>
      </w:r>
      <w:r>
        <w:rPr>
          <w:rFonts w:hint="eastAsia" w:eastAsia="仿宋_GB2312"/>
          <w:color w:val="000000" w:themeColor="text1"/>
          <w:kern w:val="0"/>
          <w:sz w:val="30"/>
          <w:szCs w:val="30"/>
        </w:rPr>
        <w:t>年12月31日的国有资产占有使用情况如下：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资产总额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735.27</w:t>
      </w:r>
      <w:r>
        <w:rPr>
          <w:rFonts w:hint="eastAsia" w:eastAsia="仿宋_GB2312"/>
          <w:kern w:val="0"/>
          <w:sz w:val="30"/>
          <w:szCs w:val="30"/>
        </w:rPr>
        <w:t>万元；流动资产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172.97</w:t>
      </w:r>
      <w:r>
        <w:rPr>
          <w:rFonts w:hint="eastAsia" w:eastAsia="仿宋_GB2312"/>
          <w:kern w:val="0"/>
          <w:sz w:val="30"/>
          <w:szCs w:val="30"/>
        </w:rPr>
        <w:t>万元；固定资产净值56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0.68</w:t>
      </w:r>
      <w:r>
        <w:rPr>
          <w:rFonts w:hint="eastAsia" w:eastAsia="仿宋_GB2312"/>
          <w:kern w:val="0"/>
          <w:sz w:val="30"/>
          <w:szCs w:val="30"/>
        </w:rPr>
        <w:t>万元，其中房屋构筑物净值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520.01</w:t>
      </w:r>
      <w:r>
        <w:rPr>
          <w:rFonts w:hint="eastAsia" w:eastAsia="仿宋_GB2312"/>
          <w:kern w:val="0"/>
          <w:sz w:val="30"/>
          <w:szCs w:val="30"/>
        </w:rPr>
        <w:t>万元，汽车净值0万元，其他固定资产净值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40.67</w:t>
      </w:r>
      <w:r>
        <w:rPr>
          <w:rFonts w:hint="eastAsia" w:eastAsia="仿宋_GB2312"/>
          <w:kern w:val="0"/>
          <w:sz w:val="30"/>
          <w:szCs w:val="30"/>
        </w:rPr>
        <w:t>万元；无形资产净值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1.63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十</w:t>
      </w:r>
      <w:r>
        <w:rPr>
          <w:rFonts w:hint="eastAsia" w:ascii="黑体" w:hAnsi="黑体" w:eastAsia="黑体"/>
          <w:kern w:val="0"/>
          <w:sz w:val="30"/>
          <w:szCs w:val="30"/>
        </w:rPr>
        <w:t>、预算收支增减变化情况说明</w:t>
      </w:r>
    </w:p>
    <w:p>
      <w:pPr>
        <w:widowControl/>
        <w:ind w:firstLine="600" w:firstLineChars="200"/>
        <w:jc w:val="left"/>
        <w:rPr>
          <w:rFonts w:hint="eastAsia" w:ascii="楷体" w:hAnsi="楷体" w:eastAsia="仿宋_GB2312" w:cs="楷体"/>
          <w:kern w:val="0"/>
          <w:sz w:val="30"/>
          <w:szCs w:val="30"/>
          <w:lang w:eastAsia="zh-CN"/>
        </w:rPr>
      </w:pPr>
      <w:r>
        <w:rPr>
          <w:rFonts w:hint="eastAsia" w:eastAsia="仿宋_GB2312"/>
          <w:kern w:val="0"/>
          <w:sz w:val="30"/>
          <w:szCs w:val="30"/>
        </w:rPr>
        <w:t>基本支出预算变动的主要原因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年本级财力安排部门基本支出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758.31</w:t>
      </w:r>
      <w:r>
        <w:rPr>
          <w:rFonts w:hint="eastAsia" w:eastAsia="仿宋_GB2312"/>
          <w:kern w:val="0"/>
          <w:sz w:val="30"/>
          <w:szCs w:val="30"/>
        </w:rPr>
        <w:t>万元，与上年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663.79</w:t>
      </w:r>
      <w:r>
        <w:rPr>
          <w:rFonts w:hint="eastAsia" w:eastAsia="仿宋_GB2312"/>
          <w:kern w:val="0"/>
          <w:sz w:val="30"/>
          <w:szCs w:val="30"/>
        </w:rPr>
        <w:t>万元对比</w:t>
      </w:r>
      <w:r>
        <w:rPr>
          <w:rFonts w:hint="eastAsia" w:eastAsia="仿宋_GB2312"/>
          <w:kern w:val="0"/>
          <w:sz w:val="30"/>
          <w:szCs w:val="30"/>
          <w:lang w:eastAsia="zh-CN"/>
        </w:rPr>
        <w:t>增加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94.52</w:t>
      </w:r>
      <w:r>
        <w:rPr>
          <w:rFonts w:hint="eastAsia" w:eastAsia="仿宋_GB2312"/>
          <w:kern w:val="0"/>
          <w:sz w:val="30"/>
          <w:szCs w:val="30"/>
        </w:rPr>
        <w:t>万元，增减变化的原因主要是：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2019年10月在职人员51人，2019年11月新招聘12人，2020年9月辞职1人，2020年10月在职人员62人。因人员经费增加，故</w:t>
      </w:r>
      <w:r>
        <w:rPr>
          <w:rFonts w:eastAsia="仿宋_GB2312"/>
          <w:kern w:val="0"/>
          <w:sz w:val="30"/>
          <w:szCs w:val="30"/>
        </w:rPr>
        <w:t>20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年本级财力安排部门基本支出</w:t>
      </w:r>
      <w:r>
        <w:rPr>
          <w:rFonts w:hint="eastAsia" w:eastAsia="仿宋_GB2312"/>
          <w:kern w:val="0"/>
          <w:sz w:val="30"/>
          <w:szCs w:val="30"/>
          <w:lang w:eastAsia="zh-CN"/>
        </w:rPr>
        <w:t>也相应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增加。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</w:t>
      </w:r>
      <w:r>
        <w:rPr>
          <w:rFonts w:hint="eastAsia" w:eastAsia="仿宋_GB2312"/>
          <w:kern w:val="0"/>
          <w:sz w:val="30"/>
          <w:szCs w:val="30"/>
        </w:rPr>
        <w:t>、202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年在职人员工资、津补贴及年终一次性奖金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539.22</w:t>
      </w:r>
      <w:r>
        <w:rPr>
          <w:rFonts w:hint="eastAsia" w:eastAsia="仿宋_GB2312"/>
          <w:kern w:val="0"/>
          <w:sz w:val="30"/>
          <w:szCs w:val="30"/>
        </w:rPr>
        <w:t>万元与上年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462.49</w:t>
      </w:r>
      <w:r>
        <w:rPr>
          <w:rFonts w:hint="eastAsia" w:eastAsia="仿宋_GB2312"/>
          <w:kern w:val="0"/>
          <w:sz w:val="30"/>
          <w:szCs w:val="30"/>
        </w:rPr>
        <w:t>万元对比增加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76.73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2</w:t>
      </w:r>
      <w:r>
        <w:rPr>
          <w:rFonts w:hint="eastAsia" w:eastAsia="仿宋_GB2312"/>
          <w:kern w:val="0"/>
          <w:sz w:val="30"/>
          <w:szCs w:val="30"/>
        </w:rPr>
        <w:t>、202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年在职人员</w:t>
      </w:r>
      <w:r>
        <w:rPr>
          <w:rFonts w:hint="eastAsia" w:ascii="仿宋_GB2312" w:eastAsia="仿宋_GB2312"/>
          <w:kern w:val="0"/>
          <w:sz w:val="30"/>
          <w:szCs w:val="30"/>
        </w:rPr>
        <w:t>基本养老保险缴费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92.25</w:t>
      </w:r>
      <w:r>
        <w:rPr>
          <w:rFonts w:hint="eastAsia" w:eastAsia="仿宋_GB2312"/>
          <w:kern w:val="0"/>
          <w:sz w:val="30"/>
          <w:szCs w:val="30"/>
        </w:rPr>
        <w:t>万元与</w:t>
      </w:r>
      <w:r>
        <w:rPr>
          <w:rFonts w:hint="eastAsia" w:ascii="仿宋_GB2312" w:eastAsia="仿宋_GB2312"/>
          <w:kern w:val="0"/>
          <w:sz w:val="30"/>
          <w:szCs w:val="30"/>
        </w:rPr>
        <w:t>上年76.99</w:t>
      </w:r>
      <w:r>
        <w:rPr>
          <w:rFonts w:hint="eastAsia" w:eastAsia="仿宋_GB2312"/>
          <w:kern w:val="0"/>
          <w:sz w:val="30"/>
          <w:szCs w:val="30"/>
        </w:rPr>
        <w:t>万元对比增加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15.26</w:t>
      </w:r>
      <w:r>
        <w:rPr>
          <w:rFonts w:hint="eastAsia" w:ascii="仿宋_GB2312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仿宋_GB2312" w:hAnsi="黑体" w:eastAsia="仿宋_GB2312"/>
          <w:kern w:val="0"/>
          <w:sz w:val="30"/>
          <w:szCs w:val="30"/>
        </w:rPr>
      </w:pPr>
      <w:r>
        <w:rPr>
          <w:rFonts w:ascii="仿宋_GB2312" w:hAnsi="黑体" w:eastAsia="仿宋_GB2312"/>
          <w:kern w:val="0"/>
          <w:sz w:val="30"/>
          <w:szCs w:val="30"/>
        </w:rPr>
        <w:t>3</w:t>
      </w:r>
      <w:r>
        <w:rPr>
          <w:rFonts w:hint="eastAsia" w:ascii="仿宋_GB2312" w:hAnsi="黑体" w:eastAsia="仿宋_GB2312"/>
          <w:kern w:val="0"/>
          <w:sz w:val="30"/>
          <w:szCs w:val="30"/>
        </w:rPr>
        <w:t>、</w:t>
      </w:r>
      <w:r>
        <w:rPr>
          <w:rFonts w:hint="eastAsia" w:eastAsia="仿宋_GB2312"/>
          <w:kern w:val="0"/>
          <w:sz w:val="30"/>
          <w:szCs w:val="30"/>
        </w:rPr>
        <w:t>202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</w:t>
      </w:r>
      <w:r>
        <w:rPr>
          <w:rFonts w:hint="eastAsia" w:ascii="仿宋_GB2312" w:hAnsi="黑体" w:eastAsia="仿宋_GB2312"/>
          <w:kern w:val="0"/>
          <w:sz w:val="30"/>
          <w:szCs w:val="30"/>
        </w:rPr>
        <w:t>医疗保险、失业保障、工伤保险及住房公积金</w:t>
      </w:r>
      <w:r>
        <w:rPr>
          <w:rFonts w:hint="eastAsia" w:ascii="仿宋_GB2312" w:hAnsi="黑体" w:eastAsia="仿宋_GB2312"/>
          <w:kern w:val="0"/>
          <w:sz w:val="30"/>
          <w:szCs w:val="30"/>
          <w:lang w:val="en-US" w:eastAsia="zh-CN"/>
        </w:rPr>
        <w:t>93.63</w:t>
      </w:r>
      <w:r>
        <w:rPr>
          <w:rFonts w:hint="eastAsia" w:ascii="仿宋_GB2312" w:hAnsi="黑体" w:eastAsia="仿宋_GB2312"/>
          <w:kern w:val="0"/>
          <w:sz w:val="30"/>
          <w:szCs w:val="30"/>
        </w:rPr>
        <w:t>万元</w:t>
      </w:r>
      <w:r>
        <w:rPr>
          <w:rFonts w:hint="eastAsia" w:eastAsia="仿宋_GB2312"/>
          <w:kern w:val="0"/>
          <w:sz w:val="30"/>
          <w:szCs w:val="30"/>
        </w:rPr>
        <w:t>与上年</w:t>
      </w:r>
      <w:r>
        <w:rPr>
          <w:rFonts w:hint="eastAsia" w:ascii="仿宋_GB2312" w:hAnsi="黑体" w:eastAsia="仿宋_GB2312"/>
          <w:kern w:val="0"/>
          <w:sz w:val="30"/>
          <w:szCs w:val="30"/>
        </w:rPr>
        <w:t>90.79万元</w:t>
      </w:r>
      <w:r>
        <w:rPr>
          <w:rFonts w:hint="eastAsia" w:eastAsia="仿宋_GB2312"/>
          <w:kern w:val="0"/>
          <w:sz w:val="30"/>
          <w:szCs w:val="30"/>
        </w:rPr>
        <w:t>对比增加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2.84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ascii="仿宋_GB2312" w:hAnsi="黑体" w:eastAsia="仿宋_GB2312"/>
          <w:kern w:val="0"/>
          <w:sz w:val="30"/>
          <w:szCs w:val="30"/>
        </w:rPr>
        <w:t>4</w:t>
      </w:r>
      <w:r>
        <w:rPr>
          <w:rFonts w:hint="eastAsia" w:ascii="仿宋_GB2312" w:hAnsi="黑体" w:eastAsia="仿宋_GB2312"/>
          <w:kern w:val="0"/>
          <w:sz w:val="30"/>
          <w:szCs w:val="30"/>
        </w:rPr>
        <w:t>、</w:t>
      </w:r>
      <w:r>
        <w:rPr>
          <w:rFonts w:hint="eastAsia" w:eastAsia="仿宋_GB2312"/>
          <w:kern w:val="0"/>
          <w:sz w:val="30"/>
          <w:szCs w:val="30"/>
        </w:rPr>
        <w:t>202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eastAsia="仿宋_GB2312"/>
          <w:kern w:val="0"/>
          <w:sz w:val="30"/>
          <w:szCs w:val="30"/>
        </w:rPr>
        <w:t>年办公费、工会经费、</w:t>
      </w:r>
      <w:r>
        <w:rPr>
          <w:rFonts w:hint="eastAsia" w:ascii="仿宋_GB2312" w:hAnsi="黑体" w:eastAsia="仿宋_GB2312"/>
          <w:kern w:val="0"/>
          <w:sz w:val="30"/>
          <w:szCs w:val="30"/>
        </w:rPr>
        <w:t>福利费及退休人员公用经费33.</w:t>
      </w:r>
      <w:r>
        <w:rPr>
          <w:rFonts w:hint="eastAsia" w:ascii="仿宋_GB2312" w:hAnsi="黑体" w:eastAsia="仿宋_GB2312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_GB2312" w:hAnsi="黑体" w:eastAsia="仿宋_GB2312"/>
          <w:kern w:val="0"/>
          <w:sz w:val="30"/>
          <w:szCs w:val="30"/>
        </w:rPr>
        <w:t>万元</w:t>
      </w:r>
      <w:r>
        <w:rPr>
          <w:rFonts w:hint="eastAsia" w:eastAsia="仿宋_GB2312"/>
          <w:kern w:val="0"/>
          <w:sz w:val="30"/>
          <w:szCs w:val="30"/>
        </w:rPr>
        <w:t>与上年</w:t>
      </w:r>
      <w:r>
        <w:rPr>
          <w:rFonts w:hint="eastAsia" w:ascii="仿宋_GB2312" w:hAnsi="黑体" w:eastAsia="仿宋_GB2312"/>
          <w:kern w:val="0"/>
          <w:sz w:val="30"/>
          <w:szCs w:val="30"/>
        </w:rPr>
        <w:t>33.52万元</w:t>
      </w:r>
      <w:r>
        <w:rPr>
          <w:rFonts w:hint="eastAsia" w:eastAsia="仿宋_GB2312"/>
          <w:kern w:val="0"/>
          <w:sz w:val="30"/>
          <w:szCs w:val="30"/>
        </w:rPr>
        <w:t>对比</w:t>
      </w:r>
      <w:r>
        <w:rPr>
          <w:rFonts w:hint="eastAsia" w:eastAsia="仿宋_GB2312"/>
          <w:kern w:val="0"/>
          <w:sz w:val="30"/>
          <w:szCs w:val="30"/>
          <w:lang w:eastAsia="zh-CN"/>
        </w:rPr>
        <w:t>减少</w:t>
      </w:r>
      <w:r>
        <w:rPr>
          <w:rFonts w:hint="eastAsia" w:eastAsia="仿宋_GB2312"/>
          <w:kern w:val="0"/>
          <w:sz w:val="30"/>
          <w:szCs w:val="30"/>
        </w:rPr>
        <w:t>0.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31</w:t>
      </w:r>
      <w:r>
        <w:rPr>
          <w:rFonts w:hint="eastAsia" w:eastAsia="仿宋_GB2312"/>
          <w:kern w:val="0"/>
          <w:sz w:val="30"/>
          <w:szCs w:val="30"/>
        </w:rPr>
        <w:t>万元。</w:t>
      </w:r>
    </w:p>
    <w:p>
      <w:pPr>
        <w:widowControl/>
        <w:jc w:val="left"/>
        <w:rPr>
          <w:rFonts w:eastAsia="仿宋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 xml:space="preserve"> </w:t>
      </w:r>
    </w:p>
    <w:sectPr>
      <w:headerReference r:id="rId3" w:type="default"/>
      <w:footerReference r:id="rId5" w:type="default"/>
      <w:headerReference r:id="rId4" w:type="even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DA9B9"/>
    <w:multiLevelType w:val="singleLevel"/>
    <w:tmpl w:val="5C3DA9B9"/>
    <w:lvl w:ilvl="0" w:tentative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C47BA42"/>
    <w:multiLevelType w:val="singleLevel"/>
    <w:tmpl w:val="5C47BA42"/>
    <w:lvl w:ilvl="0" w:tentative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C47DBBF"/>
    <w:multiLevelType w:val="singleLevel"/>
    <w:tmpl w:val="5C47DBBF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AD5"/>
    <w:rsid w:val="00001F36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5317B"/>
    <w:rsid w:val="000543CA"/>
    <w:rsid w:val="00054EA9"/>
    <w:rsid w:val="000559B2"/>
    <w:rsid w:val="00060B5F"/>
    <w:rsid w:val="00062F92"/>
    <w:rsid w:val="00063177"/>
    <w:rsid w:val="00064C37"/>
    <w:rsid w:val="00070204"/>
    <w:rsid w:val="00070238"/>
    <w:rsid w:val="00073344"/>
    <w:rsid w:val="00074721"/>
    <w:rsid w:val="00081157"/>
    <w:rsid w:val="00083CB1"/>
    <w:rsid w:val="00085843"/>
    <w:rsid w:val="000860FB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D088D"/>
    <w:rsid w:val="000D4394"/>
    <w:rsid w:val="000E2B18"/>
    <w:rsid w:val="000E530D"/>
    <w:rsid w:val="000F365A"/>
    <w:rsid w:val="000F4AD3"/>
    <w:rsid w:val="000F4C86"/>
    <w:rsid w:val="001046C0"/>
    <w:rsid w:val="00104701"/>
    <w:rsid w:val="00114FB7"/>
    <w:rsid w:val="00122B32"/>
    <w:rsid w:val="00123DF3"/>
    <w:rsid w:val="00124434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5C51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0736"/>
    <w:rsid w:val="0025231B"/>
    <w:rsid w:val="00253C74"/>
    <w:rsid w:val="00262BAD"/>
    <w:rsid w:val="002726B1"/>
    <w:rsid w:val="002727D0"/>
    <w:rsid w:val="002749C8"/>
    <w:rsid w:val="00275325"/>
    <w:rsid w:val="00281C06"/>
    <w:rsid w:val="00285DC4"/>
    <w:rsid w:val="00292322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2555"/>
    <w:rsid w:val="002C7D21"/>
    <w:rsid w:val="002D27CD"/>
    <w:rsid w:val="002D3EC0"/>
    <w:rsid w:val="002D729F"/>
    <w:rsid w:val="002E0E3C"/>
    <w:rsid w:val="002E1812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6010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11B1"/>
    <w:rsid w:val="00392AA8"/>
    <w:rsid w:val="003931E6"/>
    <w:rsid w:val="003A324A"/>
    <w:rsid w:val="003A73EF"/>
    <w:rsid w:val="003B2514"/>
    <w:rsid w:val="003B54C2"/>
    <w:rsid w:val="003B5BA8"/>
    <w:rsid w:val="003C0093"/>
    <w:rsid w:val="003C1BE1"/>
    <w:rsid w:val="003C6315"/>
    <w:rsid w:val="003D051F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04DA0"/>
    <w:rsid w:val="00406FE3"/>
    <w:rsid w:val="00412B19"/>
    <w:rsid w:val="004158B8"/>
    <w:rsid w:val="00416B98"/>
    <w:rsid w:val="00421A99"/>
    <w:rsid w:val="0042780C"/>
    <w:rsid w:val="0043232E"/>
    <w:rsid w:val="00432BAC"/>
    <w:rsid w:val="00445161"/>
    <w:rsid w:val="004457F4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97800"/>
    <w:rsid w:val="004A2AA4"/>
    <w:rsid w:val="004A362F"/>
    <w:rsid w:val="004A742B"/>
    <w:rsid w:val="004B29ED"/>
    <w:rsid w:val="004B50FC"/>
    <w:rsid w:val="004C064B"/>
    <w:rsid w:val="004C1CDF"/>
    <w:rsid w:val="004D26D3"/>
    <w:rsid w:val="004D3A59"/>
    <w:rsid w:val="004D6E1D"/>
    <w:rsid w:val="004E2194"/>
    <w:rsid w:val="004E5A1B"/>
    <w:rsid w:val="004F2C44"/>
    <w:rsid w:val="004F4F9F"/>
    <w:rsid w:val="004F5C1B"/>
    <w:rsid w:val="00500B41"/>
    <w:rsid w:val="005054B5"/>
    <w:rsid w:val="00505533"/>
    <w:rsid w:val="00506344"/>
    <w:rsid w:val="005102D2"/>
    <w:rsid w:val="00512CCF"/>
    <w:rsid w:val="005148D7"/>
    <w:rsid w:val="00521069"/>
    <w:rsid w:val="005248EA"/>
    <w:rsid w:val="00524904"/>
    <w:rsid w:val="0052572D"/>
    <w:rsid w:val="00541BE2"/>
    <w:rsid w:val="005431C8"/>
    <w:rsid w:val="005463F4"/>
    <w:rsid w:val="00552BA8"/>
    <w:rsid w:val="0055409A"/>
    <w:rsid w:val="00563EEF"/>
    <w:rsid w:val="00572E90"/>
    <w:rsid w:val="00575EDA"/>
    <w:rsid w:val="00585CD8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245F"/>
    <w:rsid w:val="005D3061"/>
    <w:rsid w:val="005D37A4"/>
    <w:rsid w:val="005D6260"/>
    <w:rsid w:val="005D6D58"/>
    <w:rsid w:val="005E6A58"/>
    <w:rsid w:val="005F310F"/>
    <w:rsid w:val="00602B8A"/>
    <w:rsid w:val="0060314C"/>
    <w:rsid w:val="00610CF7"/>
    <w:rsid w:val="00612D63"/>
    <w:rsid w:val="00614B12"/>
    <w:rsid w:val="006150EC"/>
    <w:rsid w:val="006164DB"/>
    <w:rsid w:val="0061679D"/>
    <w:rsid w:val="006253D8"/>
    <w:rsid w:val="00626153"/>
    <w:rsid w:val="00632868"/>
    <w:rsid w:val="006374A1"/>
    <w:rsid w:val="00651B6C"/>
    <w:rsid w:val="006540CB"/>
    <w:rsid w:val="00660870"/>
    <w:rsid w:val="00660B2A"/>
    <w:rsid w:val="00663D84"/>
    <w:rsid w:val="006655C1"/>
    <w:rsid w:val="00670094"/>
    <w:rsid w:val="00682553"/>
    <w:rsid w:val="0068515C"/>
    <w:rsid w:val="0068667C"/>
    <w:rsid w:val="006A26A0"/>
    <w:rsid w:val="006A3E57"/>
    <w:rsid w:val="006A4FDA"/>
    <w:rsid w:val="006B1C07"/>
    <w:rsid w:val="006B3DA5"/>
    <w:rsid w:val="006B5B25"/>
    <w:rsid w:val="006B7827"/>
    <w:rsid w:val="006D0172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038A3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5E00"/>
    <w:rsid w:val="00766131"/>
    <w:rsid w:val="0077005A"/>
    <w:rsid w:val="00772DB4"/>
    <w:rsid w:val="00780AAD"/>
    <w:rsid w:val="0078371A"/>
    <w:rsid w:val="00783A4C"/>
    <w:rsid w:val="0079250C"/>
    <w:rsid w:val="00794375"/>
    <w:rsid w:val="0079519F"/>
    <w:rsid w:val="007A05BD"/>
    <w:rsid w:val="007A725D"/>
    <w:rsid w:val="007B3EA7"/>
    <w:rsid w:val="007B4A0F"/>
    <w:rsid w:val="007C05CB"/>
    <w:rsid w:val="007C1922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2D5D"/>
    <w:rsid w:val="00816BAB"/>
    <w:rsid w:val="00817514"/>
    <w:rsid w:val="00825E03"/>
    <w:rsid w:val="00827ECC"/>
    <w:rsid w:val="0083106D"/>
    <w:rsid w:val="0083313F"/>
    <w:rsid w:val="00834D98"/>
    <w:rsid w:val="00834F32"/>
    <w:rsid w:val="00835730"/>
    <w:rsid w:val="00835F23"/>
    <w:rsid w:val="0084210A"/>
    <w:rsid w:val="0084312A"/>
    <w:rsid w:val="00845657"/>
    <w:rsid w:val="0084624C"/>
    <w:rsid w:val="00851C1D"/>
    <w:rsid w:val="00864E02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B9D"/>
    <w:rsid w:val="008C1FFC"/>
    <w:rsid w:val="008D1AD8"/>
    <w:rsid w:val="008D2E7D"/>
    <w:rsid w:val="008D5FED"/>
    <w:rsid w:val="008E0B11"/>
    <w:rsid w:val="008E2734"/>
    <w:rsid w:val="008E5296"/>
    <w:rsid w:val="008E73F6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4E3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1C2E"/>
    <w:rsid w:val="00982629"/>
    <w:rsid w:val="0098468C"/>
    <w:rsid w:val="009862D5"/>
    <w:rsid w:val="0098667C"/>
    <w:rsid w:val="009907B9"/>
    <w:rsid w:val="00992351"/>
    <w:rsid w:val="009A08B6"/>
    <w:rsid w:val="009A2377"/>
    <w:rsid w:val="009A3454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3FA7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3970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B4F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1EC7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94700"/>
    <w:rsid w:val="00BA00E2"/>
    <w:rsid w:val="00BA4255"/>
    <w:rsid w:val="00BA4F5A"/>
    <w:rsid w:val="00BA7BBA"/>
    <w:rsid w:val="00BB3DE5"/>
    <w:rsid w:val="00BB4394"/>
    <w:rsid w:val="00BB5ABD"/>
    <w:rsid w:val="00BC1BA9"/>
    <w:rsid w:val="00BC41E1"/>
    <w:rsid w:val="00BD0E70"/>
    <w:rsid w:val="00BD2FC7"/>
    <w:rsid w:val="00BD6EC1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4926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3E52"/>
    <w:rsid w:val="00CF4BA6"/>
    <w:rsid w:val="00D00043"/>
    <w:rsid w:val="00D003BE"/>
    <w:rsid w:val="00D03468"/>
    <w:rsid w:val="00D03E18"/>
    <w:rsid w:val="00D06094"/>
    <w:rsid w:val="00D07122"/>
    <w:rsid w:val="00D110CC"/>
    <w:rsid w:val="00D1310A"/>
    <w:rsid w:val="00D165B0"/>
    <w:rsid w:val="00D249EC"/>
    <w:rsid w:val="00D30CFE"/>
    <w:rsid w:val="00D314BC"/>
    <w:rsid w:val="00D319FC"/>
    <w:rsid w:val="00D37661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83D"/>
    <w:rsid w:val="00D74B92"/>
    <w:rsid w:val="00D80D7C"/>
    <w:rsid w:val="00D83A9A"/>
    <w:rsid w:val="00D841C1"/>
    <w:rsid w:val="00D86481"/>
    <w:rsid w:val="00D93010"/>
    <w:rsid w:val="00D946E9"/>
    <w:rsid w:val="00D9604F"/>
    <w:rsid w:val="00D9737C"/>
    <w:rsid w:val="00DA76AC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1827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84EAB"/>
    <w:rsid w:val="00EA25E4"/>
    <w:rsid w:val="00EA3E87"/>
    <w:rsid w:val="00EA7A22"/>
    <w:rsid w:val="00EA7DE2"/>
    <w:rsid w:val="00EB004F"/>
    <w:rsid w:val="00EB6AC3"/>
    <w:rsid w:val="00EB70A0"/>
    <w:rsid w:val="00EC6D59"/>
    <w:rsid w:val="00EC703C"/>
    <w:rsid w:val="00ED0777"/>
    <w:rsid w:val="00ED0A7C"/>
    <w:rsid w:val="00ED2DE0"/>
    <w:rsid w:val="00ED6645"/>
    <w:rsid w:val="00ED6F4E"/>
    <w:rsid w:val="00EE37EE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1D4E"/>
    <w:rsid w:val="00F12CC8"/>
    <w:rsid w:val="00F20765"/>
    <w:rsid w:val="00F20D44"/>
    <w:rsid w:val="00F238CE"/>
    <w:rsid w:val="00F24EE1"/>
    <w:rsid w:val="00F35CB9"/>
    <w:rsid w:val="00F36445"/>
    <w:rsid w:val="00F37D41"/>
    <w:rsid w:val="00F412D7"/>
    <w:rsid w:val="00F43996"/>
    <w:rsid w:val="00F45AD5"/>
    <w:rsid w:val="00F45F72"/>
    <w:rsid w:val="00F47184"/>
    <w:rsid w:val="00F51398"/>
    <w:rsid w:val="00F521B6"/>
    <w:rsid w:val="00F53C1F"/>
    <w:rsid w:val="00F53D7D"/>
    <w:rsid w:val="00F54201"/>
    <w:rsid w:val="00F5464F"/>
    <w:rsid w:val="00F6446E"/>
    <w:rsid w:val="00F6454F"/>
    <w:rsid w:val="00F64A92"/>
    <w:rsid w:val="00F657F3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15C3"/>
    <w:rsid w:val="00FB35BE"/>
    <w:rsid w:val="00FC43B8"/>
    <w:rsid w:val="00FC4E58"/>
    <w:rsid w:val="00FC51C4"/>
    <w:rsid w:val="00FC7004"/>
    <w:rsid w:val="00FD06A0"/>
    <w:rsid w:val="00FD13FB"/>
    <w:rsid w:val="00FD228E"/>
    <w:rsid w:val="00FD4E9B"/>
    <w:rsid w:val="00FD7595"/>
    <w:rsid w:val="00FD7D5F"/>
    <w:rsid w:val="00FE1A2F"/>
    <w:rsid w:val="00FE5F50"/>
    <w:rsid w:val="00FF1B25"/>
    <w:rsid w:val="00FF56C3"/>
    <w:rsid w:val="00FF7A85"/>
    <w:rsid w:val="025737A0"/>
    <w:rsid w:val="03F0214E"/>
    <w:rsid w:val="06325B44"/>
    <w:rsid w:val="0AB77A2F"/>
    <w:rsid w:val="0D451E91"/>
    <w:rsid w:val="1A0B3DDD"/>
    <w:rsid w:val="20614E6C"/>
    <w:rsid w:val="24081AB6"/>
    <w:rsid w:val="2A760067"/>
    <w:rsid w:val="2A7A66F3"/>
    <w:rsid w:val="322E17DA"/>
    <w:rsid w:val="39466C4F"/>
    <w:rsid w:val="3F73205B"/>
    <w:rsid w:val="44777B59"/>
    <w:rsid w:val="472C2108"/>
    <w:rsid w:val="49C23AD3"/>
    <w:rsid w:val="4D101AC5"/>
    <w:rsid w:val="5C1D1F7D"/>
    <w:rsid w:val="714F29BF"/>
    <w:rsid w:val="724A4A01"/>
    <w:rsid w:val="762C3087"/>
    <w:rsid w:val="76B36DB7"/>
    <w:rsid w:val="7A307712"/>
    <w:rsid w:val="7BB8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iPriority w:val="99"/>
    <w:pPr>
      <w:jc w:val="left"/>
    </w:pPr>
  </w:style>
  <w:style w:type="paragraph" w:styleId="3">
    <w:name w:val="Balloon Text"/>
    <w:basedOn w:val="1"/>
    <w:link w:val="13"/>
    <w:semiHidden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qFormat/>
    <w:uiPriority w:val="99"/>
    <w:rPr>
      <w:b/>
      <w:bCs/>
    </w:rPr>
  </w:style>
  <w:style w:type="character" w:styleId="9">
    <w:name w:val="Strong"/>
    <w:basedOn w:val="8"/>
    <w:qFormat/>
    <w:locked/>
    <w:uiPriority w:val="99"/>
    <w:rPr>
      <w:rFonts w:cs="Times New Roman"/>
      <w:b/>
      <w:bCs/>
    </w:rPr>
  </w:style>
  <w:style w:type="character" w:styleId="10">
    <w:name w:val="annotation reference"/>
    <w:basedOn w:val="8"/>
    <w:semiHidden/>
    <w:qFormat/>
    <w:uiPriority w:val="99"/>
    <w:rPr>
      <w:rFonts w:cs="Times New Roman"/>
      <w:sz w:val="21"/>
    </w:rPr>
  </w:style>
  <w:style w:type="character" w:customStyle="1" w:styleId="11">
    <w:name w:val="批注文字 Char"/>
    <w:basedOn w:val="8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2">
    <w:name w:val="批注主题 Char"/>
    <w:basedOn w:val="11"/>
    <w:link w:val="6"/>
    <w:semiHidden/>
    <w:qFormat/>
    <w:locked/>
    <w:uiPriority w:val="99"/>
    <w:rPr>
      <w:b/>
      <w:bCs/>
    </w:rPr>
  </w:style>
  <w:style w:type="character" w:customStyle="1" w:styleId="13">
    <w:name w:val="批注框文本 Char"/>
    <w:basedOn w:val="8"/>
    <w:link w:val="3"/>
    <w:semiHidden/>
    <w:qFormat/>
    <w:locked/>
    <w:uiPriority w:val="99"/>
    <w:rPr>
      <w:rFonts w:cs="Times New Roman"/>
      <w:sz w:val="2"/>
    </w:rPr>
  </w:style>
  <w:style w:type="character" w:customStyle="1" w:styleId="14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zhlx</Company>
  <Pages>5</Pages>
  <Words>330</Words>
  <Characters>1887</Characters>
  <Lines>15</Lines>
  <Paragraphs>4</Paragraphs>
  <TotalTime>8</TotalTime>
  <ScaleCrop>false</ScaleCrop>
  <LinksUpToDate>false</LinksUpToDate>
  <CharactersWithSpaces>2213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2012-01-07T11:13:00Z</dcterms:created>
  <dc:creator>lx</dc:creator>
  <dc:description>ZHGenApp().GetProperty("Certification")</dc:description>
  <cp:lastModifiedBy>Administrator</cp:lastModifiedBy>
  <cp:lastPrinted>2018-01-31T03:32:00Z</cp:lastPrinted>
  <dcterms:modified xsi:type="dcterms:W3CDTF">2021-02-22T01:22:00Z</dcterms:modified>
  <dc:title>年部门预算编制说明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