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z w:val="36"/>
          <w:szCs w:val="36"/>
          <w:lang w:eastAsia="zh-CN"/>
        </w:rPr>
      </w:pPr>
      <w:r>
        <w:rPr>
          <w:rFonts w:ascii="Arial" w:hAnsi="Arial" w:eastAsia="Arial" w:cs="Arial"/>
          <w:b/>
          <w:sz w:val="36"/>
        </w:rPr>
        <w:t>监督索引号53010300134201000</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昆明市盘龙区应急管理局</w:t>
      </w:r>
      <w:r>
        <w:rPr>
          <w:rFonts w:hint="eastAsia" w:ascii="方正小标宋简体" w:hAnsi="方正小标宋简体" w:eastAsia="方正小标宋简体" w:cs="方正小标宋简体"/>
          <w:sz w:val="36"/>
          <w:szCs w:val="36"/>
          <w:lang w:val="en-US" w:eastAsia="zh-CN"/>
        </w:rPr>
        <w:t>2019</w:t>
      </w:r>
      <w:r>
        <w:rPr>
          <w:rFonts w:hint="eastAsia" w:ascii="方正小标宋简体" w:hAnsi="方正小标宋简体" w:eastAsia="方正小标宋简体" w:cs="方正小标宋简体"/>
          <w:sz w:val="36"/>
          <w:szCs w:val="36"/>
        </w:rPr>
        <w:t>年度部门决算</w:t>
      </w:r>
    </w:p>
    <w:p>
      <w:pPr>
        <w:jc w:val="left"/>
        <w:rPr>
          <w:rFonts w:hint="eastAsia" w:ascii="黑体" w:hAnsi="黑体" w:eastAsia="黑体"/>
          <w:sz w:val="30"/>
          <w:szCs w:val="30"/>
          <w:lang w:val="en-US" w:eastAsia="zh-CN"/>
        </w:rPr>
      </w:pPr>
      <w:r>
        <w:rPr>
          <w:rFonts w:hint="eastAsia" w:ascii="黑体" w:hAnsi="黑体" w:eastAsia="黑体"/>
          <w:sz w:val="30"/>
          <w:szCs w:val="30"/>
          <w:lang w:val="en-US" w:eastAsia="zh-CN"/>
        </w:rPr>
        <w:t xml:space="preserve">                         </w:t>
      </w:r>
    </w:p>
    <w:p>
      <w:pPr>
        <w:jc w:val="center"/>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目录</w:t>
      </w:r>
    </w:p>
    <w:p>
      <w:pPr>
        <w:jc w:val="left"/>
        <w:rPr>
          <w:rFonts w:hint="eastAsia" w:ascii="黑体" w:hAnsi="黑体" w:eastAsia="黑体"/>
          <w:sz w:val="30"/>
          <w:szCs w:val="30"/>
        </w:rPr>
      </w:pPr>
      <w:r>
        <w:rPr>
          <w:rFonts w:hint="eastAsia" w:ascii="黑体" w:hAnsi="黑体" w:eastAsia="黑体"/>
          <w:sz w:val="30"/>
          <w:szCs w:val="30"/>
        </w:rPr>
        <w:t>第一部分  概况</w:t>
      </w:r>
    </w:p>
    <w:p>
      <w:pPr>
        <w:spacing w:line="240" w:lineRule="atLeast"/>
        <w:jc w:val="left"/>
        <w:rPr>
          <w:rFonts w:hint="eastAsia" w:ascii="楷体" w:hAnsi="楷体" w:eastAsia="楷体"/>
          <w:sz w:val="30"/>
          <w:szCs w:val="30"/>
        </w:rPr>
      </w:pPr>
      <w:r>
        <w:rPr>
          <w:rFonts w:hint="eastAsia" w:ascii="楷体" w:hAnsi="楷体" w:eastAsia="楷体"/>
          <w:sz w:val="30"/>
          <w:szCs w:val="30"/>
        </w:rPr>
        <w:t>一、主要职能</w:t>
      </w:r>
    </w:p>
    <w:p>
      <w:pPr>
        <w:spacing w:line="240" w:lineRule="atLeast"/>
        <w:jc w:val="left"/>
        <w:rPr>
          <w:rFonts w:hint="eastAsia" w:ascii="楷体" w:hAnsi="楷体" w:eastAsia="楷体"/>
          <w:sz w:val="30"/>
          <w:szCs w:val="30"/>
        </w:rPr>
      </w:pPr>
      <w:r>
        <w:rPr>
          <w:rFonts w:hint="eastAsia" w:ascii="楷体" w:hAnsi="楷体" w:eastAsia="楷体"/>
          <w:sz w:val="30"/>
          <w:szCs w:val="30"/>
        </w:rPr>
        <w:t>二、部门基本情况</w:t>
      </w:r>
    </w:p>
    <w:p>
      <w:pPr>
        <w:jc w:val="left"/>
        <w:rPr>
          <w:rFonts w:hint="eastAsia"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2019</w:t>
      </w:r>
      <w:r>
        <w:rPr>
          <w:rFonts w:hint="eastAsia" w:ascii="黑体" w:hAnsi="黑体" w:eastAsia="黑体"/>
          <w:sz w:val="30"/>
          <w:szCs w:val="30"/>
        </w:rPr>
        <w:t>年度部门决算表</w:t>
      </w:r>
    </w:p>
    <w:p>
      <w:pPr>
        <w:jc w:val="left"/>
        <w:rPr>
          <w:rFonts w:hint="eastAsia" w:ascii="楷体" w:hAnsi="楷体" w:eastAsia="楷体"/>
          <w:sz w:val="30"/>
          <w:szCs w:val="30"/>
        </w:rPr>
      </w:pPr>
      <w:r>
        <w:rPr>
          <w:rFonts w:hint="eastAsia" w:ascii="楷体" w:hAnsi="楷体" w:eastAsia="楷体"/>
          <w:sz w:val="30"/>
          <w:szCs w:val="30"/>
        </w:rPr>
        <w:t>一、收入支出决算总表</w:t>
      </w:r>
    </w:p>
    <w:p>
      <w:pPr>
        <w:jc w:val="left"/>
        <w:rPr>
          <w:rFonts w:hint="eastAsia" w:ascii="楷体" w:hAnsi="楷体" w:eastAsia="楷体"/>
          <w:sz w:val="30"/>
          <w:szCs w:val="30"/>
        </w:rPr>
      </w:pPr>
      <w:r>
        <w:rPr>
          <w:rFonts w:hint="eastAsia" w:ascii="楷体" w:hAnsi="楷体" w:eastAsia="楷体"/>
          <w:sz w:val="30"/>
          <w:szCs w:val="30"/>
        </w:rPr>
        <w:t>二、收入决算表</w:t>
      </w:r>
    </w:p>
    <w:p>
      <w:pPr>
        <w:jc w:val="left"/>
        <w:rPr>
          <w:rFonts w:hint="eastAsia" w:ascii="楷体" w:hAnsi="楷体" w:eastAsia="楷体"/>
          <w:sz w:val="30"/>
          <w:szCs w:val="30"/>
        </w:rPr>
      </w:pPr>
      <w:r>
        <w:rPr>
          <w:rFonts w:hint="eastAsia" w:ascii="楷体" w:hAnsi="楷体" w:eastAsia="楷体"/>
          <w:sz w:val="30"/>
          <w:szCs w:val="30"/>
        </w:rPr>
        <w:t>三、支出决算表</w:t>
      </w:r>
    </w:p>
    <w:p>
      <w:pPr>
        <w:jc w:val="left"/>
        <w:rPr>
          <w:rFonts w:hint="eastAsia" w:ascii="楷体" w:hAnsi="楷体" w:eastAsia="楷体"/>
          <w:sz w:val="30"/>
          <w:szCs w:val="30"/>
        </w:rPr>
      </w:pPr>
      <w:r>
        <w:rPr>
          <w:rFonts w:hint="eastAsia" w:ascii="楷体" w:hAnsi="楷体" w:eastAsia="楷体"/>
          <w:sz w:val="30"/>
          <w:szCs w:val="30"/>
        </w:rPr>
        <w:t>四、财政拨款收入支出决算总表</w:t>
      </w:r>
    </w:p>
    <w:p>
      <w:pPr>
        <w:jc w:val="left"/>
        <w:rPr>
          <w:rFonts w:hint="eastAsia" w:ascii="楷体" w:hAnsi="楷体" w:eastAsia="楷体"/>
          <w:sz w:val="30"/>
          <w:szCs w:val="30"/>
        </w:rPr>
      </w:pPr>
      <w:r>
        <w:rPr>
          <w:rFonts w:hint="eastAsia" w:ascii="楷体" w:hAnsi="楷体" w:eastAsia="楷体"/>
          <w:sz w:val="30"/>
          <w:szCs w:val="30"/>
        </w:rPr>
        <w:t>五、一般公共预算财政拨款收入支出决算表</w:t>
      </w:r>
    </w:p>
    <w:p>
      <w:pPr>
        <w:jc w:val="left"/>
        <w:rPr>
          <w:rFonts w:hint="eastAsia" w:ascii="楷体" w:hAnsi="楷体" w:eastAsia="楷体"/>
          <w:sz w:val="30"/>
          <w:szCs w:val="30"/>
        </w:rPr>
      </w:pPr>
      <w:r>
        <w:rPr>
          <w:rFonts w:hint="eastAsia" w:ascii="楷体" w:hAnsi="楷体" w:eastAsia="楷体"/>
          <w:sz w:val="30"/>
          <w:szCs w:val="30"/>
        </w:rPr>
        <w:t>六、一般公共预算财政拨款基本支出决算表</w:t>
      </w:r>
    </w:p>
    <w:p>
      <w:pPr>
        <w:jc w:val="left"/>
        <w:rPr>
          <w:rFonts w:hint="eastAsia" w:ascii="楷体" w:hAnsi="楷体" w:eastAsia="楷体"/>
          <w:sz w:val="30"/>
          <w:szCs w:val="30"/>
        </w:rPr>
      </w:pPr>
      <w:r>
        <w:rPr>
          <w:rFonts w:hint="eastAsia" w:ascii="楷体" w:hAnsi="楷体" w:eastAsia="楷体"/>
          <w:sz w:val="30"/>
          <w:szCs w:val="30"/>
        </w:rPr>
        <w:t>七、政府性基金预算财政拨款收入支出决算表</w:t>
      </w:r>
    </w:p>
    <w:p>
      <w:pPr>
        <w:jc w:val="left"/>
        <w:rPr>
          <w:rFonts w:hint="eastAsia" w:ascii="楷体" w:hAnsi="楷体" w:eastAsia="楷体"/>
          <w:sz w:val="30"/>
          <w:szCs w:val="30"/>
        </w:rPr>
      </w:pPr>
      <w:r>
        <w:rPr>
          <w:rFonts w:hint="eastAsia" w:ascii="楷体" w:hAnsi="楷体" w:eastAsia="楷体"/>
          <w:sz w:val="30"/>
          <w:szCs w:val="30"/>
        </w:rPr>
        <w:t>八、“三公”经费、行政参公单位机关运行经费情况表</w:t>
      </w:r>
    </w:p>
    <w:p>
      <w:pPr>
        <w:jc w:val="left"/>
        <w:rPr>
          <w:rFonts w:hint="eastAsia" w:ascii="楷体" w:hAnsi="楷体" w:eastAsia="楷体"/>
          <w:sz w:val="30"/>
          <w:szCs w:val="30"/>
          <w:lang w:eastAsia="zh-CN"/>
        </w:rPr>
      </w:pPr>
      <w:r>
        <w:rPr>
          <w:rFonts w:hint="eastAsia" w:ascii="楷体" w:hAnsi="楷体" w:eastAsia="楷体"/>
          <w:sz w:val="30"/>
          <w:szCs w:val="30"/>
          <w:lang w:eastAsia="zh-CN"/>
        </w:rPr>
        <w:t>九、项目支出绩效自评</w:t>
      </w:r>
    </w:p>
    <w:p>
      <w:pPr>
        <w:jc w:val="left"/>
        <w:rPr>
          <w:rFonts w:hint="eastAsia" w:ascii="楷体" w:hAnsi="楷体" w:eastAsia="楷体"/>
          <w:sz w:val="30"/>
          <w:szCs w:val="30"/>
          <w:lang w:eastAsia="zh-CN"/>
        </w:rPr>
      </w:pPr>
      <w:r>
        <w:rPr>
          <w:rFonts w:hint="eastAsia" w:ascii="楷体" w:hAnsi="楷体" w:eastAsia="楷体"/>
          <w:sz w:val="30"/>
          <w:szCs w:val="30"/>
          <w:lang w:eastAsia="zh-CN"/>
        </w:rPr>
        <w:t>十、项目支出绩效自评报告</w:t>
      </w:r>
    </w:p>
    <w:p>
      <w:pPr>
        <w:jc w:val="left"/>
        <w:rPr>
          <w:rFonts w:hint="eastAsia" w:ascii="楷体" w:hAnsi="楷体" w:eastAsia="楷体"/>
          <w:sz w:val="30"/>
          <w:szCs w:val="30"/>
          <w:lang w:eastAsia="zh-CN"/>
        </w:rPr>
      </w:pPr>
      <w:r>
        <w:rPr>
          <w:rFonts w:hint="eastAsia" w:ascii="楷体" w:hAnsi="楷体" w:eastAsia="楷体"/>
          <w:sz w:val="30"/>
          <w:szCs w:val="30"/>
          <w:lang w:eastAsia="zh-CN"/>
        </w:rPr>
        <w:t>十一、部门整体支出绩效自评报告</w:t>
      </w:r>
    </w:p>
    <w:p>
      <w:pPr>
        <w:jc w:val="left"/>
        <w:rPr>
          <w:rFonts w:hint="eastAsia" w:ascii="楷体" w:hAnsi="楷体" w:eastAsia="楷体"/>
          <w:sz w:val="30"/>
          <w:szCs w:val="30"/>
        </w:rPr>
      </w:pPr>
      <w:r>
        <w:rPr>
          <w:rFonts w:hint="eastAsia" w:ascii="楷体" w:hAnsi="楷体" w:eastAsia="楷体"/>
          <w:sz w:val="30"/>
          <w:szCs w:val="30"/>
          <w:lang w:eastAsia="zh-CN"/>
        </w:rPr>
        <w:t>十二、部门整体支出绩效自评报表</w:t>
      </w:r>
    </w:p>
    <w:p>
      <w:pPr>
        <w:jc w:val="left"/>
        <w:rPr>
          <w:rFonts w:hint="eastAsia" w:ascii="黑体" w:hAnsi="黑体" w:eastAsia="黑体"/>
          <w:sz w:val="30"/>
          <w:szCs w:val="30"/>
        </w:rPr>
      </w:pPr>
      <w:r>
        <w:rPr>
          <w:rFonts w:hint="eastAsia" w:ascii="黑体" w:hAnsi="黑体" w:eastAsia="黑体"/>
          <w:sz w:val="30"/>
          <w:szCs w:val="30"/>
        </w:rPr>
        <w:t>第三部</w:t>
      </w:r>
      <w:r>
        <w:rPr>
          <w:rFonts w:hint="eastAsia" w:ascii="黑体" w:hAnsi="黑体" w:eastAsia="黑体"/>
          <w:sz w:val="30"/>
          <w:szCs w:val="30"/>
          <w:lang w:eastAsia="zh-CN"/>
        </w:rPr>
        <w:t>分</w:t>
      </w:r>
      <w:r>
        <w:rPr>
          <w:rFonts w:hint="eastAsia" w:ascii="黑体" w:hAnsi="黑体" w:eastAsia="黑体"/>
          <w:sz w:val="30"/>
          <w:szCs w:val="30"/>
        </w:rPr>
        <w:t xml:space="preserve">  </w:t>
      </w:r>
      <w:r>
        <w:rPr>
          <w:rFonts w:hint="eastAsia" w:ascii="黑体" w:hAnsi="黑体" w:eastAsia="黑体"/>
          <w:sz w:val="30"/>
          <w:szCs w:val="30"/>
          <w:lang w:val="en-US" w:eastAsia="zh-CN"/>
        </w:rPr>
        <w:t>2019</w:t>
      </w:r>
      <w:r>
        <w:rPr>
          <w:rFonts w:hint="eastAsia" w:ascii="黑体" w:hAnsi="黑体" w:eastAsia="黑体"/>
          <w:sz w:val="30"/>
          <w:szCs w:val="30"/>
        </w:rPr>
        <w:t>年度部门决算情况说明</w:t>
      </w:r>
    </w:p>
    <w:p>
      <w:pPr>
        <w:jc w:val="left"/>
        <w:rPr>
          <w:rFonts w:hint="eastAsia" w:ascii="楷体" w:hAnsi="楷体" w:eastAsia="楷体"/>
          <w:sz w:val="30"/>
          <w:szCs w:val="30"/>
        </w:rPr>
      </w:pPr>
      <w:r>
        <w:rPr>
          <w:rFonts w:hint="eastAsia" w:ascii="楷体" w:hAnsi="楷体" w:eastAsia="楷体"/>
          <w:sz w:val="30"/>
          <w:szCs w:val="30"/>
        </w:rPr>
        <w:t>一、收入决算情况说明</w:t>
      </w:r>
    </w:p>
    <w:p>
      <w:pPr>
        <w:jc w:val="left"/>
        <w:rPr>
          <w:rFonts w:hint="eastAsia" w:ascii="楷体" w:hAnsi="楷体" w:eastAsia="楷体"/>
          <w:sz w:val="30"/>
          <w:szCs w:val="30"/>
        </w:rPr>
      </w:pPr>
      <w:r>
        <w:rPr>
          <w:rFonts w:hint="eastAsia" w:ascii="楷体" w:hAnsi="楷体" w:eastAsia="楷体"/>
          <w:sz w:val="30"/>
          <w:szCs w:val="30"/>
        </w:rPr>
        <w:t>二、支出决算情况说明</w:t>
      </w:r>
    </w:p>
    <w:p>
      <w:pPr>
        <w:jc w:val="left"/>
        <w:rPr>
          <w:rFonts w:hint="eastAsia" w:ascii="楷体" w:hAnsi="楷体" w:eastAsia="楷体"/>
          <w:sz w:val="30"/>
          <w:szCs w:val="30"/>
        </w:rPr>
      </w:pPr>
      <w:r>
        <w:rPr>
          <w:rFonts w:hint="eastAsia" w:ascii="楷体" w:hAnsi="楷体" w:eastAsia="楷体"/>
          <w:sz w:val="30"/>
          <w:szCs w:val="30"/>
        </w:rPr>
        <w:t>三、一般公共预算财政拨款支出决算情况说明</w:t>
      </w:r>
    </w:p>
    <w:p>
      <w:pPr>
        <w:widowControl/>
        <w:snapToGrid w:val="0"/>
        <w:spacing w:before="100" w:after="100" w:line="360" w:lineRule="auto"/>
        <w:jc w:val="left"/>
        <w:rPr>
          <w:rFonts w:hint="eastAsia" w:ascii="楷体" w:hAnsi="楷体" w:eastAsia="楷体"/>
          <w:sz w:val="30"/>
          <w:szCs w:val="30"/>
        </w:rPr>
      </w:pPr>
      <w:r>
        <w:rPr>
          <w:rFonts w:hint="eastAsia" w:ascii="楷体" w:hAnsi="楷体" w:eastAsia="楷体"/>
          <w:sz w:val="30"/>
          <w:szCs w:val="30"/>
        </w:rPr>
        <w:t>四、一般公共预算财政拨款“三公”经费支出决算情况说明</w:t>
      </w:r>
    </w:p>
    <w:p>
      <w:pPr>
        <w:widowControl/>
        <w:snapToGrid w:val="0"/>
        <w:spacing w:before="100" w:after="100" w:line="360" w:lineRule="auto"/>
        <w:jc w:val="left"/>
        <w:rPr>
          <w:rFonts w:hint="eastAsia" w:ascii="黑体" w:hAnsi="黑体" w:eastAsia="黑体"/>
          <w:sz w:val="30"/>
          <w:szCs w:val="30"/>
        </w:rPr>
      </w:pPr>
      <w:r>
        <w:rPr>
          <w:rFonts w:hint="eastAsia" w:ascii="黑体" w:hAnsi="黑体" w:eastAsia="黑体"/>
          <w:sz w:val="30"/>
          <w:szCs w:val="30"/>
          <w:lang w:eastAsia="zh-CN"/>
        </w:rPr>
        <w:t>第四部分</w:t>
      </w:r>
      <w:r>
        <w:rPr>
          <w:rFonts w:hint="eastAsia" w:ascii="楷体" w:hAnsi="楷体" w:eastAsia="楷体"/>
          <w:sz w:val="30"/>
          <w:szCs w:val="30"/>
          <w:lang w:val="en-US" w:eastAsia="zh-CN"/>
        </w:rPr>
        <w:t xml:space="preserve">  </w:t>
      </w:r>
      <w:r>
        <w:rPr>
          <w:rFonts w:hint="eastAsia" w:ascii="黑体" w:hAnsi="黑体" w:eastAsia="黑体"/>
          <w:sz w:val="30"/>
          <w:szCs w:val="30"/>
        </w:rPr>
        <w:t>其他重要事项及相关口径情况说明</w:t>
      </w:r>
    </w:p>
    <w:p>
      <w:pPr>
        <w:jc w:val="left"/>
        <w:rPr>
          <w:rFonts w:hint="eastAsia" w:ascii="楷体" w:hAnsi="楷体" w:eastAsia="楷体"/>
          <w:sz w:val="30"/>
          <w:szCs w:val="30"/>
          <w:lang w:eastAsia="zh-CN"/>
        </w:rPr>
      </w:pPr>
      <w:r>
        <w:rPr>
          <w:rFonts w:hint="eastAsia" w:ascii="楷体" w:hAnsi="楷体" w:eastAsia="楷体"/>
          <w:sz w:val="30"/>
          <w:szCs w:val="30"/>
          <w:lang w:eastAsia="zh-CN"/>
        </w:rPr>
        <w:t>一、</w:t>
      </w:r>
      <w:r>
        <w:rPr>
          <w:rFonts w:hint="eastAsia" w:ascii="楷体" w:hAnsi="楷体" w:eastAsia="楷体"/>
          <w:sz w:val="30"/>
          <w:szCs w:val="30"/>
        </w:rPr>
        <w:t>机关运行经费支出情况</w:t>
      </w:r>
    </w:p>
    <w:p>
      <w:pPr>
        <w:jc w:val="left"/>
        <w:rPr>
          <w:rFonts w:hint="eastAsia" w:ascii="楷体" w:hAnsi="楷体" w:eastAsia="楷体"/>
          <w:sz w:val="30"/>
          <w:szCs w:val="30"/>
          <w:lang w:eastAsia="zh-CN"/>
        </w:rPr>
      </w:pPr>
      <w:r>
        <w:rPr>
          <w:rFonts w:hint="eastAsia" w:ascii="楷体" w:hAnsi="楷体" w:eastAsia="楷体"/>
          <w:sz w:val="30"/>
          <w:szCs w:val="30"/>
          <w:lang w:eastAsia="zh-CN"/>
        </w:rPr>
        <w:t>二、</w:t>
      </w:r>
      <w:r>
        <w:rPr>
          <w:rFonts w:hint="eastAsia" w:ascii="楷体" w:hAnsi="楷体" w:eastAsia="楷体"/>
          <w:sz w:val="30"/>
          <w:szCs w:val="30"/>
        </w:rPr>
        <w:t>国有资产占用情况</w:t>
      </w:r>
    </w:p>
    <w:p>
      <w:pPr>
        <w:jc w:val="left"/>
        <w:rPr>
          <w:rFonts w:hint="eastAsia" w:ascii="楷体" w:hAnsi="楷体" w:eastAsia="楷体"/>
          <w:sz w:val="30"/>
          <w:szCs w:val="30"/>
          <w:lang w:eastAsia="zh-CN"/>
        </w:rPr>
      </w:pPr>
      <w:r>
        <w:rPr>
          <w:rFonts w:hint="eastAsia" w:ascii="楷体" w:hAnsi="楷体" w:eastAsia="楷体"/>
          <w:sz w:val="30"/>
          <w:szCs w:val="30"/>
          <w:lang w:eastAsia="zh-CN"/>
        </w:rPr>
        <w:t>三、</w:t>
      </w:r>
      <w:r>
        <w:rPr>
          <w:rFonts w:hint="eastAsia" w:ascii="楷体" w:hAnsi="楷体" w:eastAsia="楷体"/>
          <w:sz w:val="30"/>
          <w:szCs w:val="30"/>
        </w:rPr>
        <w:t>政府采购支出情况</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（一）项目支出绩效自评/项目支出绩效自评报告（表）</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（二）部门整体支出绩效自评报告</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（三）部门整体支出绩效自评表</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rPr>
          <w:rFonts w:hint="eastAsia" w:ascii="黑体" w:hAnsi="黑体" w:eastAsia="黑体"/>
          <w:sz w:val="30"/>
          <w:szCs w:val="30"/>
        </w:rPr>
      </w:pPr>
      <w:r>
        <w:rPr>
          <w:rFonts w:hint="eastAsia" w:ascii="黑体" w:hAnsi="黑体" w:eastAsia="黑体"/>
          <w:sz w:val="30"/>
          <w:szCs w:val="30"/>
        </w:rPr>
        <w:t>第</w:t>
      </w:r>
      <w:r>
        <w:rPr>
          <w:rFonts w:hint="eastAsia" w:ascii="黑体" w:hAnsi="黑体" w:eastAsia="黑体"/>
          <w:sz w:val="30"/>
          <w:szCs w:val="30"/>
          <w:lang w:eastAsia="zh-CN"/>
        </w:rPr>
        <w:t>五</w:t>
      </w:r>
      <w:r>
        <w:rPr>
          <w:rFonts w:hint="eastAsia" w:ascii="黑体" w:hAnsi="黑体" w:eastAsia="黑体"/>
          <w:sz w:val="30"/>
          <w:szCs w:val="30"/>
        </w:rPr>
        <w:t>部分  名词解释</w:t>
      </w: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both"/>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eastAsia="zh-CN"/>
        </w:rPr>
        <w:t>昆明市盘龙区应急管理局</w:t>
      </w:r>
      <w:r>
        <w:rPr>
          <w:rFonts w:hint="eastAsia" w:ascii="黑体" w:hAnsi="黑体" w:eastAsia="黑体"/>
          <w:sz w:val="32"/>
          <w:szCs w:val="32"/>
        </w:rPr>
        <w:t>概况</w:t>
      </w:r>
    </w:p>
    <w:p>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一、主要职能</w:t>
      </w:r>
    </w:p>
    <w:p>
      <w:pPr>
        <w:spacing w:line="600" w:lineRule="exact"/>
        <w:ind w:firstLine="600" w:firstLineChars="200"/>
        <w:rPr>
          <w:rFonts w:hint="eastAsia" w:ascii="楷体" w:hAnsi="楷体" w:eastAsia="楷体"/>
          <w:sz w:val="30"/>
          <w:szCs w:val="30"/>
        </w:rPr>
      </w:pPr>
      <w:r>
        <w:rPr>
          <w:rFonts w:hint="eastAsia" w:ascii="楷体" w:hAnsi="楷体" w:eastAsia="楷体"/>
          <w:bCs/>
          <w:sz w:val="30"/>
          <w:szCs w:val="30"/>
        </w:rPr>
        <w:t>（一）主要职能</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w:t>
      </w:r>
      <w:r>
        <w:rPr>
          <w:rFonts w:hint="eastAsia"/>
          <w:bCs/>
          <w:szCs w:val="30"/>
        </w:rPr>
        <w:t>负责应急管理工作，指导各街道、各部门应对安全生产类、自然灾害类等突发事件和综合减灾救灾工作。负责安全生产综合监督管理和工矿商贸行业安全生产监督管理工作。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2.</w:t>
      </w:r>
      <w:r>
        <w:rPr>
          <w:rFonts w:hint="eastAsia"/>
          <w:bCs/>
          <w:szCs w:val="30"/>
        </w:rPr>
        <w:t>贯彻落实应急管理、安全生产的方针政策、法律法规，组织编制全区应急体系建设、安全生产和综合减灾规划，组织制定部门规范性文件并监督实施。</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3.</w:t>
      </w:r>
      <w:r>
        <w:rPr>
          <w:rFonts w:hint="eastAsia"/>
          <w:bCs/>
          <w:szCs w:val="30"/>
        </w:rPr>
        <w:t>指导应急预案体系建设，建立完善事故灾难和自然灾害分级应对制度，组织编制区级总体应急预案和安全生产类、自然灾害类专项预案，综合协调应急预案衔接工作，组织开展预案演练，推动应急重点工程和应急避难设施建设。</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4.</w:t>
      </w:r>
      <w:r>
        <w:rPr>
          <w:rFonts w:hint="eastAsia"/>
          <w:bCs/>
          <w:szCs w:val="30"/>
        </w:rPr>
        <w:t>牵头建立全区统一的应急管理信息系统，并与国家、省、市应急管理信息系统相衔接。负责信息传输渠道的规划和布局，组织协调建立监测预警和灾情报告制度，健全自然灾害信息资源获取和共享机制，依法统一发布灾情。</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5.</w:t>
      </w:r>
      <w:r>
        <w:rPr>
          <w:rFonts w:hint="eastAsia"/>
          <w:bCs/>
          <w:szCs w:val="30"/>
        </w:rPr>
        <w:t>组织指导协调安全生产类、自然灾害类等突发事件应急救援，综合研判突发事件发展态势并提出应对建议。按响应级别承担区级应对有关灾害指挥部工作，协助区委、区政府指定的负责同志组织有关灾害应急处置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6.</w:t>
      </w:r>
      <w:r>
        <w:rPr>
          <w:rFonts w:hint="eastAsia"/>
          <w:bCs/>
          <w:szCs w:val="30"/>
        </w:rPr>
        <w:t>建立应急协调联动机制，推进指挥平台对接，协调指挥各类应急专业队伍，衔接解放军和武警部队参与应急救援工作。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7.</w:t>
      </w:r>
      <w:r>
        <w:rPr>
          <w:rFonts w:hint="eastAsia"/>
          <w:bCs/>
          <w:szCs w:val="30"/>
        </w:rPr>
        <w:t>统筹应急救援力量建设，负责消防、森林和草原火灾扑救、抗洪抢险、地震和地质灾害救援等应急救援队伍协调调度，负责安全生产专业应急救援队伍建设，指导各街道及社会应急救援力量建设。</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8.</w:t>
      </w:r>
      <w:r>
        <w:rPr>
          <w:rFonts w:hint="eastAsia"/>
          <w:bCs/>
          <w:szCs w:val="30"/>
        </w:rPr>
        <w:t>指导城镇、农村、森林、草原消防工作规划编制并推进落实，协调指导森林草原火灾扑救工作。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9.</w:t>
      </w:r>
      <w:r>
        <w:rPr>
          <w:rFonts w:hint="eastAsia"/>
          <w:bCs/>
          <w:szCs w:val="30"/>
        </w:rPr>
        <w:t>指导协调森林和草原火灾、水旱灾害、地震和地质灾害等防治工作，负责自然灾害综合监测预警工作，指导开展自然灾害综合风险评估工作。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10.</w:t>
      </w:r>
      <w:r>
        <w:rPr>
          <w:rFonts w:hint="eastAsia"/>
          <w:bCs/>
          <w:szCs w:val="30"/>
        </w:rPr>
        <w:t>组织协调灾害救助工作，组织指导灾情核查、损失评估、救灾捐赠工作，管理、分配救灾款物并监督使用。</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11.</w:t>
      </w:r>
      <w:r>
        <w:rPr>
          <w:rFonts w:hint="eastAsia"/>
          <w:bCs/>
          <w:szCs w:val="30"/>
        </w:rPr>
        <w:t>依法行使安全生产综合监督管理职权，指导协调、监督检查区级有关部门和各街道办事处安全生产工作，组织开展安全生产巡查、考核工作。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12.</w:t>
      </w:r>
      <w:r>
        <w:rPr>
          <w:rFonts w:hint="eastAsia"/>
          <w:bCs/>
          <w:szCs w:val="30"/>
        </w:rPr>
        <w:t>按照分级、属地原则，依法监督检查工矿商贸生产经营单位贯彻执行安全生产法律法规情况及其安全生产条件，以及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13.</w:t>
      </w:r>
      <w:r>
        <w:rPr>
          <w:rFonts w:hint="eastAsia"/>
          <w:bCs/>
          <w:szCs w:val="30"/>
        </w:rPr>
        <w:t>依法组织生产安全事故调查处理，监督事故查处和责任追究落实情况。组织协调开展自然灾害类突发事件的调查评估工作。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14.</w:t>
      </w:r>
      <w:r>
        <w:rPr>
          <w:rFonts w:hint="eastAsia"/>
          <w:bCs/>
          <w:szCs w:val="30"/>
        </w:rPr>
        <w:t>按照国家和省、市、区党委、政府的要求部署，开展应急管理方面的区域性交流与合作。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15.</w:t>
      </w:r>
      <w:r>
        <w:rPr>
          <w:rFonts w:hint="eastAsia"/>
          <w:bCs/>
          <w:szCs w:val="30"/>
        </w:rPr>
        <w:t>制定应急物资储备和应急救援装备规划并组织实施，会同区发展和改革局（区粮食和物资储备局）等部门建立健全应急物资信息平台和调拨制度，在救灾时统一调度。</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16.</w:t>
      </w:r>
      <w:r>
        <w:rPr>
          <w:rFonts w:hint="eastAsia"/>
          <w:bCs/>
          <w:szCs w:val="30"/>
        </w:rPr>
        <w:t>负责应急管理、安全生产宣传教育和培训工作，组织指导应急管理、安全生产相关科学技术的推广应用和信息化建设工作。</w:t>
      </w:r>
    </w:p>
    <w:p>
      <w:pPr>
        <w:pStyle w:val="2"/>
        <w:adjustRightInd w:val="0"/>
        <w:snapToGrid w:val="0"/>
        <w:spacing w:line="600" w:lineRule="exact"/>
        <w:ind w:firstLine="630" w:firstLineChars="210"/>
        <w:rPr>
          <w:rFonts w:hint="eastAsia"/>
          <w:bCs/>
          <w:szCs w:val="30"/>
        </w:rPr>
      </w:pPr>
      <w:r>
        <w:rPr>
          <w:rFonts w:hint="eastAsia"/>
          <w:bCs/>
          <w:szCs w:val="30"/>
          <w:lang w:val="en-US" w:eastAsia="zh-CN"/>
        </w:rPr>
        <w:t>17.</w:t>
      </w:r>
      <w:r>
        <w:rPr>
          <w:rFonts w:hint="eastAsia"/>
          <w:bCs/>
          <w:szCs w:val="30"/>
        </w:rPr>
        <w:t>完成区委、区政府和上级部门交办的其他任务。</w:t>
      </w:r>
    </w:p>
    <w:p>
      <w:pPr>
        <w:pStyle w:val="2"/>
        <w:adjustRightInd w:val="0"/>
        <w:snapToGrid w:val="0"/>
        <w:spacing w:line="600" w:lineRule="exact"/>
        <w:ind w:firstLine="630" w:firstLineChars="210"/>
        <w:rPr>
          <w:rFonts w:hint="eastAsia" w:ascii="楷体" w:hAnsi="楷体" w:eastAsia="楷体"/>
          <w:bCs/>
          <w:szCs w:val="30"/>
        </w:rPr>
      </w:pPr>
      <w:r>
        <w:rPr>
          <w:rFonts w:hint="eastAsia" w:ascii="楷体" w:hAnsi="楷体" w:eastAsia="楷体"/>
          <w:bCs/>
          <w:szCs w:val="30"/>
        </w:rPr>
        <w:t>（二）</w:t>
      </w:r>
      <w:r>
        <w:rPr>
          <w:rFonts w:hint="eastAsia" w:ascii="楷体" w:hAnsi="楷体" w:eastAsia="楷体"/>
          <w:bCs/>
          <w:szCs w:val="30"/>
          <w:lang w:val="en-US" w:eastAsia="zh-CN"/>
        </w:rPr>
        <w:t>2019</w:t>
      </w:r>
      <w:r>
        <w:rPr>
          <w:rFonts w:hint="eastAsia" w:ascii="楷体" w:hAnsi="楷体" w:eastAsia="楷体"/>
          <w:bCs/>
          <w:szCs w:val="30"/>
        </w:rPr>
        <w:t>年度重点工作任务介绍</w:t>
      </w:r>
    </w:p>
    <w:p>
      <w:pPr>
        <w:pStyle w:val="2"/>
        <w:adjustRightInd w:val="0"/>
        <w:snapToGrid w:val="0"/>
        <w:spacing w:line="600" w:lineRule="exact"/>
        <w:ind w:firstLine="630" w:firstLineChars="210"/>
        <w:rPr>
          <w:rFonts w:hint="eastAsia" w:eastAsia="仿宋_GB2312"/>
          <w:bCs/>
          <w:szCs w:val="30"/>
          <w:lang w:eastAsia="zh-CN"/>
        </w:rPr>
      </w:pPr>
      <w:r>
        <w:rPr>
          <w:rFonts w:hint="eastAsia"/>
          <w:bCs/>
          <w:szCs w:val="30"/>
          <w:lang w:val="en-US" w:eastAsia="zh-CN"/>
        </w:rPr>
        <w:t>2019</w:t>
      </w:r>
      <w:r>
        <w:rPr>
          <w:rFonts w:hint="eastAsia"/>
          <w:bCs/>
          <w:szCs w:val="30"/>
        </w:rPr>
        <w:t>年</w:t>
      </w:r>
      <w:r>
        <w:rPr>
          <w:rFonts w:hint="eastAsia"/>
          <w:bCs/>
          <w:szCs w:val="30"/>
          <w:lang w:eastAsia="zh-CN"/>
        </w:rPr>
        <w:t>，全区安全生产形势持续稳定、组织领导更加有力、专项整治持续深入、重要时段管控有效、安全工程三年行动计划稳步推进、应急处置初见成效、机构改革有序开展</w:t>
      </w:r>
    </w:p>
    <w:p>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二、部门基本情况</w:t>
      </w:r>
    </w:p>
    <w:p>
      <w:pPr>
        <w:spacing w:line="600" w:lineRule="exact"/>
        <w:ind w:firstLine="600" w:firstLineChars="200"/>
        <w:rPr>
          <w:rFonts w:hint="eastAsia" w:ascii="楷体" w:hAnsi="楷体" w:eastAsia="楷体"/>
          <w:sz w:val="30"/>
          <w:szCs w:val="30"/>
        </w:rPr>
      </w:pPr>
      <w:r>
        <w:rPr>
          <w:rFonts w:hint="eastAsia" w:ascii="楷体" w:hAnsi="楷体" w:eastAsia="楷体"/>
          <w:sz w:val="30"/>
          <w:szCs w:val="30"/>
        </w:rPr>
        <w:t>（一）部门决算单位构成</w:t>
      </w:r>
    </w:p>
    <w:p>
      <w:pPr>
        <w:spacing w:line="600" w:lineRule="exact"/>
        <w:ind w:firstLine="600" w:firstLineChars="200"/>
        <w:rPr>
          <w:rFonts w:hint="default" w:ascii="仿宋_GB2312" w:eastAsia="仿宋_GB2312"/>
          <w:sz w:val="30"/>
          <w:szCs w:val="30"/>
          <w:lang w:val="en-US" w:eastAsia="zh-CN"/>
        </w:rPr>
      </w:pPr>
      <w:r>
        <w:rPr>
          <w:rFonts w:hint="eastAsia" w:ascii="仿宋_GB2312" w:eastAsia="仿宋_GB2312"/>
          <w:sz w:val="30"/>
          <w:szCs w:val="30"/>
          <w:lang w:eastAsia="zh-CN"/>
        </w:rPr>
        <w:t>昆明市盘龙区应急管理局</w:t>
      </w:r>
      <w:r>
        <w:rPr>
          <w:rFonts w:hint="eastAsia" w:ascii="仿宋_GB2312" w:eastAsia="仿宋_GB2312"/>
          <w:sz w:val="30"/>
          <w:szCs w:val="30"/>
        </w:rPr>
        <w:t>纳入</w:t>
      </w:r>
      <w:r>
        <w:rPr>
          <w:rFonts w:hint="eastAsia" w:ascii="仿宋_GB2312" w:eastAsia="仿宋_GB2312"/>
          <w:sz w:val="30"/>
          <w:szCs w:val="30"/>
          <w:lang w:val="en-US" w:eastAsia="zh-CN"/>
        </w:rPr>
        <w:t>2019</w:t>
      </w:r>
      <w:r>
        <w:rPr>
          <w:rFonts w:hint="eastAsia" w:ascii="仿宋_GB2312" w:eastAsia="仿宋_GB2312"/>
          <w:sz w:val="30"/>
          <w:szCs w:val="30"/>
        </w:rPr>
        <w:t>年度部门决算编报的单位共</w:t>
      </w:r>
      <w:r>
        <w:rPr>
          <w:rFonts w:hint="eastAsia" w:ascii="仿宋_GB2312" w:eastAsia="仿宋_GB2312"/>
          <w:sz w:val="30"/>
          <w:szCs w:val="30"/>
          <w:lang w:val="en-US" w:eastAsia="zh-CN"/>
        </w:rPr>
        <w:t>1</w:t>
      </w:r>
      <w:r>
        <w:rPr>
          <w:rFonts w:hint="eastAsia" w:ascii="仿宋_GB2312" w:eastAsia="仿宋_GB2312"/>
          <w:sz w:val="30"/>
          <w:szCs w:val="30"/>
        </w:rPr>
        <w:t>个。其中：行政单位</w:t>
      </w:r>
      <w:r>
        <w:rPr>
          <w:rFonts w:hint="eastAsia" w:ascii="仿宋_GB2312" w:eastAsia="仿宋_GB2312"/>
          <w:sz w:val="30"/>
          <w:szCs w:val="30"/>
          <w:lang w:val="en-US" w:eastAsia="zh-CN"/>
        </w:rPr>
        <w:t>1</w:t>
      </w:r>
      <w:r>
        <w:rPr>
          <w:rFonts w:hint="eastAsia" w:ascii="仿宋_GB2312" w:eastAsia="仿宋_GB2312"/>
          <w:sz w:val="30"/>
          <w:szCs w:val="30"/>
        </w:rPr>
        <w:t>个，参照公务员法管理的事业单位</w:t>
      </w:r>
      <w:r>
        <w:rPr>
          <w:rFonts w:hint="eastAsia" w:ascii="仿宋_GB2312" w:eastAsia="仿宋_GB2312"/>
          <w:bCs/>
          <w:sz w:val="30"/>
          <w:szCs w:val="30"/>
          <w:lang w:val="en-US" w:eastAsia="zh-CN"/>
        </w:rPr>
        <w:t>0</w:t>
      </w:r>
      <w:r>
        <w:rPr>
          <w:rFonts w:hint="eastAsia" w:ascii="仿宋_GB2312" w:eastAsia="仿宋_GB2312"/>
          <w:sz w:val="30"/>
          <w:szCs w:val="30"/>
        </w:rPr>
        <w:t>个，其他事业单位</w:t>
      </w:r>
      <w:r>
        <w:rPr>
          <w:rFonts w:hint="eastAsia" w:ascii="仿宋_GB2312" w:eastAsia="仿宋_GB2312"/>
          <w:sz w:val="30"/>
          <w:szCs w:val="30"/>
          <w:lang w:val="en-US" w:eastAsia="zh-CN"/>
        </w:rPr>
        <w:t>0</w:t>
      </w:r>
      <w:r>
        <w:rPr>
          <w:rFonts w:hint="eastAsia" w:ascii="仿宋_GB2312" w:eastAsia="仿宋_GB2312"/>
          <w:sz w:val="30"/>
          <w:szCs w:val="30"/>
        </w:rPr>
        <w:t>个。</w:t>
      </w:r>
      <w:r>
        <w:rPr>
          <w:rFonts w:hint="eastAsia" w:ascii="仿宋_GB2312" w:eastAsia="仿宋_GB2312"/>
          <w:sz w:val="30"/>
          <w:szCs w:val="30"/>
          <w:lang w:eastAsia="zh-CN"/>
        </w:rPr>
        <w:t>根据上述职责，昆明市盘龙区应急管理局机关设10个内设机构：</w:t>
      </w:r>
      <w:r>
        <w:rPr>
          <w:rFonts w:hint="eastAsia" w:ascii="仿宋_GB2312" w:eastAsia="仿宋_GB2312"/>
          <w:sz w:val="30"/>
          <w:szCs w:val="30"/>
          <w:lang w:val="en-US" w:eastAsia="zh-CN"/>
        </w:rPr>
        <w:t>1.办公室；2.应急指挥中心；3.救援协调和预案管理科；4.火灾救援管理科；5.危险化学品安全监督管理科；6.安全生产监督管理和执法科；7.安全生产综合协调科；8.减灾救灾和物资保障科（财务科）；9.政策法规和宣传信息科；10.组织人事科（机关党支部）。</w:t>
      </w:r>
    </w:p>
    <w:p>
      <w:pPr>
        <w:ind w:firstLine="600" w:firstLineChars="200"/>
        <w:rPr>
          <w:rFonts w:hint="eastAsia" w:ascii="楷体" w:hAnsi="楷体" w:eastAsia="楷体"/>
          <w:sz w:val="30"/>
          <w:szCs w:val="30"/>
          <w:highlight w:val="none"/>
        </w:rPr>
      </w:pPr>
      <w:r>
        <w:rPr>
          <w:rFonts w:hint="eastAsia" w:ascii="楷体" w:hAnsi="楷体" w:eastAsia="楷体"/>
          <w:sz w:val="30"/>
          <w:szCs w:val="30"/>
          <w:highlight w:val="none"/>
        </w:rPr>
        <w:t xml:space="preserve">（二）部门人员和车辆的编制及实有情况 </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eastAsia="仿宋_GB2312"/>
          <w:sz w:val="30"/>
          <w:szCs w:val="30"/>
          <w:highlight w:val="none"/>
          <w:lang w:eastAsia="zh-CN"/>
        </w:rPr>
        <w:t>昆明市盘龙区应急管理局</w:t>
      </w:r>
      <w:r>
        <w:rPr>
          <w:rFonts w:hint="eastAsia" w:ascii="仿宋_GB2312" w:eastAsia="仿宋_GB2312"/>
          <w:sz w:val="30"/>
          <w:szCs w:val="30"/>
          <w:highlight w:val="none"/>
          <w:lang w:val="en-US" w:eastAsia="zh-CN"/>
        </w:rPr>
        <w:t>2019</w:t>
      </w:r>
      <w:r>
        <w:rPr>
          <w:rFonts w:hint="eastAsia" w:ascii="仿宋_GB2312" w:eastAsia="仿宋_GB2312"/>
          <w:sz w:val="30"/>
          <w:szCs w:val="30"/>
          <w:highlight w:val="none"/>
        </w:rPr>
        <w:t>年末实有人员编制</w:t>
      </w:r>
      <w:r>
        <w:rPr>
          <w:rFonts w:hint="eastAsia" w:ascii="仿宋_GB2312" w:eastAsia="仿宋_GB2312"/>
          <w:sz w:val="30"/>
          <w:szCs w:val="30"/>
          <w:highlight w:val="none"/>
          <w:lang w:val="en-US" w:eastAsia="zh-CN"/>
        </w:rPr>
        <w:t>16</w:t>
      </w:r>
      <w:r>
        <w:rPr>
          <w:rFonts w:hint="eastAsia" w:ascii="仿宋_GB2312" w:hAnsi="宋体" w:eastAsia="仿宋_GB2312" w:cs="Arial"/>
          <w:kern w:val="0"/>
          <w:sz w:val="30"/>
          <w:szCs w:val="30"/>
          <w:highlight w:val="none"/>
        </w:rPr>
        <w:t>人。其中：行政编制</w:t>
      </w:r>
      <w:r>
        <w:rPr>
          <w:rFonts w:hint="eastAsia" w:ascii="仿宋_GB2312" w:eastAsia="仿宋_GB2312"/>
          <w:sz w:val="30"/>
          <w:szCs w:val="30"/>
          <w:highlight w:val="none"/>
          <w:lang w:val="en-US" w:eastAsia="zh-CN"/>
        </w:rPr>
        <w:t>16</w:t>
      </w:r>
      <w:r>
        <w:rPr>
          <w:rFonts w:hint="eastAsia" w:ascii="仿宋_GB2312" w:hAnsi="宋体" w:eastAsia="仿宋_GB2312" w:cs="Arial"/>
          <w:kern w:val="0"/>
          <w:sz w:val="30"/>
          <w:szCs w:val="30"/>
          <w:highlight w:val="none"/>
        </w:rPr>
        <w:t>人（含行政工勤编制</w:t>
      </w:r>
      <w:r>
        <w:rPr>
          <w:rFonts w:hint="eastAsia" w:ascii="仿宋_GB2312" w:eastAsia="仿宋_GB2312"/>
          <w:sz w:val="30"/>
          <w:szCs w:val="30"/>
          <w:highlight w:val="none"/>
          <w:lang w:val="en-US" w:eastAsia="zh-CN"/>
        </w:rPr>
        <w:t>1</w:t>
      </w:r>
      <w:r>
        <w:rPr>
          <w:rFonts w:hint="eastAsia" w:ascii="仿宋_GB2312" w:hAnsi="宋体" w:eastAsia="仿宋_GB2312" w:cs="Arial"/>
          <w:kern w:val="0"/>
          <w:sz w:val="30"/>
          <w:szCs w:val="30"/>
          <w:highlight w:val="none"/>
        </w:rPr>
        <w:t>人），事业编制</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人（含参公管理事业编制</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人）；在职在编实有行政人员</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人（含行政工勤人员</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人），事业人员</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人（含参公管理事业人员</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其他人员</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离退休人员</w:t>
      </w:r>
      <w:r>
        <w:rPr>
          <w:rFonts w:hint="eastAsia" w:ascii="仿宋_GB2312" w:eastAsia="仿宋_GB2312"/>
          <w:sz w:val="30"/>
          <w:szCs w:val="30"/>
          <w:highlight w:val="none"/>
          <w:lang w:val="en-US" w:eastAsia="zh-CN"/>
        </w:rPr>
        <w:t>4</w:t>
      </w:r>
      <w:r>
        <w:rPr>
          <w:rFonts w:hint="eastAsia" w:ascii="仿宋_GB2312" w:hAnsi="宋体" w:eastAsia="仿宋_GB2312" w:cs="Arial"/>
          <w:kern w:val="0"/>
          <w:sz w:val="30"/>
          <w:szCs w:val="30"/>
          <w:highlight w:val="none"/>
        </w:rPr>
        <w:t>人。其中：离休</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人，退休</w:t>
      </w:r>
      <w:r>
        <w:rPr>
          <w:rFonts w:hint="eastAsia" w:ascii="仿宋_GB2312" w:eastAsia="仿宋_GB2312"/>
          <w:sz w:val="30"/>
          <w:szCs w:val="30"/>
          <w:highlight w:val="none"/>
          <w:lang w:val="en-US" w:eastAsia="zh-CN"/>
        </w:rPr>
        <w:t>4</w:t>
      </w:r>
      <w:r>
        <w:rPr>
          <w:rFonts w:hint="eastAsia" w:ascii="仿宋_GB2312" w:hAnsi="宋体" w:eastAsia="仿宋_GB2312" w:cs="Arial"/>
          <w:kern w:val="0"/>
          <w:sz w:val="30"/>
          <w:szCs w:val="30"/>
          <w:highlight w:val="none"/>
        </w:rPr>
        <w:t>人。</w:t>
      </w:r>
    </w:p>
    <w:p>
      <w:pPr>
        <w:spacing w:line="60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实有车辆编制</w:t>
      </w:r>
      <w:r>
        <w:rPr>
          <w:rFonts w:hint="eastAsia" w:ascii="仿宋_GB2312" w:eastAsia="仿宋_GB2312"/>
          <w:sz w:val="30"/>
          <w:szCs w:val="30"/>
          <w:lang w:val="en-US" w:eastAsia="zh-CN"/>
        </w:rPr>
        <w:t>1</w:t>
      </w:r>
      <w:r>
        <w:rPr>
          <w:rFonts w:hint="eastAsia" w:ascii="仿宋_GB2312" w:hAnsi="宋体" w:eastAsia="仿宋_GB2312" w:cs="Arial"/>
          <w:kern w:val="0"/>
          <w:sz w:val="30"/>
          <w:szCs w:val="30"/>
        </w:rPr>
        <w:t>辆，在编实有车辆</w:t>
      </w:r>
      <w:r>
        <w:rPr>
          <w:rFonts w:hint="eastAsia" w:ascii="仿宋_GB2312" w:eastAsia="仿宋_GB2312"/>
          <w:sz w:val="30"/>
          <w:szCs w:val="30"/>
          <w:lang w:val="en-US" w:eastAsia="zh-CN"/>
        </w:rPr>
        <w:t>1</w:t>
      </w:r>
      <w:r>
        <w:rPr>
          <w:rFonts w:hint="eastAsia" w:ascii="仿宋_GB2312" w:hAnsi="宋体" w:eastAsia="仿宋_GB2312" w:cs="Arial"/>
          <w:kern w:val="0"/>
          <w:sz w:val="30"/>
          <w:szCs w:val="30"/>
        </w:rPr>
        <w:t>辆。</w:t>
      </w:r>
    </w:p>
    <w:p>
      <w:pPr>
        <w:jc w:val="cente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2019</w:t>
      </w:r>
      <w:r>
        <w:rPr>
          <w:rFonts w:hint="eastAsia" w:ascii="黑体" w:hAnsi="黑体" w:eastAsia="黑体"/>
          <w:sz w:val="32"/>
          <w:szCs w:val="32"/>
        </w:rPr>
        <w:t>年度部门决算表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一、收入支出决算总表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二、收入决算表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三、支出决算表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四、财政拨款收入支出决算总表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五、一般公共预算财政拨款收入支出决算表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六、一般公共预算财政拨款基本支出决算表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七、政府性基金预算财政拨款收入支出决算表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八、“三公”经费、行政参公单位机关运行经费情况表</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九、项目支出绩效自评</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十、项目支出绩效自评报告</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十一、部门整体支出绩效自评报告</w:t>
      </w:r>
    </w:p>
    <w:p>
      <w:pPr>
        <w:spacing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eastAsia="zh-CN"/>
        </w:rPr>
        <w:t>十二、部门整体支出绩效自评报表</w:t>
      </w:r>
    </w:p>
    <w:p>
      <w:pPr>
        <w:jc w:val="center"/>
        <w:rPr>
          <w:rFonts w:hint="eastAsia" w:ascii="黑体" w:hAnsi="黑体" w:eastAsia="黑体"/>
          <w:sz w:val="32"/>
          <w:szCs w:val="32"/>
        </w:rPr>
      </w:pPr>
      <w:r>
        <w:rPr>
          <w:rFonts w:hint="eastAsia" w:ascii="黑体" w:hAnsi="黑体" w:eastAsia="黑体"/>
          <w:sz w:val="32"/>
          <w:szCs w:val="32"/>
        </w:rPr>
        <w:t>第三部</w:t>
      </w:r>
      <w:r>
        <w:rPr>
          <w:rFonts w:hint="eastAsia" w:ascii="黑体" w:hAnsi="黑体" w:eastAsia="黑体"/>
          <w:sz w:val="32"/>
          <w:szCs w:val="32"/>
          <w:lang w:eastAsia="zh-CN"/>
        </w:rPr>
        <w:t>分</w:t>
      </w:r>
      <w:r>
        <w:rPr>
          <w:rFonts w:hint="eastAsia" w:ascii="黑体" w:hAnsi="黑体" w:eastAsia="黑体"/>
          <w:sz w:val="32"/>
          <w:szCs w:val="32"/>
        </w:rPr>
        <w:t xml:space="preserve">  </w:t>
      </w:r>
      <w:r>
        <w:rPr>
          <w:rFonts w:hint="eastAsia" w:ascii="黑体" w:hAnsi="黑体" w:eastAsia="黑体"/>
          <w:sz w:val="32"/>
          <w:szCs w:val="32"/>
          <w:lang w:val="en-US" w:eastAsia="zh-CN"/>
        </w:rPr>
        <w:t>2019</w:t>
      </w:r>
      <w:r>
        <w:rPr>
          <w:rFonts w:hint="eastAsia" w:ascii="黑体" w:hAnsi="黑体" w:eastAsia="黑体"/>
          <w:sz w:val="32"/>
          <w:szCs w:val="32"/>
        </w:rPr>
        <w:t>年度部门决算情况说明</w:t>
      </w:r>
    </w:p>
    <w:p>
      <w:pPr>
        <w:ind w:firstLine="600" w:firstLineChars="200"/>
        <w:jc w:val="left"/>
        <w:rPr>
          <w:rFonts w:hint="eastAsia" w:ascii="黑体" w:hAnsi="黑体" w:eastAsia="黑体"/>
          <w:sz w:val="30"/>
          <w:szCs w:val="30"/>
        </w:rPr>
      </w:pPr>
      <w:r>
        <w:rPr>
          <w:rFonts w:hint="eastAsia" w:ascii="黑体" w:hAnsi="黑体" w:eastAsia="黑体"/>
          <w:sz w:val="30"/>
          <w:szCs w:val="30"/>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rPr>
      </w:pPr>
      <w:r>
        <w:rPr>
          <w:rFonts w:hint="eastAsia" w:ascii="仿宋_GB2312" w:eastAsia="仿宋_GB2312"/>
          <w:sz w:val="30"/>
          <w:szCs w:val="30"/>
          <w:highlight w:val="none"/>
          <w:lang w:eastAsia="zh-CN"/>
        </w:rPr>
        <w:t>昆明市盘龙区应急管理局</w:t>
      </w:r>
      <w:r>
        <w:rPr>
          <w:rFonts w:hint="eastAsia" w:ascii="仿宋_GB2312" w:eastAsia="仿宋_GB2312"/>
          <w:sz w:val="30"/>
          <w:szCs w:val="30"/>
          <w:highlight w:val="none"/>
          <w:lang w:val="en-US" w:eastAsia="zh-CN"/>
        </w:rPr>
        <w:t>2019</w:t>
      </w:r>
      <w:r>
        <w:rPr>
          <w:rFonts w:hint="eastAsia" w:ascii="仿宋_GB2312" w:eastAsia="仿宋_GB2312"/>
          <w:sz w:val="30"/>
          <w:szCs w:val="30"/>
          <w:highlight w:val="none"/>
        </w:rPr>
        <w:t>年度收入合计</w:t>
      </w:r>
      <w:r>
        <w:rPr>
          <w:rFonts w:hint="eastAsia" w:ascii="仿宋_GB2312" w:eastAsia="仿宋_GB2312"/>
          <w:sz w:val="30"/>
          <w:szCs w:val="30"/>
          <w:highlight w:val="none"/>
          <w:lang w:val="en-US" w:eastAsia="zh-CN"/>
        </w:rPr>
        <w:t>632.85</w:t>
      </w:r>
      <w:r>
        <w:rPr>
          <w:rFonts w:hint="eastAsia" w:ascii="仿宋_GB2312" w:eastAsia="仿宋_GB2312"/>
          <w:sz w:val="30"/>
          <w:szCs w:val="30"/>
          <w:highlight w:val="none"/>
        </w:rPr>
        <w:t>万元。其中：财政拨款收入</w:t>
      </w:r>
      <w:r>
        <w:rPr>
          <w:rFonts w:hint="eastAsia" w:ascii="仿宋_GB2312" w:eastAsia="仿宋_GB2312"/>
          <w:sz w:val="30"/>
          <w:szCs w:val="30"/>
          <w:highlight w:val="none"/>
          <w:lang w:val="en-US" w:eastAsia="zh-CN"/>
        </w:rPr>
        <w:t>632.85</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100</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%；事业收入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（含教育收费</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%；附属单位缴款收</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%；其他收入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%。与上年对比</w:t>
      </w:r>
      <w:r>
        <w:rPr>
          <w:rFonts w:hint="eastAsia" w:ascii="仿宋_GB2312" w:eastAsia="仿宋_GB2312"/>
          <w:sz w:val="30"/>
          <w:szCs w:val="30"/>
          <w:highlight w:val="none"/>
          <w:lang w:eastAsia="zh-CN"/>
        </w:rPr>
        <w:t>增幅为</w:t>
      </w:r>
      <w:r>
        <w:rPr>
          <w:rFonts w:hint="eastAsia" w:ascii="仿宋_GB2312" w:eastAsia="仿宋_GB2312"/>
          <w:sz w:val="30"/>
          <w:szCs w:val="30"/>
          <w:highlight w:val="none"/>
          <w:lang w:val="en-US" w:eastAsia="zh-CN"/>
        </w:rPr>
        <w:t>18.99%</w:t>
      </w:r>
      <w:r>
        <w:rPr>
          <w:rFonts w:hint="eastAsia" w:ascii="仿宋_GB2312" w:eastAsia="仿宋_GB2312"/>
          <w:sz w:val="30"/>
          <w:szCs w:val="30"/>
          <w:highlight w:val="none"/>
        </w:rPr>
        <w:t>，主要原因分析</w:t>
      </w:r>
      <w:r>
        <w:rPr>
          <w:rFonts w:hint="eastAsia" w:ascii="仿宋_GB2312" w:eastAsia="仿宋_GB2312"/>
          <w:sz w:val="30"/>
          <w:szCs w:val="30"/>
          <w:highlight w:val="none"/>
          <w:lang w:eastAsia="zh-CN"/>
        </w:rPr>
        <w:t>为增加了人员经费</w:t>
      </w:r>
      <w:r>
        <w:rPr>
          <w:rFonts w:hint="eastAsia" w:ascii="仿宋_GB2312" w:eastAsia="仿宋_GB2312"/>
          <w:sz w:val="30"/>
          <w:szCs w:val="30"/>
          <w:highlight w:val="none"/>
        </w:rPr>
        <w:t>。</w:t>
      </w:r>
    </w:p>
    <w:p>
      <w:pPr>
        <w:ind w:firstLine="600" w:firstLineChars="200"/>
        <w:jc w:val="left"/>
        <w:rPr>
          <w:rFonts w:hint="eastAsia" w:ascii="黑体" w:hAnsi="黑体" w:eastAsia="黑体"/>
          <w:sz w:val="30"/>
          <w:szCs w:val="30"/>
        </w:rPr>
      </w:pPr>
      <w:r>
        <w:rPr>
          <w:rFonts w:hint="eastAsia" w:ascii="黑体" w:hAnsi="黑体" w:eastAsia="黑体"/>
          <w:sz w:val="30"/>
          <w:szCs w:val="30"/>
        </w:rPr>
        <w:t>二、支出决算情况说明</w:t>
      </w:r>
    </w:p>
    <w:p>
      <w:pPr>
        <w:spacing w:line="600" w:lineRule="exact"/>
        <w:ind w:firstLine="600" w:firstLineChars="200"/>
        <w:rPr>
          <w:rFonts w:hint="eastAsia" w:ascii="仿宋_GB2312" w:hAnsi="宋体" w:eastAsia="仿宋_GB2312" w:cs="Arial"/>
          <w:kern w:val="0"/>
          <w:sz w:val="30"/>
          <w:szCs w:val="30"/>
        </w:rPr>
      </w:pPr>
      <w:r>
        <w:rPr>
          <w:rFonts w:hint="eastAsia" w:ascii="仿宋_GB2312" w:eastAsia="仿宋_GB2312"/>
          <w:sz w:val="30"/>
          <w:szCs w:val="30"/>
          <w:lang w:eastAsia="zh-CN"/>
        </w:rPr>
        <w:t>昆明市盘龙区应急管理局</w:t>
      </w:r>
      <w:r>
        <w:rPr>
          <w:rFonts w:hint="eastAsia" w:ascii="仿宋_GB2312" w:eastAsia="仿宋_GB2312"/>
          <w:sz w:val="30"/>
          <w:szCs w:val="30"/>
          <w:lang w:val="en-US" w:eastAsia="zh-CN"/>
        </w:rPr>
        <w:t>2019</w:t>
      </w:r>
      <w:r>
        <w:rPr>
          <w:rFonts w:hint="eastAsia" w:ascii="仿宋_GB2312" w:eastAsia="仿宋_GB2312"/>
          <w:sz w:val="30"/>
          <w:szCs w:val="30"/>
        </w:rPr>
        <w:t>年度支出合计</w:t>
      </w:r>
      <w:r>
        <w:rPr>
          <w:rFonts w:hint="eastAsia" w:ascii="仿宋_GB2312" w:eastAsia="仿宋_GB2312"/>
          <w:sz w:val="30"/>
          <w:szCs w:val="30"/>
          <w:lang w:val="en-US" w:eastAsia="zh-CN"/>
        </w:rPr>
        <w:t>619.87</w:t>
      </w:r>
      <w:r>
        <w:rPr>
          <w:rFonts w:hint="eastAsia" w:ascii="仿宋_GB2312" w:eastAsia="仿宋_GB2312"/>
          <w:sz w:val="30"/>
          <w:szCs w:val="30"/>
        </w:rPr>
        <w:t>万元。其中：</w:t>
      </w:r>
      <w:r>
        <w:rPr>
          <w:rFonts w:hint="eastAsia" w:ascii="仿宋_GB2312" w:hAnsi="宋体" w:eastAsia="仿宋_GB2312" w:cs="Arial"/>
          <w:kern w:val="0"/>
          <w:sz w:val="30"/>
          <w:szCs w:val="30"/>
        </w:rPr>
        <w:t>基本支出</w:t>
      </w:r>
      <w:r>
        <w:rPr>
          <w:rFonts w:hint="eastAsia" w:ascii="仿宋_GB2312" w:eastAsia="仿宋_GB2312"/>
          <w:sz w:val="30"/>
          <w:szCs w:val="30"/>
          <w:lang w:val="en-US" w:eastAsia="zh-CN"/>
        </w:rPr>
        <w:t>319.26</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51.50</w:t>
      </w:r>
      <w:r>
        <w:rPr>
          <w:rFonts w:hint="eastAsia" w:ascii="仿宋_GB2312" w:hAnsi="宋体" w:eastAsia="仿宋_GB2312" w:cs="Arial"/>
          <w:kern w:val="0"/>
          <w:sz w:val="30"/>
          <w:szCs w:val="30"/>
        </w:rPr>
        <w:t>％；项目支出</w:t>
      </w:r>
      <w:r>
        <w:rPr>
          <w:rFonts w:hint="eastAsia" w:ascii="仿宋_GB2312" w:eastAsia="仿宋_GB2312"/>
          <w:sz w:val="30"/>
          <w:szCs w:val="30"/>
          <w:lang w:val="en-US" w:eastAsia="zh-CN"/>
        </w:rPr>
        <w:t>300.61</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48.50</w:t>
      </w:r>
      <w:r>
        <w:rPr>
          <w:rFonts w:hint="eastAsia" w:ascii="仿宋_GB2312" w:hAnsi="宋体" w:eastAsia="仿宋_GB2312" w:cs="Arial"/>
          <w:kern w:val="0"/>
          <w:sz w:val="30"/>
          <w:szCs w:val="30"/>
        </w:rPr>
        <w:t>％；上缴上级支出、经营支出、对附属单位补助支出共</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w:t>
      </w:r>
      <w:r>
        <w:rPr>
          <w:rFonts w:hint="eastAsia" w:ascii="仿宋_GB2312" w:eastAsia="仿宋_GB2312"/>
          <w:sz w:val="30"/>
          <w:szCs w:val="30"/>
        </w:rPr>
        <w:t>与上年对比</w:t>
      </w:r>
      <w:r>
        <w:rPr>
          <w:rFonts w:hint="eastAsia" w:ascii="仿宋_GB2312" w:eastAsia="仿宋_GB2312"/>
          <w:sz w:val="30"/>
          <w:szCs w:val="30"/>
          <w:lang w:eastAsia="zh-CN"/>
        </w:rPr>
        <w:t>增加</w:t>
      </w:r>
      <w:r>
        <w:rPr>
          <w:rFonts w:hint="eastAsia" w:ascii="仿宋_GB2312" w:eastAsia="仿宋_GB2312"/>
          <w:sz w:val="30"/>
          <w:szCs w:val="30"/>
          <w:lang w:val="en-US" w:eastAsia="zh-CN"/>
        </w:rPr>
        <w:t>16.55%</w:t>
      </w:r>
      <w:r>
        <w:rPr>
          <w:rFonts w:hint="eastAsia" w:ascii="仿宋_GB2312" w:eastAsia="仿宋_GB2312"/>
          <w:sz w:val="30"/>
          <w:szCs w:val="30"/>
        </w:rPr>
        <w:t>,主要原因</w:t>
      </w:r>
      <w:r>
        <w:rPr>
          <w:rFonts w:hint="eastAsia" w:ascii="仿宋_GB2312" w:eastAsia="仿宋_GB2312"/>
          <w:sz w:val="30"/>
          <w:szCs w:val="30"/>
          <w:lang w:eastAsia="zh-CN"/>
        </w:rPr>
        <w:t>为机构改革引起的项目经费增加和人员经费的增加</w:t>
      </w:r>
      <w:r>
        <w:rPr>
          <w:rFonts w:hint="eastAsia" w:ascii="仿宋_GB2312" w:eastAsia="仿宋_GB2312"/>
          <w:sz w:val="30"/>
          <w:szCs w:val="30"/>
        </w:rPr>
        <w:t>。</w:t>
      </w:r>
    </w:p>
    <w:p>
      <w:pPr>
        <w:widowControl/>
        <w:snapToGrid w:val="0"/>
        <w:spacing w:before="100" w:after="100" w:line="600" w:lineRule="exact"/>
        <w:ind w:firstLine="600" w:firstLineChars="200"/>
        <w:jc w:val="left"/>
        <w:rPr>
          <w:rFonts w:hint="eastAsia" w:ascii="楷体" w:hAnsi="楷体" w:eastAsia="楷体"/>
          <w:sz w:val="30"/>
          <w:szCs w:val="30"/>
        </w:rPr>
      </w:pPr>
      <w:r>
        <w:rPr>
          <w:rFonts w:hint="eastAsia" w:ascii="楷体" w:hAnsi="楷体" w:eastAsia="楷体"/>
          <w:sz w:val="30"/>
          <w:szCs w:val="30"/>
        </w:rPr>
        <w:t>（一）基本支出情况</w:t>
      </w:r>
    </w:p>
    <w:p>
      <w:pPr>
        <w:widowControl/>
        <w:snapToGrid w:val="0"/>
        <w:spacing w:before="100" w:after="100" w:line="600" w:lineRule="exact"/>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2019</w:t>
      </w:r>
      <w:r>
        <w:rPr>
          <w:rFonts w:hint="eastAsia" w:ascii="仿宋_GB2312" w:eastAsia="仿宋_GB2312"/>
          <w:sz w:val="30"/>
          <w:szCs w:val="30"/>
        </w:rPr>
        <w:t>年度用于保障</w:t>
      </w:r>
      <w:r>
        <w:rPr>
          <w:rFonts w:hint="eastAsia" w:ascii="仿宋_GB2312" w:eastAsia="仿宋_GB2312"/>
          <w:sz w:val="30"/>
          <w:szCs w:val="30"/>
          <w:lang w:eastAsia="zh-CN"/>
        </w:rPr>
        <w:t>昆明市盘龙区应急管理局</w:t>
      </w:r>
      <w:r>
        <w:rPr>
          <w:rFonts w:hint="eastAsia" w:ascii="仿宋_GB2312" w:eastAsia="仿宋_GB2312"/>
          <w:sz w:val="30"/>
          <w:szCs w:val="30"/>
        </w:rPr>
        <w:t>机关、下属事业单位等机构正常运转的日常支出</w:t>
      </w:r>
      <w:r>
        <w:rPr>
          <w:rFonts w:hint="eastAsia" w:ascii="仿宋_GB2312" w:eastAsia="仿宋_GB2312"/>
          <w:sz w:val="30"/>
          <w:szCs w:val="30"/>
          <w:lang w:val="en-US" w:eastAsia="zh-CN"/>
        </w:rPr>
        <w:t>319.26</w:t>
      </w:r>
      <w:r>
        <w:rPr>
          <w:rFonts w:hint="eastAsia" w:ascii="仿宋_GB2312" w:eastAsia="仿宋_GB2312"/>
          <w:sz w:val="30"/>
          <w:szCs w:val="30"/>
        </w:rPr>
        <w:t>万元。与上年对比</w:t>
      </w:r>
      <w:r>
        <w:rPr>
          <w:rFonts w:hint="eastAsia" w:ascii="仿宋_GB2312" w:eastAsia="仿宋_GB2312"/>
          <w:sz w:val="30"/>
          <w:szCs w:val="30"/>
          <w:lang w:eastAsia="zh-CN"/>
        </w:rPr>
        <w:t>增加</w:t>
      </w:r>
      <w:r>
        <w:rPr>
          <w:rFonts w:hint="eastAsia" w:ascii="仿宋_GB2312" w:eastAsia="仿宋_GB2312"/>
          <w:sz w:val="30"/>
          <w:szCs w:val="30"/>
          <w:lang w:val="en-US" w:eastAsia="zh-CN"/>
        </w:rPr>
        <w:t>25.16%</w:t>
      </w:r>
      <w:r>
        <w:rPr>
          <w:rFonts w:hint="eastAsia" w:ascii="仿宋_GB2312" w:eastAsia="仿宋_GB2312"/>
          <w:sz w:val="30"/>
          <w:szCs w:val="30"/>
        </w:rPr>
        <w:t>,主要原因</w:t>
      </w:r>
      <w:r>
        <w:rPr>
          <w:rFonts w:hint="eastAsia" w:ascii="仿宋_GB2312" w:eastAsia="仿宋_GB2312"/>
          <w:sz w:val="30"/>
          <w:szCs w:val="30"/>
          <w:lang w:eastAsia="zh-CN"/>
        </w:rPr>
        <w:t>为人员经费的增加，</w:t>
      </w:r>
      <w:r>
        <w:rPr>
          <w:rFonts w:hint="eastAsia" w:ascii="仿宋_GB2312" w:eastAsia="仿宋_GB2312"/>
          <w:sz w:val="30"/>
          <w:szCs w:val="30"/>
        </w:rPr>
        <w:t>包括基本工资、津贴补贴等人员经费支出占基本支出的</w:t>
      </w:r>
      <w:r>
        <w:rPr>
          <w:rFonts w:hint="eastAsia" w:ascii="仿宋_GB2312" w:eastAsia="仿宋_GB2312"/>
          <w:sz w:val="30"/>
          <w:szCs w:val="30"/>
          <w:lang w:val="en-US" w:eastAsia="zh-CN"/>
        </w:rPr>
        <w:t>89.08</w:t>
      </w:r>
      <w:r>
        <w:rPr>
          <w:rFonts w:hint="eastAsia" w:ascii="仿宋_GB2312" w:eastAsia="仿宋_GB2312"/>
          <w:sz w:val="30"/>
          <w:szCs w:val="30"/>
        </w:rPr>
        <w:t>％；办公费、印刷费、水电费、办公设备购置等日常公用经费占基本支出的</w:t>
      </w:r>
      <w:r>
        <w:rPr>
          <w:rFonts w:hint="eastAsia" w:ascii="仿宋_GB2312" w:eastAsia="仿宋_GB2312"/>
          <w:sz w:val="30"/>
          <w:szCs w:val="30"/>
          <w:lang w:val="en-US" w:eastAsia="zh-CN"/>
        </w:rPr>
        <w:t>10.92</w:t>
      </w:r>
      <w:r>
        <w:rPr>
          <w:rFonts w:hint="eastAsia" w:ascii="仿宋_GB2312" w:eastAsia="仿宋_GB2312"/>
          <w:sz w:val="30"/>
          <w:szCs w:val="30"/>
        </w:rPr>
        <w:t>％。</w:t>
      </w:r>
    </w:p>
    <w:p>
      <w:pPr>
        <w:widowControl/>
        <w:snapToGrid w:val="0"/>
        <w:spacing w:before="100" w:after="100" w:line="600" w:lineRule="exact"/>
        <w:ind w:firstLine="600" w:firstLineChars="200"/>
        <w:jc w:val="left"/>
        <w:rPr>
          <w:rFonts w:hint="eastAsia" w:ascii="楷体" w:hAnsi="楷体" w:eastAsia="楷体"/>
          <w:sz w:val="30"/>
          <w:szCs w:val="30"/>
        </w:rPr>
      </w:pPr>
      <w:r>
        <w:rPr>
          <w:rFonts w:hint="eastAsia" w:ascii="楷体" w:hAnsi="楷体" w:eastAsia="楷体"/>
          <w:sz w:val="30"/>
          <w:szCs w:val="30"/>
        </w:rPr>
        <w:t>（二）项目支出情况</w:t>
      </w:r>
    </w:p>
    <w:p>
      <w:pPr>
        <w:widowControl/>
        <w:snapToGrid w:val="0"/>
        <w:spacing w:before="100" w:after="100"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val="en-US" w:eastAsia="zh-CN"/>
        </w:rPr>
        <w:t>2019</w:t>
      </w:r>
      <w:r>
        <w:rPr>
          <w:rFonts w:hint="eastAsia" w:ascii="仿宋_GB2312" w:eastAsia="仿宋_GB2312"/>
          <w:sz w:val="30"/>
          <w:szCs w:val="30"/>
        </w:rPr>
        <w:t>年度用于保障</w:t>
      </w:r>
      <w:r>
        <w:rPr>
          <w:rFonts w:hint="eastAsia" w:ascii="仿宋_GB2312" w:eastAsia="仿宋_GB2312"/>
          <w:sz w:val="30"/>
          <w:szCs w:val="30"/>
          <w:lang w:eastAsia="zh-CN"/>
        </w:rPr>
        <w:t>昆明市盘龙区应急管理局</w:t>
      </w:r>
      <w:r>
        <w:rPr>
          <w:rFonts w:hint="eastAsia" w:ascii="仿宋_GB2312" w:eastAsia="仿宋_GB2312"/>
          <w:sz w:val="30"/>
          <w:szCs w:val="30"/>
        </w:rPr>
        <w:t>机构、下属事业单位等机构为完成特定的行政工作任务或事业发展目标，用于专项业务工作的经费支出</w:t>
      </w:r>
      <w:r>
        <w:rPr>
          <w:rFonts w:hint="eastAsia" w:ascii="仿宋_GB2312" w:eastAsia="仿宋_GB2312"/>
          <w:sz w:val="30"/>
          <w:szCs w:val="30"/>
          <w:lang w:val="en-US" w:eastAsia="zh-CN"/>
        </w:rPr>
        <w:t>300.61</w:t>
      </w:r>
      <w:r>
        <w:rPr>
          <w:rFonts w:hint="eastAsia" w:ascii="仿宋_GB2312" w:eastAsia="仿宋_GB2312"/>
          <w:sz w:val="30"/>
          <w:szCs w:val="30"/>
        </w:rPr>
        <w:t>万元。与上年对比</w:t>
      </w:r>
      <w:r>
        <w:rPr>
          <w:rFonts w:hint="eastAsia" w:ascii="仿宋_GB2312" w:eastAsia="仿宋_GB2312"/>
          <w:sz w:val="30"/>
          <w:szCs w:val="30"/>
          <w:lang w:eastAsia="zh-CN"/>
        </w:rPr>
        <w:t>增加</w:t>
      </w:r>
      <w:r>
        <w:rPr>
          <w:rFonts w:hint="eastAsia" w:ascii="仿宋_GB2312" w:eastAsia="仿宋_GB2312"/>
          <w:sz w:val="30"/>
          <w:szCs w:val="30"/>
          <w:lang w:val="en-US" w:eastAsia="zh-CN"/>
        </w:rPr>
        <w:t>23.95%,</w:t>
      </w:r>
      <w:r>
        <w:rPr>
          <w:rFonts w:hint="eastAsia" w:ascii="仿宋_GB2312" w:eastAsia="仿宋_GB2312"/>
          <w:sz w:val="30"/>
          <w:szCs w:val="30"/>
        </w:rPr>
        <w:t>主要原因</w:t>
      </w:r>
      <w:r>
        <w:rPr>
          <w:rFonts w:hint="eastAsia" w:ascii="仿宋_GB2312" w:eastAsia="仿宋_GB2312"/>
          <w:sz w:val="30"/>
          <w:szCs w:val="30"/>
          <w:lang w:eastAsia="zh-CN"/>
        </w:rPr>
        <w:t>为机构改革引起的项目经费增加</w:t>
      </w:r>
      <w:r>
        <w:rPr>
          <w:rFonts w:hint="eastAsia" w:ascii="仿宋_GB2312" w:eastAsia="仿宋_GB2312"/>
          <w:sz w:val="30"/>
          <w:szCs w:val="30"/>
        </w:rPr>
        <w:t>。具体项目开支及开展工作情况</w:t>
      </w:r>
      <w:r>
        <w:rPr>
          <w:rFonts w:hint="eastAsia" w:ascii="仿宋_GB2312" w:eastAsia="仿宋_GB2312"/>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1.应急管理工作经费6.04万元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2.救灾工作经费0.71万元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3.业务补助经费64.43万元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4.社区安全专干补助经费37.08万元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5.安全生产监管工作经费165.35万元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6.2019年安全生产转移支付资金13万元</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lang w:val="en-US" w:eastAsia="zh-CN"/>
        </w:rPr>
      </w:pPr>
      <w:r>
        <w:rPr>
          <w:rFonts w:hint="eastAsia" w:ascii="仿宋_GB2312" w:eastAsia="仿宋_GB2312"/>
          <w:sz w:val="30"/>
          <w:szCs w:val="30"/>
          <w:lang w:val="en-US" w:eastAsia="zh-CN"/>
        </w:rPr>
        <w:t>7.2019年防灾减灾救灾专项转移支付资金14万元</w:t>
      </w:r>
    </w:p>
    <w:p>
      <w:pPr>
        <w:widowControl/>
        <w:snapToGrid w:val="0"/>
        <w:spacing w:before="100" w:after="100" w:line="600" w:lineRule="exact"/>
        <w:ind w:firstLine="600" w:firstLineChars="200"/>
        <w:jc w:val="left"/>
        <w:rPr>
          <w:rFonts w:hint="eastAsia" w:ascii="黑体" w:hAnsi="黑体" w:eastAsia="黑体"/>
          <w:sz w:val="30"/>
          <w:szCs w:val="30"/>
        </w:rPr>
      </w:pPr>
      <w:r>
        <w:rPr>
          <w:rFonts w:hint="eastAsia" w:ascii="黑体" w:hAnsi="黑体" w:eastAsia="黑体"/>
          <w:sz w:val="30"/>
          <w:szCs w:val="30"/>
        </w:rPr>
        <w:t>三、一般公共预算财政拨款支出决算情况说明</w:t>
      </w:r>
    </w:p>
    <w:p>
      <w:pPr>
        <w:widowControl/>
        <w:snapToGrid w:val="0"/>
        <w:spacing w:before="100" w:after="100" w:line="600" w:lineRule="exact"/>
        <w:ind w:firstLine="600" w:firstLineChars="200"/>
        <w:jc w:val="left"/>
        <w:rPr>
          <w:rFonts w:hint="eastAsia" w:ascii="楷体" w:hAnsi="楷体" w:eastAsia="楷体"/>
          <w:sz w:val="30"/>
          <w:szCs w:val="30"/>
        </w:rPr>
      </w:pPr>
      <w:r>
        <w:rPr>
          <w:rFonts w:hint="eastAsia" w:ascii="楷体" w:hAnsi="楷体" w:eastAsia="楷体"/>
          <w:sz w:val="30"/>
          <w:szCs w:val="30"/>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rPr>
      </w:pPr>
      <w:r>
        <w:rPr>
          <w:rFonts w:hint="eastAsia" w:ascii="仿宋_GB2312" w:eastAsia="仿宋_GB2312"/>
          <w:sz w:val="30"/>
          <w:szCs w:val="30"/>
          <w:lang w:eastAsia="zh-CN"/>
        </w:rPr>
        <w:t>昆明市盘龙区应急管理局</w:t>
      </w: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年度一般公共预算财政拨款支出</w:t>
      </w:r>
      <w:r>
        <w:rPr>
          <w:rFonts w:hint="eastAsia" w:ascii="仿宋_GB2312" w:hAnsi="宋体" w:eastAsia="仿宋_GB2312" w:cs="Arial"/>
          <w:kern w:val="0"/>
          <w:sz w:val="30"/>
          <w:szCs w:val="30"/>
          <w:lang w:val="en-US" w:eastAsia="zh-CN"/>
        </w:rPr>
        <w:t>619.68</w:t>
      </w:r>
      <w:r>
        <w:rPr>
          <w:rFonts w:hint="eastAsia" w:ascii="仿宋_GB2312" w:hAnsi="宋体" w:eastAsia="仿宋_GB2312" w:cs="Arial"/>
          <w:kern w:val="0"/>
          <w:sz w:val="30"/>
          <w:szCs w:val="30"/>
        </w:rPr>
        <w:t>万元,占本年支出合计的</w:t>
      </w:r>
      <w:r>
        <w:rPr>
          <w:rFonts w:hint="eastAsia" w:ascii="仿宋_GB2312" w:eastAsia="仿宋_GB2312"/>
          <w:sz w:val="30"/>
          <w:szCs w:val="30"/>
          <w:lang w:val="en-US" w:eastAsia="zh-CN"/>
        </w:rPr>
        <w:t>100</w:t>
      </w:r>
      <w:r>
        <w:rPr>
          <w:rFonts w:hint="eastAsia" w:ascii="仿宋_GB2312" w:hAnsi="宋体" w:eastAsia="仿宋_GB2312" w:cs="Arial"/>
          <w:kern w:val="0"/>
          <w:sz w:val="30"/>
          <w:szCs w:val="30"/>
        </w:rPr>
        <w:t>%。与上年对比</w:t>
      </w:r>
      <w:r>
        <w:rPr>
          <w:rFonts w:hint="eastAsia" w:ascii="仿宋_GB2312" w:hAnsi="宋体" w:eastAsia="仿宋_GB2312" w:cs="Arial"/>
          <w:kern w:val="0"/>
          <w:sz w:val="30"/>
          <w:szCs w:val="30"/>
          <w:lang w:eastAsia="zh-CN"/>
        </w:rPr>
        <w:t>增加</w:t>
      </w:r>
      <w:r>
        <w:rPr>
          <w:rFonts w:hint="eastAsia" w:ascii="仿宋_GB2312" w:hAnsi="宋体" w:eastAsia="仿宋_GB2312" w:cs="Arial"/>
          <w:kern w:val="0"/>
          <w:sz w:val="30"/>
          <w:szCs w:val="30"/>
          <w:lang w:val="en-US" w:eastAsia="zh-CN"/>
        </w:rPr>
        <w:t>15.15%</w:t>
      </w:r>
      <w:r>
        <w:rPr>
          <w:rFonts w:hint="eastAsia" w:ascii="仿宋_GB2312" w:eastAsia="仿宋_GB2312"/>
          <w:sz w:val="30"/>
          <w:szCs w:val="30"/>
        </w:rPr>
        <w:t>,主要</w:t>
      </w:r>
      <w:r>
        <w:rPr>
          <w:rFonts w:hint="eastAsia" w:ascii="仿宋_GB2312" w:hAnsi="宋体" w:eastAsia="仿宋_GB2312" w:cs="Arial"/>
          <w:kern w:val="0"/>
          <w:sz w:val="30"/>
          <w:szCs w:val="30"/>
        </w:rPr>
        <w:t>原因</w:t>
      </w:r>
      <w:r>
        <w:rPr>
          <w:rFonts w:hint="eastAsia" w:ascii="仿宋_GB2312" w:hAnsi="宋体" w:eastAsia="仿宋_GB2312" w:cs="Arial"/>
          <w:kern w:val="0"/>
          <w:sz w:val="30"/>
          <w:szCs w:val="30"/>
          <w:lang w:eastAsia="zh-CN"/>
        </w:rPr>
        <w:t>为机构改革增加转移支付资金以及人员经费的增加</w:t>
      </w:r>
      <w:r>
        <w:rPr>
          <w:rFonts w:hint="eastAsia" w:ascii="仿宋_GB2312" w:hAnsi="宋体" w:eastAsia="仿宋_GB2312" w:cs="Arial"/>
          <w:kern w:val="0"/>
          <w:sz w:val="30"/>
          <w:szCs w:val="30"/>
        </w:rPr>
        <w:t>。</w:t>
      </w:r>
    </w:p>
    <w:p>
      <w:pPr>
        <w:widowControl/>
        <w:snapToGrid w:val="0"/>
        <w:spacing w:before="100" w:after="100" w:line="600" w:lineRule="exact"/>
        <w:ind w:firstLine="600" w:firstLineChars="200"/>
        <w:jc w:val="left"/>
        <w:rPr>
          <w:rFonts w:hint="eastAsia"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widowControl/>
        <w:snapToGrid w:val="0"/>
        <w:spacing w:before="100" w:after="100" w:line="360" w:lineRule="auto"/>
        <w:ind w:firstLine="600" w:firstLineChars="2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rPr>
        <w:t>1.一般公共服务（类）支出</w:t>
      </w:r>
      <w:r>
        <w:rPr>
          <w:rFonts w:hint="eastAsia" w:ascii="仿宋_GB2312" w:hAnsi="宋体" w:eastAsia="仿宋_GB2312" w:cs="Arial"/>
          <w:kern w:val="0"/>
          <w:sz w:val="30"/>
          <w:szCs w:val="30"/>
          <w:lang w:val="en-US" w:eastAsia="zh-CN"/>
        </w:rPr>
        <w:t>619.68</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100</w:t>
      </w:r>
      <w:r>
        <w:rPr>
          <w:rFonts w:hint="eastAsia" w:ascii="仿宋_GB2312" w:eastAsia="仿宋_GB2312"/>
          <w:sz w:val="30"/>
          <w:szCs w:val="30"/>
        </w:rPr>
        <w:t>%。</w:t>
      </w:r>
      <w:r>
        <w:rPr>
          <w:rFonts w:hint="eastAsia" w:ascii="仿宋_GB2312" w:hAnsi="宋体" w:eastAsia="仿宋_GB2312" w:cs="Arial"/>
          <w:kern w:val="0"/>
          <w:sz w:val="30"/>
          <w:szCs w:val="30"/>
        </w:rPr>
        <w:t>主要用于</w:t>
      </w:r>
      <w:r>
        <w:rPr>
          <w:rFonts w:hint="eastAsia" w:ascii="仿宋_GB2312" w:hAnsi="宋体" w:eastAsia="仿宋_GB2312" w:cs="Arial"/>
          <w:kern w:val="0"/>
          <w:sz w:val="30"/>
          <w:szCs w:val="30"/>
          <w:lang w:eastAsia="zh-CN"/>
        </w:rPr>
        <w:t>社会保障和就业支出</w:t>
      </w:r>
      <w:r>
        <w:rPr>
          <w:rFonts w:hint="eastAsia" w:ascii="仿宋_GB2312" w:hAnsi="宋体" w:eastAsia="仿宋_GB2312" w:cs="Arial"/>
          <w:kern w:val="0"/>
          <w:sz w:val="30"/>
          <w:szCs w:val="30"/>
          <w:lang w:val="en-US" w:eastAsia="zh-CN"/>
        </w:rPr>
        <w:t>-行政事业单位离退休-未归口管理的行政单位离退休（35.04万元）、机关事业单位基本养老保险缴费支出（24.77万元）</w:t>
      </w:r>
      <w:r>
        <w:rPr>
          <w:rFonts w:hint="eastAsia" w:ascii="仿宋_GB2312" w:hAnsi="宋体" w:eastAsia="仿宋_GB2312" w:cs="Arial"/>
          <w:kern w:val="0"/>
          <w:sz w:val="30"/>
          <w:szCs w:val="30"/>
          <w:lang w:eastAsia="zh-CN"/>
        </w:rPr>
        <w:t>；卫生健康支出</w:t>
      </w:r>
      <w:r>
        <w:rPr>
          <w:rFonts w:hint="eastAsia" w:ascii="仿宋_GB2312" w:hAnsi="宋体" w:eastAsia="仿宋_GB2312" w:cs="Arial"/>
          <w:kern w:val="0"/>
          <w:sz w:val="30"/>
          <w:szCs w:val="30"/>
          <w:lang w:val="en-US" w:eastAsia="zh-CN"/>
        </w:rPr>
        <w:t>-行政事业单位医疗-行政单位医疗（15.37万元）、公务员医疗补助（8.85万元）；</w:t>
      </w:r>
      <w:r>
        <w:rPr>
          <w:rFonts w:hint="eastAsia" w:ascii="仿宋_GB2312" w:hAnsi="宋体" w:eastAsia="仿宋_GB2312" w:cs="Arial"/>
          <w:kern w:val="0"/>
          <w:sz w:val="30"/>
          <w:szCs w:val="30"/>
          <w:lang w:eastAsia="zh-CN"/>
        </w:rPr>
        <w:t>住房保障支出</w:t>
      </w:r>
      <w:r>
        <w:rPr>
          <w:rFonts w:hint="eastAsia" w:ascii="仿宋_GB2312" w:hAnsi="宋体" w:eastAsia="仿宋_GB2312" w:cs="Arial"/>
          <w:kern w:val="0"/>
          <w:sz w:val="30"/>
          <w:szCs w:val="30"/>
          <w:lang w:val="en-US" w:eastAsia="zh-CN"/>
        </w:rPr>
        <w:t>-住房改革支出-住房公积金（23.</w:t>
      </w:r>
      <w:bookmarkStart w:id="0" w:name="_GoBack"/>
      <w:bookmarkEnd w:id="0"/>
      <w:r>
        <w:rPr>
          <w:rFonts w:hint="eastAsia" w:ascii="仿宋_GB2312" w:hAnsi="宋体" w:eastAsia="仿宋_GB2312" w:cs="Arial"/>
          <w:kern w:val="0"/>
          <w:sz w:val="30"/>
          <w:szCs w:val="30"/>
          <w:lang w:val="en-US" w:eastAsia="zh-CN"/>
        </w:rPr>
        <w:t>68万元）；</w:t>
      </w:r>
      <w:r>
        <w:rPr>
          <w:rFonts w:hint="eastAsia" w:ascii="仿宋_GB2312" w:hAnsi="宋体" w:eastAsia="仿宋_GB2312" w:cs="Arial"/>
          <w:kern w:val="0"/>
          <w:sz w:val="30"/>
          <w:szCs w:val="30"/>
          <w:lang w:eastAsia="zh-CN"/>
        </w:rPr>
        <w:t>灾害防治及应急管理支出</w:t>
      </w:r>
      <w:r>
        <w:rPr>
          <w:rFonts w:hint="eastAsia" w:ascii="仿宋_GB2312" w:hAnsi="宋体" w:eastAsia="仿宋_GB2312" w:cs="Arial"/>
          <w:kern w:val="0"/>
          <w:sz w:val="30"/>
          <w:szCs w:val="30"/>
          <w:lang w:val="en-US" w:eastAsia="zh-CN"/>
        </w:rPr>
        <w:t>-应经管理事务-行政运行（211.35万元）、一般行政管理事务（273.61万元）、安全监管（13万元），</w:t>
      </w:r>
      <w:r>
        <w:rPr>
          <w:rFonts w:hint="eastAsia" w:ascii="仿宋_GB2312" w:hAnsi="宋体" w:eastAsia="仿宋_GB2312" w:cs="Arial"/>
          <w:kern w:val="0"/>
          <w:sz w:val="30"/>
          <w:szCs w:val="30"/>
          <w:lang w:eastAsia="zh-CN"/>
        </w:rPr>
        <w:t>灾害防治及应急管理支出</w:t>
      </w:r>
      <w:r>
        <w:rPr>
          <w:rFonts w:hint="eastAsia" w:ascii="仿宋_GB2312" w:hAnsi="宋体" w:eastAsia="仿宋_GB2312" w:cs="Arial"/>
          <w:kern w:val="0"/>
          <w:sz w:val="30"/>
          <w:szCs w:val="30"/>
          <w:lang w:val="en-US" w:eastAsia="zh-CN"/>
        </w:rPr>
        <w:t>-其他灾害防治及应急管理支出-其他灾害防治及应急管理支出（14万元）。</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2.外交（类）支出</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0</w:t>
      </w:r>
      <w:r>
        <w:rPr>
          <w:rFonts w:hint="eastAsia" w:ascii="仿宋_GB2312" w:eastAsia="仿宋_GB2312"/>
          <w:sz w:val="30"/>
          <w:szCs w:val="30"/>
        </w:rPr>
        <w:t>%。</w:t>
      </w:r>
    </w:p>
    <w:p>
      <w:pPr>
        <w:widowControl/>
        <w:snapToGrid w:val="0"/>
        <w:spacing w:before="100" w:after="100" w:line="360" w:lineRule="auto"/>
        <w:ind w:firstLine="600" w:firstLineChars="200"/>
        <w:jc w:val="left"/>
        <w:rPr>
          <w:rFonts w:hint="eastAsia" w:ascii="仿宋_GB2312" w:eastAsia="仿宋_GB2312"/>
          <w:sz w:val="30"/>
          <w:szCs w:val="30"/>
        </w:rPr>
      </w:pPr>
      <w:r>
        <w:rPr>
          <w:rFonts w:hint="eastAsia" w:ascii="仿宋_GB2312" w:hAnsi="宋体" w:eastAsia="仿宋_GB2312" w:cs="Arial"/>
          <w:kern w:val="0"/>
          <w:sz w:val="30"/>
          <w:szCs w:val="30"/>
        </w:rPr>
        <w:t>3.国防（类）支出</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0</w:t>
      </w:r>
      <w:r>
        <w:rPr>
          <w:rFonts w:hint="eastAsia" w:ascii="仿宋_GB2312" w:eastAsia="仿宋_GB2312"/>
          <w:sz w:val="30"/>
          <w:szCs w:val="30"/>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4.公共安全（类）支出</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0</w:t>
      </w:r>
      <w:r>
        <w:rPr>
          <w:rFonts w:hint="eastAsia" w:ascii="仿宋_GB2312" w:eastAsia="仿宋_GB2312"/>
          <w:sz w:val="30"/>
          <w:szCs w:val="30"/>
        </w:rPr>
        <w:t>%。</w:t>
      </w:r>
    </w:p>
    <w:p>
      <w:pPr>
        <w:widowControl/>
        <w:snapToGrid w:val="0"/>
        <w:spacing w:before="100" w:after="100" w:line="360" w:lineRule="auto"/>
        <w:ind w:firstLine="600" w:firstLineChars="200"/>
        <w:jc w:val="left"/>
        <w:rPr>
          <w:rFonts w:hint="eastAsia" w:ascii="黑体" w:hAnsi="黑体" w:eastAsia="黑体"/>
          <w:sz w:val="30"/>
          <w:szCs w:val="30"/>
        </w:rPr>
      </w:pPr>
      <w:r>
        <w:rPr>
          <w:rFonts w:hint="eastAsia" w:ascii="黑体" w:hAnsi="黑体" w:eastAsia="黑体"/>
          <w:sz w:val="30"/>
          <w:szCs w:val="30"/>
        </w:rPr>
        <w:t>四、一般公共预算财政拨款“三公”经费支出决算情况说明</w:t>
      </w:r>
    </w:p>
    <w:p>
      <w:pPr>
        <w:widowControl/>
        <w:snapToGrid w:val="0"/>
        <w:spacing w:before="100" w:after="100" w:line="360" w:lineRule="auto"/>
        <w:ind w:firstLine="600" w:firstLineChars="200"/>
        <w:jc w:val="left"/>
        <w:rPr>
          <w:rFonts w:hint="eastAsia" w:ascii="楷体" w:hAnsi="楷体" w:eastAsia="楷体"/>
          <w:sz w:val="30"/>
          <w:szCs w:val="30"/>
        </w:rPr>
      </w:pPr>
      <w:r>
        <w:rPr>
          <w:rFonts w:hint="eastAsia" w:ascii="楷体" w:hAnsi="楷体" w:eastAsia="楷体"/>
          <w:sz w:val="30"/>
          <w:szCs w:val="30"/>
        </w:rPr>
        <w:t>(一)</w:t>
      </w:r>
      <w:r>
        <w:rPr>
          <w:rFonts w:hint="eastAsia" w:ascii="黑体" w:hAnsi="黑体" w:eastAsia="黑体"/>
          <w:sz w:val="30"/>
          <w:szCs w:val="30"/>
        </w:rPr>
        <w:t xml:space="preserve"> </w:t>
      </w:r>
      <w:r>
        <w:rPr>
          <w:rFonts w:hint="eastAsia" w:ascii="楷体" w:hAnsi="楷体" w:eastAsia="楷体"/>
          <w:sz w:val="30"/>
          <w:szCs w:val="30"/>
        </w:rPr>
        <w:t>一般公共预算财政拨款“三公”经费支出决算总体情况</w:t>
      </w:r>
    </w:p>
    <w:p>
      <w:pPr>
        <w:widowControl/>
        <w:snapToGrid w:val="0"/>
        <w:spacing w:before="100" w:after="100"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eastAsia="zh-CN"/>
        </w:rPr>
        <w:t>昆明市盘龙区应急管理局</w:t>
      </w: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年度一般公共预算财政拨款“三公”经费支出预算为</w:t>
      </w:r>
      <w:r>
        <w:rPr>
          <w:rFonts w:hint="eastAsia" w:ascii="仿宋_GB2312" w:eastAsia="仿宋_GB2312"/>
          <w:sz w:val="30"/>
          <w:szCs w:val="30"/>
          <w:lang w:val="en-US" w:eastAsia="zh-CN"/>
        </w:rPr>
        <w:t>4.4万元</w:t>
      </w:r>
      <w:r>
        <w:rPr>
          <w:rFonts w:hint="eastAsia" w:ascii="仿宋_GB2312" w:eastAsia="仿宋_GB2312"/>
          <w:sz w:val="30"/>
          <w:szCs w:val="30"/>
        </w:rPr>
        <w:t>，支出决算为</w:t>
      </w:r>
      <w:r>
        <w:rPr>
          <w:rFonts w:hint="eastAsia" w:ascii="仿宋_GB2312" w:eastAsia="仿宋_GB2312"/>
          <w:sz w:val="30"/>
          <w:szCs w:val="30"/>
          <w:lang w:val="en-US" w:eastAsia="zh-CN"/>
        </w:rPr>
        <w:t>0.85万元</w:t>
      </w:r>
      <w:r>
        <w:rPr>
          <w:rFonts w:hint="eastAsia" w:ascii="仿宋_GB2312" w:eastAsia="仿宋_GB2312"/>
          <w:sz w:val="30"/>
          <w:szCs w:val="30"/>
        </w:rPr>
        <w:t>，完成预算的</w:t>
      </w:r>
      <w:r>
        <w:rPr>
          <w:rFonts w:hint="eastAsia" w:ascii="仿宋_GB2312" w:eastAsia="仿宋_GB2312"/>
          <w:sz w:val="30"/>
          <w:szCs w:val="30"/>
          <w:lang w:val="en-US" w:eastAsia="zh-CN"/>
        </w:rPr>
        <w:t>19.32</w:t>
      </w:r>
      <w:r>
        <w:rPr>
          <w:rFonts w:hint="eastAsia" w:ascii="仿宋_GB2312" w:eastAsia="仿宋_GB2312"/>
          <w:sz w:val="30"/>
          <w:szCs w:val="30"/>
        </w:rPr>
        <w:t>%。其中：因公出国（境）费支出决算为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%；公务用车购置及运行费支出决算为</w:t>
      </w:r>
      <w:r>
        <w:rPr>
          <w:rFonts w:hint="eastAsia" w:ascii="仿宋_GB2312" w:eastAsia="仿宋_GB2312"/>
          <w:sz w:val="30"/>
          <w:szCs w:val="30"/>
          <w:lang w:val="en-US" w:eastAsia="zh-CN"/>
        </w:rPr>
        <w:t>0.85</w:t>
      </w:r>
      <w:r>
        <w:rPr>
          <w:rFonts w:hint="eastAsia" w:ascii="仿宋_GB2312" w:eastAsia="仿宋_GB2312"/>
          <w:sz w:val="30"/>
          <w:szCs w:val="30"/>
        </w:rPr>
        <w:t>万元，完成预算的</w:t>
      </w:r>
      <w:r>
        <w:rPr>
          <w:rFonts w:hint="eastAsia" w:ascii="仿宋_GB2312" w:eastAsia="仿宋_GB2312"/>
          <w:sz w:val="30"/>
          <w:szCs w:val="30"/>
          <w:lang w:val="en-US" w:eastAsia="zh-CN"/>
        </w:rPr>
        <w:t>19.32</w:t>
      </w:r>
      <w:r>
        <w:rPr>
          <w:rFonts w:hint="eastAsia" w:ascii="仿宋_GB2312" w:eastAsia="仿宋_GB2312"/>
          <w:sz w:val="30"/>
          <w:szCs w:val="30"/>
        </w:rPr>
        <w:t>%；公务接待费支出决算为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年度一般公共预算财政拨款“三公”经费支出决算数小于预算数的主要原</w:t>
      </w:r>
      <w:r>
        <w:rPr>
          <w:rFonts w:hint="eastAsia" w:ascii="仿宋_GB2312" w:eastAsia="仿宋_GB2312"/>
          <w:sz w:val="30"/>
          <w:szCs w:val="30"/>
          <w:lang w:eastAsia="zh-CN"/>
        </w:rPr>
        <w:t>因根据车辆实际情况产生</w:t>
      </w:r>
      <w:r>
        <w:rPr>
          <w:rFonts w:hint="eastAsia" w:ascii="仿宋_GB2312" w:eastAsia="仿宋_GB2312"/>
          <w:sz w:val="30"/>
          <w:szCs w:val="30"/>
        </w:rPr>
        <w:t>。</w:t>
      </w:r>
    </w:p>
    <w:p>
      <w:pPr>
        <w:widowControl/>
        <w:snapToGrid w:val="0"/>
        <w:spacing w:before="100" w:after="100"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年度一般公共预算财政拨款“三公”经费支出决算数比</w:t>
      </w:r>
      <w:r>
        <w:rPr>
          <w:rFonts w:hint="eastAsia" w:ascii="仿宋_GB2312" w:eastAsia="仿宋_GB2312"/>
          <w:sz w:val="30"/>
          <w:szCs w:val="30"/>
          <w:lang w:val="en-US" w:eastAsia="zh-CN"/>
        </w:rPr>
        <w:t>2018</w:t>
      </w:r>
      <w:r>
        <w:rPr>
          <w:rFonts w:hint="eastAsia" w:ascii="仿宋_GB2312" w:eastAsia="仿宋_GB2312"/>
          <w:sz w:val="30"/>
          <w:szCs w:val="30"/>
        </w:rPr>
        <w:t>年减少</w:t>
      </w:r>
      <w:r>
        <w:rPr>
          <w:rFonts w:hint="eastAsia" w:ascii="仿宋_GB2312" w:eastAsia="仿宋_GB2312"/>
          <w:sz w:val="30"/>
          <w:szCs w:val="30"/>
          <w:lang w:val="en-US" w:eastAsia="zh-CN"/>
        </w:rPr>
        <w:t>6.64</w:t>
      </w:r>
      <w:r>
        <w:rPr>
          <w:rFonts w:hint="eastAsia" w:ascii="仿宋_GB2312" w:eastAsia="仿宋_GB2312"/>
          <w:sz w:val="30"/>
          <w:szCs w:val="30"/>
        </w:rPr>
        <w:t>万元，下降</w:t>
      </w:r>
      <w:r>
        <w:rPr>
          <w:rFonts w:hint="eastAsia" w:ascii="仿宋_GB2312" w:eastAsia="仿宋_GB2312"/>
          <w:sz w:val="30"/>
          <w:szCs w:val="30"/>
          <w:lang w:val="en-US" w:eastAsia="zh-CN"/>
        </w:rPr>
        <w:t>61.14</w:t>
      </w:r>
      <w:r>
        <w:rPr>
          <w:rFonts w:hint="eastAsia" w:ascii="仿宋_GB2312" w:eastAsia="仿宋_GB2312"/>
          <w:sz w:val="30"/>
          <w:szCs w:val="30"/>
        </w:rPr>
        <w:t>%。其中：因公出国（境）费支出决算增加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%；公务用车购置及运行费支出决算增加</w:t>
      </w:r>
      <w:r>
        <w:rPr>
          <w:rFonts w:hint="eastAsia" w:ascii="仿宋_GB2312" w:eastAsia="仿宋_GB2312"/>
          <w:sz w:val="30"/>
          <w:szCs w:val="30"/>
          <w:lang w:val="en-US" w:eastAsia="zh-CN"/>
        </w:rPr>
        <w:t>0.04</w:t>
      </w:r>
      <w:r>
        <w:rPr>
          <w:rFonts w:hint="eastAsia" w:ascii="仿宋_GB2312" w:eastAsia="仿宋_GB2312"/>
          <w:sz w:val="30"/>
          <w:szCs w:val="30"/>
        </w:rPr>
        <w:t>万元，增长</w:t>
      </w:r>
      <w:r>
        <w:rPr>
          <w:rFonts w:hint="eastAsia" w:ascii="仿宋_GB2312" w:eastAsia="仿宋_GB2312"/>
          <w:sz w:val="30"/>
          <w:szCs w:val="30"/>
          <w:lang w:val="en-US" w:eastAsia="zh-CN"/>
        </w:rPr>
        <w:t>0.9</w:t>
      </w:r>
      <w:r>
        <w:rPr>
          <w:rFonts w:hint="eastAsia" w:ascii="仿宋_GB2312" w:eastAsia="仿宋_GB2312"/>
          <w:sz w:val="30"/>
          <w:szCs w:val="30"/>
        </w:rPr>
        <w:t>%；公务接待费支出决算增加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年度一般公共预算财政拨款“三公”经费支出决算减少的主要原因</w:t>
      </w:r>
      <w:r>
        <w:rPr>
          <w:rFonts w:hint="eastAsia" w:ascii="仿宋_GB2312" w:eastAsia="仿宋_GB2312"/>
          <w:sz w:val="30"/>
          <w:szCs w:val="30"/>
          <w:lang w:eastAsia="zh-CN"/>
        </w:rPr>
        <w:t>根据车辆实际情况产生</w:t>
      </w:r>
      <w:r>
        <w:rPr>
          <w:rFonts w:hint="eastAsia" w:ascii="仿宋_GB2312" w:eastAsia="仿宋_GB2312"/>
          <w:sz w:val="30"/>
          <w:szCs w:val="30"/>
        </w:rPr>
        <w:t>。</w:t>
      </w:r>
    </w:p>
    <w:p>
      <w:pPr>
        <w:widowControl/>
        <w:snapToGrid w:val="0"/>
        <w:spacing w:before="100" w:after="100" w:line="360" w:lineRule="auto"/>
        <w:ind w:firstLine="600" w:firstLineChars="200"/>
        <w:jc w:val="left"/>
        <w:rPr>
          <w:rFonts w:hint="eastAsia"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一般公共预算财政拨款“三公”经费支出决算具体情况</w:t>
      </w:r>
    </w:p>
    <w:p>
      <w:pPr>
        <w:widowControl/>
        <w:snapToGrid w:val="0"/>
        <w:spacing w:before="100" w:after="100"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2019</w:t>
      </w:r>
      <w:r>
        <w:rPr>
          <w:rFonts w:hint="eastAsia" w:ascii="仿宋_GB2312" w:eastAsia="仿宋_GB2312"/>
          <w:sz w:val="30"/>
          <w:szCs w:val="30"/>
        </w:rPr>
        <w:t>年度一般公共预算财政拨款“三公”经费支出决算中，因公出国（境）费支出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%；公务用车购置及运行维护费支出</w:t>
      </w:r>
      <w:r>
        <w:rPr>
          <w:rFonts w:hint="eastAsia" w:ascii="仿宋_GB2312" w:eastAsia="仿宋_GB2312"/>
          <w:sz w:val="30"/>
          <w:szCs w:val="30"/>
          <w:lang w:val="en-US" w:eastAsia="zh-CN"/>
        </w:rPr>
        <w:t>0.85</w:t>
      </w:r>
      <w:r>
        <w:rPr>
          <w:rFonts w:hint="eastAsia" w:ascii="仿宋_GB2312" w:eastAsia="仿宋_GB2312"/>
          <w:sz w:val="30"/>
          <w:szCs w:val="30"/>
        </w:rPr>
        <w:t>万元，占</w:t>
      </w:r>
      <w:r>
        <w:rPr>
          <w:rFonts w:hint="eastAsia" w:ascii="仿宋_GB2312" w:eastAsia="仿宋_GB2312"/>
          <w:sz w:val="30"/>
          <w:szCs w:val="30"/>
          <w:lang w:val="en-US" w:eastAsia="zh-CN"/>
        </w:rPr>
        <w:t>100</w:t>
      </w:r>
      <w:r>
        <w:rPr>
          <w:rFonts w:hint="eastAsia" w:ascii="仿宋_GB2312" w:eastAsia="仿宋_GB2312"/>
          <w:sz w:val="30"/>
          <w:szCs w:val="30"/>
        </w:rPr>
        <w:t>%；公务接待费支出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%。具体情况如下：</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1.因公出国（境）费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万元，共安排因公出国（境）团组</w:t>
      </w:r>
      <w:r>
        <w:rPr>
          <w:rFonts w:hint="eastAsia" w:ascii="仿宋_GB2312" w:eastAsia="仿宋_GB2312"/>
          <w:sz w:val="30"/>
          <w:szCs w:val="30"/>
          <w:lang w:val="en-US" w:eastAsia="zh-CN"/>
        </w:rPr>
        <w:t>0</w:t>
      </w:r>
      <w:r>
        <w:rPr>
          <w:rFonts w:hint="eastAsia" w:ascii="仿宋_GB2312" w:eastAsia="仿宋_GB2312"/>
          <w:sz w:val="30"/>
          <w:szCs w:val="30"/>
        </w:rPr>
        <w:t>个，累计</w:t>
      </w:r>
      <w:r>
        <w:rPr>
          <w:rFonts w:hint="eastAsia" w:ascii="仿宋_GB2312" w:eastAsia="仿宋_GB2312"/>
          <w:sz w:val="30"/>
          <w:szCs w:val="30"/>
          <w:lang w:val="en-US" w:eastAsia="zh-CN"/>
        </w:rPr>
        <w:t>0</w:t>
      </w:r>
      <w:r>
        <w:rPr>
          <w:rFonts w:hint="eastAsia" w:ascii="仿宋_GB2312" w:eastAsia="仿宋_GB2312"/>
          <w:sz w:val="30"/>
          <w:szCs w:val="30"/>
        </w:rPr>
        <w:t>人次。开展内容包括：</w:t>
      </w:r>
      <w:r>
        <w:rPr>
          <w:rFonts w:hint="eastAsia" w:ascii="仿宋_GB2312" w:eastAsia="仿宋_GB2312"/>
          <w:sz w:val="30"/>
          <w:szCs w:val="30"/>
          <w:lang w:eastAsia="zh-CN"/>
        </w:rPr>
        <w:t>无</w:t>
      </w:r>
      <w:r>
        <w:rPr>
          <w:rFonts w:hint="eastAsia" w:ascii="仿宋_GB2312" w:eastAsia="仿宋_GB2312"/>
          <w:sz w:val="30"/>
          <w:szCs w:val="30"/>
        </w:rPr>
        <w:t>。</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2. 公务用车购置及运行维护费</w:t>
      </w:r>
      <w:r>
        <w:rPr>
          <w:rFonts w:hint="eastAsia" w:ascii="仿宋_GB2312" w:eastAsia="仿宋_GB2312"/>
          <w:sz w:val="30"/>
          <w:szCs w:val="30"/>
        </w:rPr>
        <w:t>支出</w:t>
      </w:r>
      <w:r>
        <w:rPr>
          <w:rFonts w:hint="eastAsia" w:ascii="仿宋_GB2312" w:eastAsia="仿宋_GB2312"/>
          <w:sz w:val="30"/>
          <w:szCs w:val="30"/>
          <w:lang w:val="en-US" w:eastAsia="zh-CN"/>
        </w:rPr>
        <w:t>0.85</w:t>
      </w:r>
      <w:r>
        <w:rPr>
          <w:rFonts w:hint="eastAsia" w:ascii="仿宋_GB2312" w:eastAsia="仿宋_GB2312"/>
          <w:sz w:val="30"/>
          <w:szCs w:val="30"/>
        </w:rPr>
        <w:t>万元。其中：</w:t>
      </w:r>
    </w:p>
    <w:p>
      <w:pPr>
        <w:widowControl/>
        <w:snapToGrid w:val="0"/>
        <w:spacing w:before="100" w:after="100" w:line="360" w:lineRule="auto"/>
        <w:ind w:firstLine="602" w:firstLineChars="200"/>
        <w:jc w:val="left"/>
        <w:rPr>
          <w:rFonts w:hint="eastAsia" w:ascii="仿宋_GB2312" w:eastAsia="仿宋_GB2312"/>
          <w:sz w:val="30"/>
          <w:szCs w:val="30"/>
          <w:lang w:eastAsia="zh-CN"/>
        </w:rPr>
      </w:pPr>
      <w:r>
        <w:rPr>
          <w:rFonts w:hint="eastAsia" w:ascii="仿宋_GB2312" w:eastAsia="仿宋_GB2312"/>
          <w:b/>
          <w:sz w:val="30"/>
          <w:szCs w:val="30"/>
        </w:rPr>
        <w:t>公务用车购置</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万元，购置车辆</w:t>
      </w:r>
      <w:r>
        <w:rPr>
          <w:rFonts w:hint="eastAsia" w:ascii="仿宋_GB2312" w:eastAsia="仿宋_GB2312"/>
          <w:sz w:val="30"/>
          <w:szCs w:val="30"/>
          <w:lang w:val="en-US" w:eastAsia="zh-CN"/>
        </w:rPr>
        <w:t>0</w:t>
      </w:r>
      <w:r>
        <w:rPr>
          <w:rFonts w:hint="eastAsia" w:ascii="仿宋_GB2312" w:eastAsia="仿宋_GB2312"/>
          <w:sz w:val="30"/>
          <w:szCs w:val="30"/>
        </w:rPr>
        <w:t>辆。具体购置车辆原因、情况等。</w:t>
      </w:r>
      <w:r>
        <w:rPr>
          <w:rFonts w:hint="eastAsia" w:ascii="仿宋_GB2312" w:eastAsia="仿宋_GB2312"/>
          <w:sz w:val="30"/>
          <w:szCs w:val="30"/>
          <w:lang w:eastAsia="zh-CN"/>
        </w:rPr>
        <w:t>无</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公务用车运行维护</w:t>
      </w:r>
      <w:r>
        <w:rPr>
          <w:rFonts w:hint="eastAsia" w:ascii="仿宋_GB2312" w:eastAsia="仿宋_GB2312"/>
          <w:sz w:val="30"/>
          <w:szCs w:val="30"/>
        </w:rPr>
        <w:t>支出</w:t>
      </w:r>
      <w:r>
        <w:rPr>
          <w:rFonts w:hint="eastAsia" w:ascii="仿宋_GB2312" w:eastAsia="仿宋_GB2312"/>
          <w:sz w:val="30"/>
          <w:szCs w:val="30"/>
          <w:lang w:val="en-US" w:eastAsia="zh-CN"/>
        </w:rPr>
        <w:t>0.85</w:t>
      </w:r>
      <w:r>
        <w:rPr>
          <w:rFonts w:hint="eastAsia" w:ascii="仿宋_GB2312" w:eastAsia="仿宋_GB2312"/>
          <w:sz w:val="30"/>
          <w:szCs w:val="30"/>
        </w:rPr>
        <w:t>万元，开支一般公共预算财政拨款的公务用车保有量为</w:t>
      </w:r>
      <w:r>
        <w:rPr>
          <w:rFonts w:hint="eastAsia" w:ascii="仿宋_GB2312" w:eastAsia="仿宋_GB2312"/>
          <w:sz w:val="30"/>
          <w:szCs w:val="30"/>
          <w:lang w:val="en-US" w:eastAsia="zh-CN"/>
        </w:rPr>
        <w:t>1</w:t>
      </w:r>
      <w:r>
        <w:rPr>
          <w:rFonts w:hint="eastAsia" w:ascii="仿宋_GB2312" w:eastAsia="仿宋_GB2312"/>
          <w:sz w:val="30"/>
          <w:szCs w:val="30"/>
        </w:rPr>
        <w:t>辆。主要用于</w:t>
      </w:r>
      <w:r>
        <w:rPr>
          <w:rFonts w:hint="eastAsia" w:ascii="仿宋_GB2312" w:eastAsia="仿宋_GB2312"/>
          <w:sz w:val="30"/>
          <w:szCs w:val="30"/>
          <w:lang w:eastAsia="zh-CN"/>
        </w:rPr>
        <w:t>公务出行</w:t>
      </w:r>
      <w:r>
        <w:rPr>
          <w:rFonts w:hint="eastAsia" w:ascii="仿宋_GB2312" w:eastAsia="仿宋_GB2312"/>
          <w:sz w:val="30"/>
          <w:szCs w:val="30"/>
        </w:rPr>
        <w:t>所需车辆燃料费、维修费、过路过桥费、保险费等。</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国内接待费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万元（其中：外事接待费支出</w:t>
      </w:r>
      <w:r>
        <w:rPr>
          <w:rFonts w:hint="eastAsia" w:ascii="仿宋_GB2312" w:eastAsia="仿宋_GB2312"/>
          <w:sz w:val="30"/>
          <w:szCs w:val="30"/>
          <w:lang w:val="en-US" w:eastAsia="zh-CN"/>
        </w:rPr>
        <w:t>0</w:t>
      </w:r>
      <w:r>
        <w:rPr>
          <w:rFonts w:hint="eastAsia" w:ascii="仿宋_GB2312" w:eastAsia="仿宋_GB2312"/>
          <w:sz w:val="30"/>
          <w:szCs w:val="30"/>
        </w:rPr>
        <w:t>万元），共安排国内公务接待</w:t>
      </w:r>
      <w:r>
        <w:rPr>
          <w:rFonts w:hint="eastAsia" w:ascii="仿宋_GB2312" w:eastAsia="仿宋_GB2312"/>
          <w:sz w:val="30"/>
          <w:szCs w:val="30"/>
          <w:lang w:val="en-US" w:eastAsia="zh-CN"/>
        </w:rPr>
        <w:t>0</w:t>
      </w:r>
      <w:r>
        <w:rPr>
          <w:rFonts w:hint="eastAsia" w:ascii="仿宋_GB2312" w:eastAsia="仿宋_GB2312"/>
          <w:sz w:val="30"/>
          <w:szCs w:val="30"/>
        </w:rPr>
        <w:t>批次（其中：外事接待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人（其中：外事接待人次</w:t>
      </w:r>
      <w:r>
        <w:rPr>
          <w:rFonts w:hint="eastAsia" w:ascii="仿宋_GB2312" w:eastAsia="仿宋_GB2312"/>
          <w:sz w:val="30"/>
          <w:szCs w:val="30"/>
          <w:lang w:val="en-US" w:eastAsia="zh-CN"/>
        </w:rPr>
        <w:t>0</w:t>
      </w:r>
      <w:r>
        <w:rPr>
          <w:rFonts w:hint="eastAsia" w:ascii="仿宋_GB2312" w:eastAsia="仿宋_GB2312"/>
          <w:sz w:val="30"/>
          <w:szCs w:val="30"/>
        </w:rPr>
        <w:t>人）。</w:t>
      </w:r>
      <w:r>
        <w:rPr>
          <w:rFonts w:hint="eastAsia" w:ascii="仿宋_GB2312" w:eastAsia="仿宋_GB2312"/>
          <w:sz w:val="30"/>
          <w:szCs w:val="30"/>
          <w:lang w:eastAsia="zh-CN"/>
        </w:rPr>
        <w:t>未</w:t>
      </w:r>
      <w:r>
        <w:rPr>
          <w:rFonts w:hint="eastAsia" w:ascii="仿宋_GB2312" w:eastAsia="仿宋_GB2312"/>
          <w:sz w:val="30"/>
          <w:szCs w:val="30"/>
        </w:rPr>
        <w:t>发生的接待支出。</w:t>
      </w:r>
    </w:p>
    <w:p>
      <w:pPr>
        <w:widowControl/>
        <w:snapToGrid w:val="0"/>
        <w:spacing w:before="100" w:after="100"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国（境）外接待费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万元，共安排国（境）外公务接待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w:t>
      </w:r>
      <w:r>
        <w:rPr>
          <w:rFonts w:hint="eastAsia" w:ascii="仿宋_GB2312" w:eastAsia="仿宋_GB2312"/>
          <w:sz w:val="30"/>
          <w:szCs w:val="30"/>
          <w:lang w:eastAsia="zh-CN"/>
        </w:rPr>
        <w:t>未</w:t>
      </w:r>
      <w:r>
        <w:rPr>
          <w:rFonts w:hint="eastAsia" w:ascii="仿宋_GB2312" w:eastAsia="仿宋_GB2312"/>
          <w:sz w:val="30"/>
          <w:szCs w:val="30"/>
        </w:rPr>
        <w:t>发生的接待支出。</w:t>
      </w:r>
    </w:p>
    <w:p>
      <w:pPr>
        <w:widowControl/>
        <w:snapToGrid w:val="0"/>
        <w:spacing w:before="100" w:after="100" w:line="360" w:lineRule="auto"/>
        <w:ind w:firstLine="640" w:firstLineChars="200"/>
        <w:jc w:val="left"/>
        <w:rPr>
          <w:rFonts w:hint="eastAsia"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ind w:firstLine="600" w:firstLineChars="200"/>
        <w:jc w:val="left"/>
        <w:rPr>
          <w:rFonts w:hint="eastAsia" w:ascii="黑体" w:hAnsi="黑体" w:eastAsia="黑体" w:cs="黑体"/>
          <w:sz w:val="30"/>
          <w:szCs w:val="30"/>
        </w:rPr>
      </w:pPr>
      <w:r>
        <w:rPr>
          <w:rFonts w:hint="eastAsia" w:ascii="黑体" w:hAnsi="黑体" w:eastAsia="黑体" w:cs="黑体"/>
          <w:sz w:val="30"/>
          <w:szCs w:val="30"/>
        </w:rPr>
        <w:t>一</w:t>
      </w:r>
      <w:r>
        <w:rPr>
          <w:rFonts w:hint="eastAsia" w:ascii="黑体" w:hAnsi="黑体" w:eastAsia="黑体" w:cs="黑体"/>
          <w:sz w:val="30"/>
          <w:szCs w:val="30"/>
          <w:lang w:eastAsia="zh-CN"/>
        </w:rPr>
        <w:t>、</w:t>
      </w:r>
      <w:r>
        <w:rPr>
          <w:rFonts w:hint="eastAsia" w:ascii="黑体" w:hAnsi="黑体" w:eastAsia="黑体" w:cs="黑体"/>
          <w:sz w:val="30"/>
          <w:szCs w:val="30"/>
        </w:rPr>
        <w:t>机关运行经费支出情况</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昆明市盘龙区应急管理局</w:t>
      </w:r>
      <w:r>
        <w:rPr>
          <w:rFonts w:hint="eastAsia" w:ascii="仿宋_GB2312" w:hAnsi="黑体" w:eastAsia="仿宋_GB2312" w:cs="方正小标宋简体"/>
          <w:sz w:val="30"/>
          <w:szCs w:val="30"/>
          <w:lang w:val="en-US" w:eastAsia="zh-CN"/>
        </w:rPr>
        <w:t>2019</w:t>
      </w:r>
      <w:r>
        <w:rPr>
          <w:rFonts w:hint="eastAsia" w:ascii="仿宋_GB2312" w:hAnsi="黑体" w:eastAsia="仿宋_GB2312" w:cs="方正小标宋简体"/>
          <w:sz w:val="30"/>
          <w:szCs w:val="30"/>
        </w:rPr>
        <w:t>年机关运行经费支出</w:t>
      </w:r>
      <w:r>
        <w:rPr>
          <w:rFonts w:hint="eastAsia" w:ascii="仿宋_GB2312" w:hAnsi="黑体" w:eastAsia="仿宋_GB2312" w:cs="方正小标宋简体"/>
          <w:sz w:val="30"/>
          <w:szCs w:val="30"/>
          <w:lang w:val="en-US" w:eastAsia="zh-CN"/>
        </w:rPr>
        <w:t>34.85</w:t>
      </w:r>
      <w:r>
        <w:rPr>
          <w:rFonts w:hint="eastAsia" w:ascii="仿宋_GB2312" w:hAnsi="黑体" w:eastAsia="仿宋_GB2312" w:cs="方正小标宋简体"/>
          <w:sz w:val="30"/>
          <w:szCs w:val="30"/>
        </w:rPr>
        <w:t>万元，与上年对比</w:t>
      </w:r>
      <w:r>
        <w:rPr>
          <w:rFonts w:hint="eastAsia" w:ascii="仿宋_GB2312" w:hAnsi="黑体" w:eastAsia="仿宋_GB2312" w:cs="方正小标宋简体"/>
          <w:sz w:val="30"/>
          <w:szCs w:val="30"/>
          <w:lang w:eastAsia="zh-CN"/>
        </w:rPr>
        <w:t>增加</w:t>
      </w:r>
      <w:r>
        <w:rPr>
          <w:rFonts w:hint="eastAsia" w:ascii="仿宋_GB2312" w:hAnsi="黑体" w:eastAsia="仿宋_GB2312" w:cs="方正小标宋简体"/>
          <w:sz w:val="30"/>
          <w:szCs w:val="30"/>
          <w:lang w:val="en-US" w:eastAsia="zh-CN"/>
        </w:rPr>
        <w:t>1.75%</w:t>
      </w:r>
      <w:r>
        <w:rPr>
          <w:rFonts w:hint="eastAsia" w:ascii="仿宋_GB2312" w:hAnsi="黑体" w:eastAsia="仿宋_GB2312" w:cs="方正小标宋简体"/>
          <w:sz w:val="30"/>
          <w:szCs w:val="30"/>
        </w:rPr>
        <w:t>,主要原因</w:t>
      </w:r>
      <w:r>
        <w:rPr>
          <w:rFonts w:hint="eastAsia" w:ascii="仿宋_GB2312" w:hAnsi="黑体" w:eastAsia="仿宋_GB2312" w:cs="方正小标宋简体"/>
          <w:sz w:val="30"/>
          <w:szCs w:val="30"/>
          <w:lang w:eastAsia="zh-CN"/>
        </w:rPr>
        <w:t>为机构改革增加机关运行经费</w:t>
      </w:r>
      <w:r>
        <w:rPr>
          <w:rFonts w:hint="eastAsia" w:ascii="仿宋_GB2312" w:hAnsi="黑体" w:eastAsia="仿宋_GB2312" w:cs="方正小标宋简体"/>
          <w:sz w:val="30"/>
          <w:szCs w:val="30"/>
        </w:rPr>
        <w:t>。部门机关运行经费主要用于</w:t>
      </w:r>
      <w:r>
        <w:rPr>
          <w:rFonts w:hint="eastAsia" w:ascii="仿宋_GB2312" w:eastAsia="仿宋_GB2312"/>
          <w:sz w:val="30"/>
          <w:szCs w:val="30"/>
        </w:rPr>
        <w:t>办公费、印刷费、水电费、办公设备购置等日常公用经费</w:t>
      </w:r>
      <w:r>
        <w:rPr>
          <w:rFonts w:hint="eastAsia" w:ascii="仿宋_GB2312" w:hAnsi="黑体" w:eastAsia="仿宋_GB2312" w:cs="方正小标宋简体"/>
          <w:sz w:val="30"/>
          <w:szCs w:val="30"/>
        </w:rPr>
        <w:t>。</w:t>
      </w:r>
    </w:p>
    <w:p>
      <w:pPr>
        <w:widowControl/>
        <w:ind w:firstLine="600" w:firstLineChars="200"/>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lang w:eastAsia="zh-CN"/>
        </w:rPr>
        <w:t>二、</w:t>
      </w:r>
      <w:r>
        <w:rPr>
          <w:rFonts w:hint="eastAsia" w:ascii="黑体" w:hAnsi="黑体" w:eastAsia="黑体" w:cs="黑体"/>
          <w:color w:val="000000"/>
          <w:kern w:val="0"/>
          <w:sz w:val="30"/>
          <w:szCs w:val="30"/>
        </w:rPr>
        <w:t>国有资产占用情况</w:t>
      </w:r>
    </w:p>
    <w:p>
      <w:pPr>
        <w:widowControl/>
        <w:ind w:firstLine="600" w:firstLineChars="200"/>
        <w:rPr>
          <w:rFonts w:ascii="宋体" w:hAnsi="宋体" w:cs="宋体"/>
          <w:color w:val="000000"/>
          <w:kern w:val="0"/>
          <w:sz w:val="30"/>
          <w:szCs w:val="30"/>
        </w:rPr>
      </w:pPr>
      <w:r>
        <w:rPr>
          <w:rFonts w:hint="eastAsia" w:ascii="仿宋_GB2312" w:hAnsi="黑体" w:eastAsia="仿宋_GB2312" w:cs="方正小标宋简体"/>
          <w:color w:val="000000"/>
          <w:kern w:val="0"/>
          <w:sz w:val="30"/>
          <w:szCs w:val="30"/>
        </w:rPr>
        <w:t>截至</w:t>
      </w:r>
      <w:r>
        <w:rPr>
          <w:rFonts w:hint="eastAsia" w:ascii="仿宋_GB2312" w:hAnsi="黑体" w:eastAsia="仿宋_GB2312" w:cs="方正小标宋简体"/>
          <w:color w:val="000000"/>
          <w:kern w:val="0"/>
          <w:sz w:val="30"/>
          <w:szCs w:val="30"/>
          <w:lang w:val="en-US" w:eastAsia="zh-CN"/>
        </w:rPr>
        <w:t>2019</w:t>
      </w:r>
      <w:r>
        <w:rPr>
          <w:rFonts w:hint="eastAsia" w:ascii="仿宋_GB2312" w:hAnsi="黑体" w:eastAsia="仿宋_GB2312" w:cs="方正小标宋简体"/>
          <w:color w:val="000000"/>
          <w:kern w:val="0"/>
          <w:sz w:val="30"/>
          <w:szCs w:val="30"/>
        </w:rPr>
        <w:t>年</w:t>
      </w:r>
      <w:r>
        <w:rPr>
          <w:rFonts w:hint="eastAsia" w:ascii="仿宋_GB2312" w:hAnsi="黑体" w:eastAsia="仿宋_GB2312" w:cs="方正小标宋简体"/>
          <w:color w:val="000000"/>
          <w:kern w:val="0"/>
          <w:sz w:val="30"/>
          <w:szCs w:val="30"/>
          <w:lang w:val="en-US" w:eastAsia="zh-CN"/>
        </w:rPr>
        <w:t>12</w:t>
      </w:r>
      <w:r>
        <w:rPr>
          <w:rFonts w:hint="eastAsia" w:ascii="仿宋_GB2312" w:hAnsi="黑体" w:eastAsia="仿宋_GB2312" w:cs="方正小标宋简体"/>
          <w:color w:val="000000"/>
          <w:kern w:val="0"/>
          <w:sz w:val="30"/>
          <w:szCs w:val="30"/>
        </w:rPr>
        <w:t>月</w:t>
      </w:r>
      <w:r>
        <w:rPr>
          <w:rFonts w:hint="eastAsia" w:ascii="仿宋_GB2312" w:hAnsi="黑体" w:eastAsia="仿宋_GB2312" w:cs="方正小标宋简体"/>
          <w:color w:val="000000"/>
          <w:kern w:val="0"/>
          <w:sz w:val="30"/>
          <w:szCs w:val="30"/>
          <w:lang w:val="en-US" w:eastAsia="zh-CN"/>
        </w:rPr>
        <w:t>31</w:t>
      </w:r>
      <w:r>
        <w:rPr>
          <w:rFonts w:hint="eastAsia" w:ascii="仿宋_GB2312" w:hAnsi="黑体" w:eastAsia="仿宋_GB2312" w:cs="方正小标宋简体"/>
          <w:color w:val="000000"/>
          <w:kern w:val="0"/>
          <w:sz w:val="30"/>
          <w:szCs w:val="30"/>
        </w:rPr>
        <w:t>日，</w:t>
      </w:r>
      <w:r>
        <w:rPr>
          <w:rFonts w:hint="eastAsia" w:ascii="仿宋_GB2312" w:hAnsi="黑体" w:eastAsia="仿宋_GB2312" w:cs="方正小标宋简体"/>
          <w:color w:val="000000"/>
          <w:kern w:val="0"/>
          <w:sz w:val="30"/>
          <w:szCs w:val="30"/>
          <w:lang w:eastAsia="zh-CN"/>
        </w:rPr>
        <w:t>昆明市盘龙区应急管理局</w:t>
      </w:r>
      <w:r>
        <w:rPr>
          <w:rFonts w:hint="eastAsia" w:ascii="仿宋_GB2312" w:hAnsi="黑体" w:eastAsia="仿宋_GB2312" w:cs="方正小标宋简体"/>
          <w:color w:val="000000"/>
          <w:kern w:val="0"/>
          <w:sz w:val="30"/>
          <w:szCs w:val="30"/>
        </w:rPr>
        <w:t>资产总额</w:t>
      </w:r>
      <w:r>
        <w:rPr>
          <w:rFonts w:hint="eastAsia" w:ascii="仿宋_GB2312" w:hAnsi="黑体" w:eastAsia="仿宋_GB2312" w:cs="方正小标宋简体"/>
          <w:color w:val="000000"/>
          <w:kern w:val="0"/>
          <w:sz w:val="30"/>
          <w:szCs w:val="30"/>
          <w:lang w:val="en-US" w:eastAsia="zh-CN"/>
        </w:rPr>
        <w:t>164.61</w:t>
      </w:r>
      <w:r>
        <w:rPr>
          <w:rFonts w:hint="eastAsia" w:ascii="仿宋_GB2312" w:hAnsi="黑体" w:eastAsia="仿宋_GB2312" w:cs="方正小标宋简体"/>
          <w:color w:val="000000"/>
          <w:kern w:val="0"/>
          <w:sz w:val="30"/>
          <w:szCs w:val="30"/>
        </w:rPr>
        <w:t>万元，其中，流动资产</w:t>
      </w:r>
      <w:r>
        <w:rPr>
          <w:rFonts w:hint="eastAsia" w:ascii="仿宋_GB2312" w:hAnsi="黑体" w:eastAsia="仿宋_GB2312" w:cs="方正小标宋简体"/>
          <w:color w:val="000000"/>
          <w:kern w:val="0"/>
          <w:sz w:val="30"/>
          <w:szCs w:val="30"/>
          <w:lang w:val="en-US" w:eastAsia="zh-CN"/>
        </w:rPr>
        <w:t>146.49</w:t>
      </w:r>
      <w:r>
        <w:rPr>
          <w:rFonts w:hint="eastAsia" w:ascii="仿宋_GB2312" w:hAnsi="黑体" w:eastAsia="仿宋_GB2312" w:cs="方正小标宋简体"/>
          <w:color w:val="000000"/>
          <w:kern w:val="0"/>
          <w:sz w:val="30"/>
          <w:szCs w:val="30"/>
        </w:rPr>
        <w:t>万元，固定资产</w:t>
      </w:r>
      <w:r>
        <w:rPr>
          <w:rFonts w:hint="eastAsia" w:ascii="仿宋_GB2312" w:hAnsi="黑体" w:eastAsia="仿宋_GB2312" w:cs="方正小标宋简体"/>
          <w:color w:val="000000"/>
          <w:kern w:val="0"/>
          <w:sz w:val="30"/>
          <w:szCs w:val="30"/>
          <w:lang w:val="en-US" w:eastAsia="zh-CN"/>
        </w:rPr>
        <w:t>17.66</w:t>
      </w:r>
      <w:r>
        <w:rPr>
          <w:rFonts w:hint="eastAsia" w:ascii="仿宋_GB2312" w:hAnsi="黑体" w:eastAsia="仿宋_GB2312" w:cs="方正小标宋简体"/>
          <w:color w:val="000000"/>
          <w:kern w:val="0"/>
          <w:sz w:val="30"/>
          <w:szCs w:val="30"/>
        </w:rPr>
        <w:t>万元，对外投资及有价证券</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万元，在建工程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万元，无形资产</w:t>
      </w:r>
      <w:r>
        <w:rPr>
          <w:rFonts w:hint="eastAsia" w:ascii="仿宋_GB2312" w:hAnsi="黑体" w:eastAsia="仿宋_GB2312" w:cs="方正小标宋简体"/>
          <w:color w:val="000000"/>
          <w:kern w:val="0"/>
          <w:sz w:val="30"/>
          <w:szCs w:val="30"/>
          <w:lang w:val="en-US" w:eastAsia="zh-CN"/>
        </w:rPr>
        <w:t>0.46</w:t>
      </w:r>
      <w:r>
        <w:rPr>
          <w:rFonts w:hint="eastAsia" w:ascii="仿宋_GB2312" w:hAnsi="黑体" w:eastAsia="仿宋_GB2312" w:cs="方正小标宋简体"/>
          <w:color w:val="000000"/>
          <w:kern w:val="0"/>
          <w:sz w:val="30"/>
          <w:szCs w:val="30"/>
        </w:rPr>
        <w:t>万元，其他资产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万元。与上年相比，本年资产总额增加</w:t>
      </w:r>
      <w:r>
        <w:rPr>
          <w:rFonts w:hint="eastAsia" w:ascii="仿宋_GB2312" w:hAnsi="黑体" w:eastAsia="仿宋_GB2312" w:cs="方正小标宋简体"/>
          <w:color w:val="000000"/>
          <w:kern w:val="0"/>
          <w:sz w:val="30"/>
          <w:szCs w:val="30"/>
          <w:lang w:val="en-US" w:eastAsia="zh-CN"/>
        </w:rPr>
        <w:t>7.19</w:t>
      </w:r>
      <w:r>
        <w:rPr>
          <w:rFonts w:hint="eastAsia" w:ascii="仿宋_GB2312" w:hAnsi="黑体" w:eastAsia="仿宋_GB2312" w:cs="方正小标宋简体"/>
          <w:color w:val="000000"/>
          <w:kern w:val="0"/>
          <w:sz w:val="30"/>
          <w:szCs w:val="30"/>
        </w:rPr>
        <w:t>万元，其中固定资产增加</w:t>
      </w:r>
      <w:r>
        <w:rPr>
          <w:rFonts w:hint="eastAsia" w:ascii="仿宋_GB2312" w:hAnsi="黑体" w:eastAsia="仿宋_GB2312" w:cs="方正小标宋简体"/>
          <w:color w:val="000000"/>
          <w:kern w:val="0"/>
          <w:sz w:val="30"/>
          <w:szCs w:val="30"/>
          <w:lang w:val="en-US" w:eastAsia="zh-CN"/>
        </w:rPr>
        <w:t>7.19</w:t>
      </w:r>
      <w:r>
        <w:rPr>
          <w:rFonts w:hint="eastAsia" w:ascii="仿宋_GB2312" w:hAnsi="黑体" w:eastAsia="仿宋_GB2312" w:cs="方正小标宋简体"/>
          <w:color w:val="000000"/>
          <w:kern w:val="0"/>
          <w:sz w:val="30"/>
          <w:szCs w:val="30"/>
        </w:rPr>
        <w:t>万元。处置房屋建筑物</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万元；处置车辆</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辆，账面原值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万元；报废报损资产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项，账面原值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万元，实现资产处置收入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万元；出租房屋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万元，实现资产使用收入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w:t>
      </w:r>
    </w:p>
    <w:tbl>
      <w:tblPr>
        <w:tblStyle w:val="6"/>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仿宋_GB2312" w:hAnsi="方正小标宋_GBK" w:eastAsia="仿宋_GB2312" w:cs="方正小标宋_GBK"/>
                <w:b/>
                <w:color w:val="000000"/>
                <w:kern w:val="0"/>
                <w:sz w:val="30"/>
                <w:szCs w:val="30"/>
                <w:lang w:bidi="ar"/>
              </w:rPr>
              <w:t>国有资产占有使用情况表</w:t>
            </w: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textAlignment w:val="center"/>
              <w:rPr>
                <w:rFonts w:ascii="宋体" w:hAnsi="宋体" w:cs="宋体"/>
                <w:color w:val="000000"/>
                <w:kern w:val="0"/>
                <w:sz w:val="24"/>
                <w:szCs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widowControl/>
              <w:jc w:val="right"/>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单位：万元</w:t>
            </w: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项目</w:t>
            </w:r>
          </w:p>
        </w:tc>
        <w:tc>
          <w:tcPr>
            <w:tcW w:w="5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行次</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流动资产</w:t>
            </w:r>
          </w:p>
        </w:tc>
        <w:tc>
          <w:tcPr>
            <w:tcW w:w="407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在建工程</w:t>
            </w:r>
          </w:p>
        </w:tc>
        <w:tc>
          <w:tcPr>
            <w:tcW w:w="978" w:type="dxa"/>
            <w:gridSpan w:val="2"/>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无形资产</w:t>
            </w:r>
          </w:p>
        </w:tc>
        <w:tc>
          <w:tcPr>
            <w:tcW w:w="978" w:type="dxa"/>
            <w:gridSpan w:val="3"/>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其他资产</w:t>
            </w: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4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小计</w:t>
            </w:r>
          </w:p>
        </w:tc>
        <w:tc>
          <w:tcPr>
            <w:tcW w:w="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47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栏次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2</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3</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4</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5</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6</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7</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8</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9</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10</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11</w:t>
            </w: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811"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合计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hint="eastAsia" w:ascii="宋体" w:hAnsi="宋体" w:cs="宋体"/>
                <w:color w:val="000000"/>
                <w:kern w:val="0"/>
                <w:sz w:val="20"/>
                <w:szCs w:val="20"/>
                <w:lang w:val="en-US" w:eastAsia="zh-CN"/>
              </w:rPr>
            </w:pPr>
          </w:p>
          <w:p>
            <w:pPr>
              <w:widowControl/>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164.61</w:t>
            </w:r>
            <w:r>
              <w:rPr>
                <w:rFonts w:hint="eastAsia" w:ascii="宋体" w:hAnsi="宋体" w:cs="宋体"/>
                <w:color w:val="000000"/>
                <w:kern w:val="0"/>
                <w:sz w:val="20"/>
                <w:szCs w:val="20"/>
              </w:rPr>
              <w:t> </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hint="eastAsia" w:ascii="宋体" w:hAnsi="宋体" w:cs="宋体"/>
                <w:color w:val="000000"/>
                <w:kern w:val="0"/>
                <w:sz w:val="20"/>
                <w:szCs w:val="20"/>
                <w:lang w:val="en-US" w:eastAsia="zh-CN"/>
              </w:rPr>
            </w:pPr>
          </w:p>
          <w:p>
            <w:pPr>
              <w:widowControl/>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146.49</w:t>
            </w:r>
            <w:r>
              <w:rPr>
                <w:rFonts w:hint="eastAsia" w:ascii="宋体" w:hAnsi="宋体" w:cs="宋体"/>
                <w:color w:val="000000"/>
                <w:kern w:val="0"/>
                <w:sz w:val="20"/>
                <w:szCs w:val="20"/>
              </w:rPr>
              <w:t> </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17.66</w:t>
            </w:r>
            <w:r>
              <w:rPr>
                <w:rFonts w:hint="eastAsia" w:ascii="宋体" w:hAnsi="宋体" w:cs="宋体"/>
                <w:color w:val="000000"/>
                <w:kern w:val="0"/>
                <w:sz w:val="20"/>
                <w:szCs w:val="20"/>
              </w:rPr>
              <w:t> </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lang w:val="en-US" w:eastAsia="zh-CN"/>
              </w:rPr>
              <w:t>0.46</w:t>
            </w:r>
            <w:r>
              <w:rPr>
                <w:rFonts w:hint="eastAsia" w:ascii="宋体" w:hAnsi="宋体" w:cs="宋体"/>
                <w:color w:val="000000"/>
                <w:kern w:val="0"/>
                <w:sz w:val="20"/>
                <w:szCs w:val="20"/>
              </w:rPr>
              <w:t> </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hint="eastAsia" w:ascii="宋体" w:hAnsi="宋体" w:cs="宋体"/>
                <w:color w:val="000000"/>
                <w:kern w:val="0"/>
                <w:sz w:val="20"/>
                <w:szCs w:val="20"/>
              </w:rPr>
              <w:t> </w:t>
            </w: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noWrap w:val="0"/>
            <w:tcMar>
              <w:top w:w="15" w:type="dxa"/>
              <w:left w:w="15" w:type="dxa"/>
              <w:bottom w:w="15" w:type="dxa"/>
              <w:right w:w="15" w:type="dxa"/>
            </w:tcMar>
            <w:vAlign w:val="bottom"/>
          </w:tcPr>
          <w:p>
            <w:pPr>
              <w:widowControl/>
              <w:rPr>
                <w:rFonts w:ascii="宋体" w:hAnsi="宋体" w:cs="宋体"/>
                <w:color w:val="000000"/>
                <w:kern w:val="0"/>
                <w:sz w:val="24"/>
                <w:szCs w:val="24"/>
              </w:rPr>
            </w:pPr>
          </w:p>
        </w:tc>
        <w:tc>
          <w:tcPr>
            <w:tcW w:w="360" w:type="dxa"/>
            <w:tcBorders>
              <w:top w:val="nil"/>
              <w:left w:val="nil"/>
              <w:bottom w:val="nil"/>
              <w:right w:val="nil"/>
            </w:tcBorders>
            <w:noWrap w:val="0"/>
            <w:tcMar>
              <w:top w:w="15" w:type="dxa"/>
              <w:left w:w="15" w:type="dxa"/>
              <w:bottom w:w="15" w:type="dxa"/>
              <w:right w:w="15" w:type="dxa"/>
            </w:tcMar>
            <w:vAlign w:val="bottom"/>
          </w:tcPr>
          <w:p>
            <w:pPr>
              <w:widowControl/>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widowControl/>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noWrap w:val="0"/>
            <w:tcMar>
              <w:top w:w="15" w:type="dxa"/>
              <w:left w:w="15" w:type="dxa"/>
              <w:bottom w:w="15" w:type="dxa"/>
              <w:right w:w="15" w:type="dxa"/>
            </w:tcMar>
            <w:vAlign w:val="bottom"/>
          </w:tcPr>
          <w:p>
            <w:pPr>
              <w:widowControl/>
              <w:rPr>
                <w:rFonts w:hint="eastAsia" w:ascii="宋体" w:hAnsi="宋体" w:cs="宋体"/>
                <w:color w:val="000000"/>
                <w:kern w:val="0"/>
                <w:sz w:val="20"/>
                <w:szCs w:val="20"/>
              </w:rPr>
            </w:pPr>
            <w:r>
              <w:rPr>
                <w:rFonts w:hint="eastAsia" w:ascii="宋体" w:hAnsi="宋体" w:cs="宋体"/>
                <w:color w:val="000000"/>
                <w:kern w:val="0"/>
                <w:sz w:val="20"/>
                <w:szCs w:val="20"/>
              </w:rPr>
              <w:t>填报说明：1.资产总额＝流动资产＋固定资产＋对外投资</w:t>
            </w:r>
            <w:r>
              <w:rPr>
                <w:rFonts w:hint="eastAsia" w:ascii="宋体" w:hAnsi="宋体" w:cs="宋体"/>
                <w:color w:val="000000"/>
                <w:kern w:val="0"/>
                <w:sz w:val="20"/>
                <w:szCs w:val="20"/>
                <w:lang w:val="en-US" w:eastAsia="zh-CN"/>
              </w:rPr>
              <w:t>+</w:t>
            </w:r>
            <w:r>
              <w:rPr>
                <w:rFonts w:hint="eastAsia" w:ascii="宋体" w:hAnsi="宋体" w:cs="宋体"/>
                <w:color w:val="000000"/>
                <w:kern w:val="0"/>
                <w:sz w:val="20"/>
                <w:szCs w:val="20"/>
              </w:rPr>
              <w:t>有价证券＋在建工程＋无形资产＋其他资产</w:t>
            </w:r>
          </w:p>
          <w:p>
            <w:pPr>
              <w:widowControl/>
              <w:ind w:firstLine="1000" w:firstLineChars="500"/>
              <w:rPr>
                <w:rFonts w:ascii="宋体" w:hAnsi="宋体" w:cs="宋体"/>
                <w:color w:val="000000"/>
                <w:kern w:val="0"/>
                <w:sz w:val="20"/>
                <w:szCs w:val="20"/>
              </w:rPr>
            </w:pPr>
            <w:r>
              <w:rPr>
                <w:rFonts w:hint="eastAsia" w:ascii="宋体" w:hAnsi="宋体" w:cs="宋体"/>
                <w:color w:val="000000"/>
                <w:kern w:val="0"/>
                <w:sz w:val="20"/>
                <w:szCs w:val="20"/>
              </w:rPr>
              <w:t>2.固定资产＝房屋构筑物＋车辆＋单价200万元以上大型设备＋其他固定资产</w:t>
            </w:r>
          </w:p>
        </w:tc>
        <w:tc>
          <w:tcPr>
            <w:tcW w:w="978" w:type="dxa"/>
            <w:gridSpan w:val="3"/>
            <w:tcBorders>
              <w:top w:val="nil"/>
              <w:left w:val="nil"/>
              <w:bottom w:val="nil"/>
              <w:right w:val="nil"/>
            </w:tcBorders>
            <w:noWrap w:val="0"/>
            <w:tcMar>
              <w:top w:w="15" w:type="dxa"/>
              <w:left w:w="15" w:type="dxa"/>
              <w:bottom w:w="15" w:type="dxa"/>
              <w:right w:w="15" w:type="dxa"/>
            </w:tcMar>
            <w:vAlign w:val="bottom"/>
          </w:tcPr>
          <w:p>
            <w:pPr>
              <w:widowControl/>
              <w:jc w:val="left"/>
              <w:rPr>
                <w:rFonts w:ascii="宋体" w:hAnsi="宋体" w:cs="宋体"/>
                <w:color w:val="000000"/>
                <w:kern w:val="0"/>
                <w:sz w:val="24"/>
                <w:szCs w:val="24"/>
              </w:rPr>
            </w:pPr>
            <w:r>
              <w:rPr>
                <w:rFonts w:ascii="Arial" w:hAnsi="Arial" w:cs="Arial"/>
                <w:color w:val="000000"/>
                <w:kern w:val="0"/>
                <w:sz w:val="20"/>
                <w:szCs w:val="20"/>
              </w:rPr>
              <w:t> </w:t>
            </w:r>
          </w:p>
        </w:tc>
        <w:tc>
          <w:tcPr>
            <w:tcW w:w="142" w:type="dxa"/>
            <w:noWrap w:val="0"/>
            <w:vAlign w:val="center"/>
          </w:tcPr>
          <w:p>
            <w:pPr>
              <w:widowControl/>
              <w:jc w:val="left"/>
              <w:rPr>
                <w:rFonts w:ascii="Times New Roman" w:hAnsi="Times New Roman" w:eastAsia="Times New Roman"/>
                <w:kern w:val="0"/>
                <w:sz w:val="20"/>
                <w:szCs w:val="20"/>
              </w:rPr>
            </w:pPr>
          </w:p>
        </w:tc>
      </w:tr>
    </w:tbl>
    <w:p>
      <w:pPr>
        <w:ind w:firstLine="600" w:firstLineChars="200"/>
        <w:jc w:val="left"/>
        <w:rPr>
          <w:rFonts w:hint="eastAsia" w:ascii="黑体" w:hAnsi="黑体" w:eastAsia="黑体" w:cs="黑体"/>
          <w:sz w:val="30"/>
          <w:szCs w:val="30"/>
        </w:rPr>
      </w:pPr>
      <w:r>
        <w:rPr>
          <w:rFonts w:hint="eastAsia" w:ascii="黑体" w:hAnsi="黑体" w:eastAsia="黑体" w:cs="黑体"/>
          <w:sz w:val="30"/>
          <w:szCs w:val="30"/>
          <w:lang w:eastAsia="zh-CN"/>
        </w:rPr>
        <w:t>三、</w:t>
      </w:r>
      <w:r>
        <w:rPr>
          <w:rFonts w:hint="eastAsia" w:ascii="黑体" w:hAnsi="黑体" w:eastAsia="黑体" w:cs="黑体"/>
          <w:sz w:val="30"/>
          <w:szCs w:val="30"/>
        </w:rPr>
        <w:t>政府采购支出情况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2019年度，部门政府采购支出总额7.19万元，其中：政府采购货物支出7.19万元；政府采购工程支出0万元；政府采购服务支出0万元。授予中小企业合同金额0万元，占政府采购支出总额的0%。</w:t>
      </w:r>
    </w:p>
    <w:p>
      <w:pPr>
        <w:ind w:firstLine="600" w:firstLineChars="200"/>
        <w:jc w:val="left"/>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pPr>
        <w:ind w:firstLine="600" w:firstLineChars="200"/>
        <w:jc w:val="left"/>
        <w:rPr>
          <w:rFonts w:hint="default" w:ascii="楷体" w:hAnsi="楷体" w:eastAsia="楷体"/>
          <w:sz w:val="30"/>
          <w:szCs w:val="30"/>
          <w:lang w:val="en-US" w:eastAsia="zh-CN"/>
        </w:rPr>
      </w:pPr>
      <w:r>
        <w:rPr>
          <w:rFonts w:hint="eastAsia" w:ascii="楷体" w:hAnsi="楷体" w:eastAsia="楷体"/>
          <w:sz w:val="30"/>
          <w:szCs w:val="30"/>
          <w:lang w:val="en-US" w:eastAsia="zh-CN"/>
        </w:rPr>
        <w:t>（</w:t>
      </w:r>
      <w:r>
        <w:rPr>
          <w:rFonts w:hint="eastAsia" w:ascii="楷体" w:hAnsi="楷体" w:eastAsia="楷体"/>
          <w:sz w:val="30"/>
          <w:szCs w:val="30"/>
          <w:lang w:val="en-US" w:eastAsia="zh-CN"/>
        </w:rPr>
        <w:t>一）项目支出绩效自评/项目支出绩效自评报告（表）</w:t>
      </w:r>
    </w:p>
    <w:p>
      <w:pPr>
        <w:widowControl/>
        <w:snapToGrid w:val="0"/>
        <w:spacing w:before="100" w:after="100" w:line="360" w:lineRule="auto"/>
        <w:ind w:firstLine="420" w:firstLineChars="200"/>
        <w:jc w:val="left"/>
      </w:pPr>
      <w:r>
        <w:drawing>
          <wp:inline distT="0" distB="0" distL="114300" distR="114300">
            <wp:extent cx="5610860" cy="12313920"/>
            <wp:effectExtent l="0" t="0" r="8890"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610860" cy="12313920"/>
                    </a:xfrm>
                    <a:prstGeom prst="rect">
                      <a:avLst/>
                    </a:prstGeom>
                    <a:noFill/>
                    <a:ln>
                      <a:noFill/>
                    </a:ln>
                  </pic:spPr>
                </pic:pic>
              </a:graphicData>
            </a:graphic>
          </wp:inline>
        </w:drawing>
      </w:r>
    </w:p>
    <w:p>
      <w:pPr>
        <w:widowControl/>
        <w:snapToGrid w:val="0"/>
        <w:spacing w:before="100" w:after="100" w:line="360" w:lineRule="auto"/>
        <w:ind w:firstLine="420" w:firstLineChars="200"/>
        <w:jc w:val="left"/>
      </w:pPr>
      <w:r>
        <w:drawing>
          <wp:inline distT="0" distB="0" distL="114300" distR="114300">
            <wp:extent cx="5608320" cy="7263130"/>
            <wp:effectExtent l="0" t="0" r="11430" b="139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608320" cy="7263130"/>
                    </a:xfrm>
                    <a:prstGeom prst="rect">
                      <a:avLst/>
                    </a:prstGeom>
                    <a:noFill/>
                    <a:ln>
                      <a:noFill/>
                    </a:ln>
                  </pic:spPr>
                </pic:pic>
              </a:graphicData>
            </a:graphic>
          </wp:inline>
        </w:drawing>
      </w:r>
    </w:p>
    <w:p>
      <w:pPr>
        <w:widowControl/>
        <w:snapToGrid w:val="0"/>
        <w:spacing w:before="100" w:after="100" w:line="360" w:lineRule="auto"/>
        <w:ind w:firstLine="420" w:firstLineChars="200"/>
        <w:jc w:val="left"/>
      </w:pPr>
    </w:p>
    <w:p>
      <w:pPr>
        <w:widowControl/>
        <w:snapToGrid w:val="0"/>
        <w:spacing w:before="100" w:after="100" w:line="360" w:lineRule="auto"/>
        <w:ind w:firstLine="420" w:firstLineChars="200"/>
        <w:jc w:val="left"/>
      </w:pPr>
    </w:p>
    <w:p>
      <w:pPr>
        <w:widowControl/>
        <w:snapToGrid w:val="0"/>
        <w:spacing w:before="100" w:after="100" w:line="360" w:lineRule="auto"/>
        <w:ind w:firstLine="600" w:firstLineChars="200"/>
        <w:jc w:val="left"/>
      </w:pPr>
      <w:r>
        <w:rPr>
          <w:rFonts w:hint="eastAsia" w:ascii="楷体" w:hAnsi="楷体" w:eastAsia="楷体"/>
          <w:sz w:val="30"/>
          <w:szCs w:val="30"/>
          <w:lang w:val="en-US" w:eastAsia="zh-CN"/>
        </w:rPr>
        <w:t>（二）整体支出绩效自评报告</w:t>
      </w:r>
      <w:r>
        <w:drawing>
          <wp:inline distT="0" distB="0" distL="114300" distR="114300">
            <wp:extent cx="5611495" cy="5515610"/>
            <wp:effectExtent l="0" t="0" r="825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611495" cy="5515610"/>
                    </a:xfrm>
                    <a:prstGeom prst="rect">
                      <a:avLst/>
                    </a:prstGeom>
                    <a:noFill/>
                    <a:ln>
                      <a:noFill/>
                    </a:ln>
                  </pic:spPr>
                </pic:pic>
              </a:graphicData>
            </a:graphic>
          </wp:inline>
        </w:drawing>
      </w:r>
    </w:p>
    <w:p>
      <w:pPr>
        <w:widowControl/>
        <w:snapToGrid w:val="0"/>
        <w:spacing w:before="100" w:after="100" w:line="360" w:lineRule="auto"/>
        <w:ind w:firstLine="600" w:firstLineChars="200"/>
        <w:jc w:val="left"/>
      </w:pPr>
      <w:r>
        <w:rPr>
          <w:rFonts w:hint="eastAsia" w:ascii="楷体" w:hAnsi="楷体" w:eastAsia="楷体"/>
          <w:sz w:val="30"/>
          <w:szCs w:val="30"/>
          <w:lang w:val="en-US" w:eastAsia="zh-CN"/>
        </w:rPr>
        <w:t>（三）部门整体支出绩效自评表</w:t>
      </w:r>
      <w:r>
        <w:drawing>
          <wp:inline distT="0" distB="0" distL="114300" distR="114300">
            <wp:extent cx="5609590" cy="7470775"/>
            <wp:effectExtent l="0" t="0" r="10160" b="158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609590" cy="7470775"/>
                    </a:xfrm>
                    <a:prstGeom prst="rect">
                      <a:avLst/>
                    </a:prstGeom>
                    <a:noFill/>
                    <a:ln>
                      <a:noFill/>
                    </a:ln>
                  </pic:spPr>
                </pic:pic>
              </a:graphicData>
            </a:graphic>
          </wp:inline>
        </w:drawing>
      </w:r>
    </w:p>
    <w:p>
      <w:pPr>
        <w:widowControl/>
        <w:snapToGrid w:val="0"/>
        <w:spacing w:before="100" w:after="100" w:line="360" w:lineRule="auto"/>
        <w:ind w:firstLine="600" w:firstLineChars="200"/>
        <w:jc w:val="left"/>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五、其他重要事项情况说明</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无其他重要事项情况说明。</w:t>
      </w:r>
    </w:p>
    <w:p>
      <w:pPr>
        <w:widowControl/>
        <w:snapToGrid w:val="0"/>
        <w:spacing w:before="100" w:after="100" w:line="360" w:lineRule="auto"/>
        <w:ind w:firstLine="600" w:firstLineChars="200"/>
        <w:jc w:val="left"/>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六、相关口径说明</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（一）</w:t>
      </w:r>
      <w:r>
        <w:rPr>
          <w:rFonts w:hint="eastAsia" w:ascii="仿宋_GB2312" w:hAnsi="黑体" w:eastAsia="仿宋_GB2312" w:cs="方正小标宋简体"/>
          <w:sz w:val="30"/>
          <w:szCs w:val="30"/>
        </w:rPr>
        <w:t>基本支出中人员经费包括工资福利支出和对个人和家庭的补助，日常公用支出包括商品和服务支出、资本性支出等人员经费以外的支出。</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（二）</w:t>
      </w:r>
      <w:r>
        <w:rPr>
          <w:rFonts w:hint="eastAsia" w:ascii="仿宋_GB2312" w:hAnsi="黑体" w:eastAsia="仿宋_GB2312" w:cs="方正小标宋简体"/>
          <w:sz w:val="30"/>
          <w:szCs w:val="30"/>
        </w:rPr>
        <w:t>机关运行经费指行政单位和参照公务员法管理的事业单位使用一般公共预算财政拨款安排的基本支出中的日常公用经费支出</w:t>
      </w:r>
      <w:r>
        <w:rPr>
          <w:rFonts w:hint="eastAsia" w:ascii="仿宋_GB2312" w:hAnsi="黑体" w:eastAsia="仿宋_GB2312" w:cs="方正小标宋简体"/>
          <w:sz w:val="30"/>
          <w:szCs w:val="30"/>
          <w:lang w:eastAsia="zh-CN"/>
        </w:rPr>
        <w:t>。</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lang w:eastAsia="zh-CN"/>
        </w:rPr>
        <w:t>（三）</w:t>
      </w:r>
      <w:r>
        <w:rPr>
          <w:rFonts w:hint="eastAsia" w:ascii="仿宋_GB2312" w:hAnsi="黑体" w:eastAsia="仿宋_GB2312" w:cs="方正小标宋简体"/>
          <w:sz w:val="30"/>
          <w:szCs w:val="30"/>
        </w:rPr>
        <w:t>按照党中央、国务院有关文件及部门预算管理有关规定，“三公”经费包括因公出国（境）费、公务用车购置及运行维护费、公务接待费。</w:t>
      </w:r>
      <w:r>
        <w:rPr>
          <w:rFonts w:hint="eastAsia" w:ascii="仿宋_GB2312" w:hAnsi="黑体" w:eastAsia="仿宋_GB2312" w:cs="方正小标宋简体"/>
          <w:sz w:val="30"/>
          <w:szCs w:val="30"/>
          <w:highlight w:val="none"/>
        </w:rPr>
        <w:t>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（四）</w:t>
      </w:r>
      <w:r>
        <w:rPr>
          <w:rFonts w:hint="eastAsia" w:ascii="仿宋_GB2312" w:hAnsi="黑体" w:eastAsia="仿宋_GB2312" w:cs="方正小标宋简体"/>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jc w:val="center"/>
        <w:rPr>
          <w:rFonts w:hint="eastAsia" w:ascii="黑体" w:hAnsi="黑体" w:eastAsia="黑体" w:cs="方正小标宋简体"/>
          <w:sz w:val="32"/>
          <w:szCs w:val="32"/>
        </w:rPr>
      </w:pPr>
      <w:r>
        <w:rPr>
          <w:rFonts w:hint="eastAsia" w:ascii="黑体" w:hAnsi="黑体" w:eastAsia="黑体" w:cs="方正小标宋简体"/>
          <w:sz w:val="32"/>
          <w:szCs w:val="32"/>
        </w:rPr>
        <w:t>第</w:t>
      </w:r>
      <w:r>
        <w:rPr>
          <w:rFonts w:hint="eastAsia" w:ascii="黑体" w:hAnsi="黑体" w:eastAsia="黑体" w:cs="方正小标宋简体"/>
          <w:sz w:val="32"/>
          <w:szCs w:val="32"/>
          <w:lang w:eastAsia="zh-CN"/>
        </w:rPr>
        <w:t>五</w:t>
      </w:r>
      <w:r>
        <w:rPr>
          <w:rFonts w:hint="eastAsia" w:ascii="黑体" w:hAnsi="黑体" w:eastAsia="黑体" w:cs="方正小标宋简体"/>
          <w:sz w:val="32"/>
          <w:szCs w:val="32"/>
        </w:rPr>
        <w:t>部分  名词解释</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1、“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2、机关运行经费：为保障行政单位（包括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sectPr>
      <w:headerReference r:id="rId3" w:type="default"/>
      <w:footerReference r:id="rId4" w:type="default"/>
      <w:footerReference r:id="rId5" w:type="even"/>
      <w:pgSz w:w="11906" w:h="16838"/>
      <w:pgMar w:top="2098" w:right="1418" w:bottom="1588"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roma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8</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258E"/>
    <w:rsid w:val="00014033"/>
    <w:rsid w:val="00015917"/>
    <w:rsid w:val="0003511E"/>
    <w:rsid w:val="000913E4"/>
    <w:rsid w:val="00096FD6"/>
    <w:rsid w:val="000A6010"/>
    <w:rsid w:val="000C3242"/>
    <w:rsid w:val="000E1FB4"/>
    <w:rsid w:val="000F1483"/>
    <w:rsid w:val="0010004D"/>
    <w:rsid w:val="001263DA"/>
    <w:rsid w:val="001374A6"/>
    <w:rsid w:val="001536A4"/>
    <w:rsid w:val="00154575"/>
    <w:rsid w:val="001749E4"/>
    <w:rsid w:val="00182815"/>
    <w:rsid w:val="001A0E45"/>
    <w:rsid w:val="001A3A9F"/>
    <w:rsid w:val="001C2096"/>
    <w:rsid w:val="001C6512"/>
    <w:rsid w:val="00224AF2"/>
    <w:rsid w:val="002360A6"/>
    <w:rsid w:val="002718E1"/>
    <w:rsid w:val="0029065D"/>
    <w:rsid w:val="002A35DC"/>
    <w:rsid w:val="002B295A"/>
    <w:rsid w:val="002D0360"/>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3501375"/>
    <w:rsid w:val="06201997"/>
    <w:rsid w:val="065A03D7"/>
    <w:rsid w:val="08D611BE"/>
    <w:rsid w:val="0CF15EE8"/>
    <w:rsid w:val="109A2368"/>
    <w:rsid w:val="1253626C"/>
    <w:rsid w:val="12AF3DA1"/>
    <w:rsid w:val="15B1241E"/>
    <w:rsid w:val="1B236536"/>
    <w:rsid w:val="1B9A76F1"/>
    <w:rsid w:val="1C9C275F"/>
    <w:rsid w:val="1DB17A2D"/>
    <w:rsid w:val="1F4F2634"/>
    <w:rsid w:val="213248F3"/>
    <w:rsid w:val="22BA1854"/>
    <w:rsid w:val="245935C6"/>
    <w:rsid w:val="24644C38"/>
    <w:rsid w:val="249E0261"/>
    <w:rsid w:val="253B1B6C"/>
    <w:rsid w:val="29AB5281"/>
    <w:rsid w:val="2C2C7BFF"/>
    <w:rsid w:val="2E8D7536"/>
    <w:rsid w:val="2EBD6C76"/>
    <w:rsid w:val="2ECC42E8"/>
    <w:rsid w:val="3068604E"/>
    <w:rsid w:val="307427A9"/>
    <w:rsid w:val="31D23B45"/>
    <w:rsid w:val="36F8422B"/>
    <w:rsid w:val="37364169"/>
    <w:rsid w:val="39576B4E"/>
    <w:rsid w:val="3B9C14F5"/>
    <w:rsid w:val="40ED6092"/>
    <w:rsid w:val="4154329E"/>
    <w:rsid w:val="416105A3"/>
    <w:rsid w:val="422439DB"/>
    <w:rsid w:val="428910B6"/>
    <w:rsid w:val="47A16424"/>
    <w:rsid w:val="4A041DB5"/>
    <w:rsid w:val="4E375ECD"/>
    <w:rsid w:val="4FCC7BC5"/>
    <w:rsid w:val="51373AA3"/>
    <w:rsid w:val="52BC6998"/>
    <w:rsid w:val="579B6610"/>
    <w:rsid w:val="582A7070"/>
    <w:rsid w:val="58890172"/>
    <w:rsid w:val="5C406A7A"/>
    <w:rsid w:val="5F5E792F"/>
    <w:rsid w:val="68333A82"/>
    <w:rsid w:val="6837444F"/>
    <w:rsid w:val="68F03BBE"/>
    <w:rsid w:val="70242325"/>
    <w:rsid w:val="717664AA"/>
    <w:rsid w:val="73CA27D6"/>
    <w:rsid w:val="76D317E9"/>
    <w:rsid w:val="77207610"/>
    <w:rsid w:val="78AF2483"/>
    <w:rsid w:val="79EB17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font11"/>
    <w:basedOn w:val="7"/>
    <w:qFormat/>
    <w:uiPriority w:val="0"/>
    <w:rPr>
      <w:rFonts w:hint="eastAsia" w:ascii="宋体" w:hAnsi="宋体" w:eastAsia="宋体" w:cs="宋体"/>
      <w:color w:val="000000"/>
      <w:sz w:val="20"/>
      <w:szCs w:val="20"/>
      <w:u w:val="none"/>
    </w:rPr>
  </w:style>
  <w:style w:type="character" w:customStyle="1" w:styleId="10">
    <w:name w:val="font01"/>
    <w:basedOn w:val="7"/>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598</Words>
  <Characters>3413</Characters>
  <Lines>28</Lines>
  <Paragraphs>8</Paragraphs>
  <TotalTime>31</TotalTime>
  <ScaleCrop>false</ScaleCrop>
  <LinksUpToDate>false</LinksUpToDate>
  <CharactersWithSpaces>4003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2013-05-09T09:41:00Z</dcterms:created>
  <dc:creator>赵树子</dc:creator>
  <cp:lastModifiedBy>PL应急局</cp:lastModifiedBy>
  <cp:lastPrinted>2020-07-10T01:05:00Z</cp:lastPrinted>
  <dcterms:modified xsi:type="dcterms:W3CDTF">2021-05-08T02:00:55Z</dcterms:modified>
  <dc:title>四川省财政厅2011年部门预算编制说明</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4DDF3A6044894CC8BD771C270DE93833</vt:lpwstr>
  </property>
</Properties>
</file>