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75" w:beforeAutospacing="0" w:after="75" w:afterAutospacing="0"/>
        <w:ind w:left="0" w:right="0"/>
        <w:jc w:val="center"/>
      </w:pPr>
      <w:r>
        <w:rPr>
          <w:rFonts w:ascii="黑体" w:hAnsi="宋体" w:eastAsia="黑体" w:cs="黑体"/>
          <w:sz w:val="36"/>
          <w:szCs w:val="36"/>
        </w:rPr>
        <w:t>昆明市盘龙区住房和城乡建设局</w:t>
      </w:r>
      <w:r>
        <w:rPr>
          <w:rFonts w:hint="eastAsia" w:ascii="黑体" w:hAnsi="宋体" w:eastAsia="黑体" w:cs="黑体"/>
          <w:sz w:val="36"/>
          <w:szCs w:val="36"/>
        </w:rPr>
        <w:t>2018年决算</w:t>
      </w:r>
      <w:r>
        <w:rPr>
          <w:rFonts w:hint="eastAsia" w:ascii="黑体" w:hAnsi="宋体" w:eastAsia="黑体" w:cs="黑体"/>
          <w:sz w:val="36"/>
          <w:szCs w:val="36"/>
          <w:lang w:eastAsia="zh-CN"/>
        </w:rPr>
        <w:t>公开</w:t>
      </w:r>
    </w:p>
    <w:p>
      <w:pPr>
        <w:pStyle w:val="2"/>
        <w:keepNext w:val="0"/>
        <w:keepLines w:val="0"/>
        <w:widowControl/>
        <w:suppressLineNumbers w:val="0"/>
        <w:spacing w:before="75" w:beforeAutospacing="0" w:after="75" w:afterAutospacing="0"/>
        <w:ind w:left="0" w:right="0"/>
      </w:pPr>
      <w:r>
        <w:rPr>
          <w:rFonts w:hint="eastAsia" w:ascii="黑体" w:hAnsi="宋体" w:eastAsia="黑体" w:cs="黑体"/>
          <w:sz w:val="30"/>
          <w:szCs w:val="30"/>
        </w:rPr>
        <w:t>第一部分 概况</w:t>
      </w:r>
    </w:p>
    <w:p>
      <w:pPr>
        <w:pStyle w:val="2"/>
        <w:keepNext w:val="0"/>
        <w:keepLines w:val="0"/>
        <w:widowControl/>
        <w:suppressLineNumbers w:val="0"/>
        <w:spacing w:before="75" w:beforeAutospacing="0" w:after="75" w:afterAutospacing="0"/>
        <w:ind w:left="0" w:right="0" w:firstLine="150"/>
      </w:pPr>
      <w:r>
        <w:rPr>
          <w:rFonts w:ascii="楷体" w:hAnsi="楷体" w:eastAsia="楷体" w:cs="楷体"/>
          <w:sz w:val="30"/>
          <w:szCs w:val="30"/>
        </w:rPr>
        <w:t>（一）主要职能</w:t>
      </w:r>
    </w:p>
    <w:p>
      <w:pPr>
        <w:pStyle w:val="2"/>
        <w:keepNext w:val="0"/>
        <w:keepLines w:val="0"/>
        <w:widowControl/>
        <w:suppressLineNumbers w:val="0"/>
        <w:spacing w:before="75" w:beforeAutospacing="0" w:after="75" w:afterAutospacing="0" w:line="600" w:lineRule="atLeast"/>
        <w:ind w:left="0" w:right="0" w:firstLine="300"/>
      </w:pPr>
      <w:r>
        <w:rPr>
          <w:rFonts w:hint="eastAsia" w:ascii="楷体" w:hAnsi="楷体" w:eastAsia="楷体" w:cs="楷体"/>
          <w:sz w:val="30"/>
          <w:szCs w:val="30"/>
        </w:rPr>
        <w:t>(二)2018年度重点工作任务介绍</w:t>
      </w:r>
    </w:p>
    <w:p>
      <w:pPr>
        <w:pStyle w:val="2"/>
        <w:keepNext w:val="0"/>
        <w:keepLines w:val="0"/>
        <w:widowControl/>
        <w:suppressLineNumbers w:val="0"/>
        <w:spacing w:before="75" w:beforeAutospacing="0" w:after="75" w:afterAutospacing="0"/>
        <w:ind w:left="0" w:right="0"/>
      </w:pPr>
      <w:r>
        <w:rPr>
          <w:rFonts w:hint="eastAsia" w:ascii="黑体" w:hAnsi="宋体" w:eastAsia="黑体" w:cs="黑体"/>
          <w:sz w:val="30"/>
          <w:szCs w:val="30"/>
        </w:rPr>
        <w:t>第二部分 部门决算表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一、收入支出决算总表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二、收入决算表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三、支出决算表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四、财政拨款收入支出决算总表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五、一般公共预算财政拨款收入支出决算表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六、一般公共预算财政拨款基本支出决算表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七、政府性基金预算财政拨款收入支出决算表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八、财政专户管理资金收入支出决算表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九、“三公”经费、行政参公单位机关运行经费情况表</w:t>
      </w:r>
    </w:p>
    <w:p>
      <w:pPr>
        <w:pStyle w:val="2"/>
        <w:keepNext w:val="0"/>
        <w:keepLines w:val="0"/>
        <w:widowControl/>
        <w:suppressLineNumbers w:val="0"/>
        <w:spacing w:before="75" w:beforeAutospacing="0" w:after="75" w:afterAutospacing="0"/>
        <w:ind w:left="0" w:right="0"/>
      </w:pPr>
      <w:r>
        <w:rPr>
          <w:rFonts w:hint="eastAsia" w:ascii="黑体" w:hAnsi="宋体" w:eastAsia="黑体" w:cs="黑体"/>
          <w:sz w:val="30"/>
          <w:szCs w:val="30"/>
        </w:rPr>
        <w:t>第三部分 部门决算情况说明</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一、收入决算情况说明</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二、支出决算情况说明</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三、一般公共预算财政拨款支出决算情况说明</w:t>
      </w:r>
    </w:p>
    <w:p>
      <w:pPr>
        <w:pStyle w:val="2"/>
        <w:keepNext w:val="0"/>
        <w:keepLines w:val="0"/>
        <w:widowControl/>
        <w:suppressLineNumbers w:val="0"/>
        <w:spacing w:before="105" w:beforeAutospacing="0" w:after="105" w:afterAutospacing="0" w:line="315" w:lineRule="atLeast"/>
        <w:ind w:left="0" w:right="0"/>
      </w:pPr>
      <w:r>
        <w:rPr>
          <w:rFonts w:hint="eastAsia" w:ascii="楷体" w:hAnsi="楷体" w:eastAsia="楷体" w:cs="楷体"/>
          <w:sz w:val="30"/>
          <w:szCs w:val="30"/>
        </w:rPr>
        <w:t>四、一般公共预算财政拨款“三公”经费支出决算情况说明</w:t>
      </w:r>
    </w:p>
    <w:p>
      <w:pPr>
        <w:pStyle w:val="2"/>
        <w:keepNext w:val="0"/>
        <w:keepLines w:val="0"/>
        <w:widowControl/>
        <w:suppressLineNumbers w:val="0"/>
        <w:spacing w:before="105" w:beforeAutospacing="0" w:after="105" w:afterAutospacing="0" w:line="315" w:lineRule="atLeast"/>
        <w:ind w:left="0" w:right="0"/>
      </w:pPr>
      <w:r>
        <w:rPr>
          <w:rFonts w:hint="eastAsia" w:ascii="黑体" w:hAnsi="宋体" w:eastAsia="黑体" w:cs="黑体"/>
          <w:sz w:val="30"/>
          <w:szCs w:val="30"/>
        </w:rPr>
        <w:t>第四部分</w:t>
      </w:r>
      <w:r>
        <w:rPr>
          <w:rFonts w:hint="eastAsia" w:ascii="楷体" w:hAnsi="楷体" w:eastAsia="楷体" w:cs="楷体"/>
          <w:sz w:val="30"/>
          <w:szCs w:val="30"/>
        </w:rPr>
        <w:t>  </w:t>
      </w:r>
      <w:r>
        <w:rPr>
          <w:rFonts w:hint="eastAsia" w:ascii="黑体" w:hAnsi="宋体" w:eastAsia="黑体" w:cs="黑体"/>
          <w:sz w:val="30"/>
          <w:szCs w:val="30"/>
        </w:rPr>
        <w:t>其他重要事项及相关口径情况说明</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一、机关运行经费支出情况</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二、国有资产占用情况</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三、政府采购支出情况</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四、部门绩效自评情况</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（一）项目支出概况</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（二）项目支出绩效自评</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（三）项目绩效目标管理</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（四）2018部门整体支出绩效自评报告</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（五）部门整体支出绩效自评表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（六）相关口径说明</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五、其他重要事项情况说明</w:t>
      </w:r>
    </w:p>
    <w:p>
      <w:pPr>
        <w:pStyle w:val="2"/>
        <w:keepNext w:val="0"/>
        <w:keepLines w:val="0"/>
        <w:widowControl/>
        <w:suppressLineNumbers w:val="0"/>
        <w:spacing w:before="105" w:beforeAutospacing="0" w:after="105" w:afterAutospacing="0" w:line="315" w:lineRule="atLeast"/>
        <w:ind w:left="0" w:right="0"/>
        <w:rPr>
          <w:rFonts w:hint="eastAsia" w:ascii="黑体" w:hAnsi="宋体" w:eastAsia="黑体" w:cs="黑体"/>
          <w:sz w:val="30"/>
          <w:szCs w:val="30"/>
        </w:rPr>
      </w:pPr>
      <w:r>
        <w:rPr>
          <w:rFonts w:hint="eastAsia" w:ascii="黑体" w:hAnsi="宋体" w:eastAsia="黑体" w:cs="黑体"/>
          <w:sz w:val="30"/>
          <w:szCs w:val="30"/>
        </w:rPr>
        <w:t>第五部分 名词解释</w:t>
      </w:r>
    </w:p>
    <w:p>
      <w:pPr>
        <w:pStyle w:val="2"/>
        <w:keepNext w:val="0"/>
        <w:keepLines w:val="0"/>
        <w:widowControl/>
        <w:suppressLineNumbers w:val="0"/>
        <w:spacing w:before="105" w:beforeAutospacing="0" w:after="105" w:afterAutospacing="0" w:line="315" w:lineRule="atLeast"/>
        <w:ind w:left="0" w:right="0"/>
        <w:rPr>
          <w:rFonts w:hint="eastAsia" w:ascii="黑体" w:hAnsi="宋体" w:eastAsia="黑体" w:cs="黑体"/>
          <w:sz w:val="30"/>
          <w:szCs w:val="30"/>
        </w:rPr>
      </w:pPr>
    </w:p>
    <w:p>
      <w:pPr>
        <w:pStyle w:val="2"/>
        <w:keepNext w:val="0"/>
        <w:keepLines w:val="0"/>
        <w:widowControl/>
        <w:suppressLineNumbers w:val="0"/>
        <w:spacing w:before="105" w:beforeAutospacing="0" w:after="105" w:afterAutospacing="0" w:line="315" w:lineRule="atLeast"/>
        <w:ind w:left="0" w:right="0"/>
        <w:rPr>
          <w:rFonts w:hint="eastAsia" w:ascii="黑体" w:hAnsi="宋体" w:eastAsia="黑体" w:cs="黑体"/>
          <w:sz w:val="30"/>
          <w:szCs w:val="30"/>
        </w:rPr>
      </w:pPr>
    </w:p>
    <w:p>
      <w:pPr>
        <w:pStyle w:val="2"/>
        <w:keepNext w:val="0"/>
        <w:keepLines w:val="0"/>
        <w:widowControl/>
        <w:suppressLineNumbers w:val="0"/>
        <w:spacing w:before="105" w:beforeAutospacing="0" w:after="105" w:afterAutospacing="0" w:line="315" w:lineRule="atLeast"/>
        <w:ind w:left="0" w:right="0"/>
        <w:rPr>
          <w:rFonts w:hint="eastAsia" w:ascii="黑体" w:hAnsi="宋体" w:eastAsia="黑体" w:cs="黑体"/>
          <w:sz w:val="30"/>
          <w:szCs w:val="30"/>
        </w:rPr>
      </w:pPr>
    </w:p>
    <w:p>
      <w:pPr>
        <w:pStyle w:val="2"/>
        <w:keepNext w:val="0"/>
        <w:keepLines w:val="0"/>
        <w:widowControl/>
        <w:suppressLineNumbers w:val="0"/>
        <w:spacing w:before="105" w:beforeAutospacing="0" w:after="105" w:afterAutospacing="0" w:line="315" w:lineRule="atLeast"/>
        <w:ind w:left="0" w:right="0"/>
        <w:rPr>
          <w:rFonts w:hint="eastAsia" w:ascii="黑体" w:hAnsi="宋体" w:eastAsia="黑体" w:cs="黑体"/>
          <w:sz w:val="30"/>
          <w:szCs w:val="30"/>
        </w:rPr>
      </w:pPr>
    </w:p>
    <w:p>
      <w:pPr>
        <w:pStyle w:val="2"/>
        <w:keepNext w:val="0"/>
        <w:keepLines w:val="0"/>
        <w:widowControl/>
        <w:suppressLineNumbers w:val="0"/>
        <w:spacing w:before="105" w:beforeAutospacing="0" w:after="105" w:afterAutospacing="0" w:line="315" w:lineRule="atLeast"/>
        <w:ind w:left="0" w:right="0"/>
        <w:rPr>
          <w:rFonts w:hint="eastAsia" w:ascii="黑体" w:hAnsi="宋体" w:eastAsia="黑体" w:cs="黑体"/>
          <w:sz w:val="30"/>
          <w:szCs w:val="30"/>
        </w:rPr>
      </w:pPr>
    </w:p>
    <w:p>
      <w:pPr>
        <w:pStyle w:val="2"/>
        <w:keepNext w:val="0"/>
        <w:keepLines w:val="0"/>
        <w:widowControl/>
        <w:suppressLineNumbers w:val="0"/>
        <w:spacing w:before="105" w:beforeAutospacing="0" w:after="105" w:afterAutospacing="0" w:line="315" w:lineRule="atLeast"/>
        <w:ind w:left="0" w:right="0"/>
        <w:rPr>
          <w:rFonts w:hint="eastAsia" w:ascii="黑体" w:hAnsi="宋体" w:eastAsia="黑体" w:cs="黑体"/>
          <w:sz w:val="30"/>
          <w:szCs w:val="30"/>
        </w:rPr>
      </w:pPr>
    </w:p>
    <w:p>
      <w:pPr>
        <w:pStyle w:val="2"/>
        <w:keepNext w:val="0"/>
        <w:keepLines w:val="0"/>
        <w:widowControl/>
        <w:suppressLineNumbers w:val="0"/>
        <w:spacing w:before="105" w:beforeAutospacing="0" w:after="105" w:afterAutospacing="0" w:line="315" w:lineRule="atLeast"/>
        <w:ind w:left="0" w:right="0"/>
        <w:rPr>
          <w:rFonts w:hint="eastAsia" w:ascii="黑体" w:hAnsi="宋体" w:eastAsia="黑体" w:cs="黑体"/>
          <w:sz w:val="30"/>
          <w:szCs w:val="30"/>
        </w:rPr>
      </w:pPr>
    </w:p>
    <w:p>
      <w:pPr>
        <w:pStyle w:val="2"/>
        <w:keepNext w:val="0"/>
        <w:keepLines w:val="0"/>
        <w:widowControl/>
        <w:suppressLineNumbers w:val="0"/>
        <w:spacing w:before="75" w:beforeAutospacing="0" w:after="75" w:afterAutospacing="0"/>
        <w:ind w:left="0" w:right="0"/>
        <w:jc w:val="center"/>
      </w:pPr>
      <w:r>
        <w:rPr>
          <w:rFonts w:hint="eastAsia" w:ascii="黑体" w:hAnsi="宋体" w:eastAsia="黑体" w:cs="黑体"/>
          <w:sz w:val="31"/>
          <w:szCs w:val="31"/>
        </w:rPr>
        <w:t>第一部分 概况</w:t>
      </w:r>
    </w:p>
    <w:p>
      <w:pPr>
        <w:pStyle w:val="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600" w:lineRule="atLeast"/>
        <w:ind w:left="0" w:leftChars="0" w:right="0" w:rightChars="0" w:firstLine="600" w:firstLineChars="200"/>
        <w:jc w:val="left"/>
        <w:textAlignment w:val="auto"/>
        <w:outlineLvl w:val="9"/>
      </w:pPr>
      <w:r>
        <w:rPr>
          <w:rFonts w:hint="eastAsia" w:ascii="黑体" w:hAnsi="宋体" w:eastAsia="黑体" w:cs="黑体"/>
          <w:sz w:val="30"/>
          <w:szCs w:val="30"/>
        </w:rPr>
        <w:t>一、 主要职能</w:t>
      </w:r>
    </w:p>
    <w:p>
      <w:pPr>
        <w:pStyle w:val="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600" w:lineRule="atLeast"/>
        <w:ind w:left="0" w:leftChars="0" w:right="0" w:rightChars="0" w:firstLine="600" w:firstLineChars="200"/>
        <w:jc w:val="left"/>
        <w:textAlignment w:val="auto"/>
        <w:outlineLvl w:val="9"/>
      </w:pPr>
      <w:r>
        <w:rPr>
          <w:rFonts w:hint="eastAsia" w:ascii="楷体" w:hAnsi="楷体" w:eastAsia="楷体" w:cs="楷体"/>
          <w:sz w:val="30"/>
          <w:szCs w:val="30"/>
        </w:rPr>
        <w:t>（一）主要职能</w:t>
      </w:r>
    </w:p>
    <w:p>
      <w:pPr>
        <w:pStyle w:val="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600" w:lineRule="atLeast"/>
        <w:ind w:left="0" w:leftChars="0" w:right="0" w:rightChars="0" w:firstLine="600" w:firstLineChars="200"/>
        <w:jc w:val="left"/>
        <w:textAlignment w:val="auto"/>
        <w:outlineLvl w:val="9"/>
      </w:pPr>
      <w:r>
        <w:rPr>
          <w:rFonts w:hint="default" w:ascii="仿宋_GB2312" w:eastAsia="仿宋_GB2312" w:cs="仿宋_GB2312"/>
          <w:sz w:val="30"/>
          <w:szCs w:val="30"/>
        </w:rPr>
        <w:t>1</w:t>
      </w:r>
      <w:r>
        <w:rPr>
          <w:rFonts w:hint="eastAsia" w:ascii="仿宋_GB2312" w:eastAsia="仿宋_GB2312" w:cs="仿宋_GB2312"/>
          <w:sz w:val="30"/>
          <w:szCs w:val="30"/>
          <w:lang w:eastAsia="zh-CN"/>
        </w:rPr>
        <w:t>、</w:t>
      </w:r>
      <w:r>
        <w:rPr>
          <w:rFonts w:hint="default" w:ascii="仿宋_GB2312" w:hAnsi="Times New Roman" w:eastAsia="仿宋_GB2312" w:cs="仿宋_GB2312"/>
          <w:sz w:val="30"/>
          <w:szCs w:val="30"/>
        </w:rPr>
        <w:t>依据城市发展总体规划，平时组织开展人民防空建设，战时组织开展城市人民防空袭斗争。负责人防工程维护管理，负责人防设施拆除迁移审批。</w:t>
      </w:r>
    </w:p>
    <w:p>
      <w:pPr>
        <w:pStyle w:val="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600" w:lineRule="atLeast"/>
        <w:ind w:left="0" w:leftChars="0" w:right="0" w:rightChars="0" w:firstLine="600" w:firstLineChars="200"/>
        <w:jc w:val="left"/>
        <w:textAlignment w:val="auto"/>
        <w:outlineLvl w:val="9"/>
      </w:pPr>
      <w:r>
        <w:rPr>
          <w:rFonts w:hint="default" w:ascii="仿宋_GB2312" w:eastAsia="仿宋_GB2312" w:cs="仿宋_GB2312"/>
          <w:sz w:val="30"/>
          <w:szCs w:val="30"/>
        </w:rPr>
        <w:t>2</w:t>
      </w:r>
      <w:r>
        <w:rPr>
          <w:rFonts w:hint="eastAsia" w:ascii="仿宋_GB2312" w:eastAsia="仿宋_GB2312" w:cs="仿宋_GB2312"/>
          <w:sz w:val="30"/>
          <w:szCs w:val="30"/>
          <w:lang w:eastAsia="zh-CN"/>
        </w:rPr>
        <w:t>、</w:t>
      </w:r>
      <w:r>
        <w:rPr>
          <w:rFonts w:hint="default" w:ascii="仿宋_GB2312" w:hAnsi="Times New Roman" w:eastAsia="仿宋_GB2312" w:cs="仿宋_GB2312"/>
          <w:sz w:val="30"/>
          <w:szCs w:val="30"/>
        </w:rPr>
        <w:t>按照区政府分工要求，负责编报辖区城市基础设施建设重点工作、重点建设项目年度建设计划并组织实施。负责辖区市政基础设施建设项目的管理、协调工作；负责政府工程项目的代建监督指导工作；指导辖区城市规划区域内道路桥梁维修养护工作。</w:t>
      </w:r>
    </w:p>
    <w:p>
      <w:pPr>
        <w:pStyle w:val="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600" w:lineRule="atLeast"/>
        <w:ind w:left="0" w:leftChars="0" w:right="0" w:rightChars="0" w:firstLine="600" w:firstLineChars="200"/>
        <w:jc w:val="left"/>
        <w:textAlignment w:val="auto"/>
        <w:outlineLvl w:val="9"/>
      </w:pPr>
      <w:r>
        <w:rPr>
          <w:rFonts w:hint="default" w:ascii="仿宋_GB2312" w:eastAsia="仿宋_GB2312" w:cs="仿宋_GB2312"/>
          <w:sz w:val="30"/>
          <w:szCs w:val="30"/>
        </w:rPr>
        <w:t>3</w:t>
      </w:r>
      <w:r>
        <w:rPr>
          <w:rFonts w:hint="eastAsia" w:ascii="仿宋_GB2312" w:eastAsia="仿宋_GB2312" w:cs="仿宋_GB2312"/>
          <w:sz w:val="30"/>
          <w:szCs w:val="30"/>
          <w:lang w:eastAsia="zh-CN"/>
        </w:rPr>
        <w:t>、</w:t>
      </w:r>
      <w:r>
        <w:rPr>
          <w:rFonts w:hint="default" w:ascii="仿宋_GB2312" w:hAnsi="Times New Roman" w:eastAsia="仿宋_GB2312" w:cs="仿宋_GB2312"/>
          <w:sz w:val="30"/>
          <w:szCs w:val="30"/>
        </w:rPr>
        <w:t>负责权限范围内辖区建筑业行业及市场、房地产业、物业服务行业、房地产经纪的行业指导及监督管理工作。</w:t>
      </w:r>
    </w:p>
    <w:p>
      <w:pPr>
        <w:pStyle w:val="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600" w:lineRule="atLeast"/>
        <w:ind w:left="0" w:leftChars="0" w:right="0" w:rightChars="0" w:firstLine="600" w:firstLineChars="200"/>
        <w:jc w:val="left"/>
        <w:textAlignment w:val="auto"/>
        <w:outlineLvl w:val="9"/>
      </w:pPr>
      <w:r>
        <w:rPr>
          <w:rFonts w:hint="default" w:ascii="仿宋_GB2312" w:eastAsia="仿宋_GB2312" w:cs="仿宋_GB2312"/>
          <w:sz w:val="30"/>
          <w:szCs w:val="30"/>
        </w:rPr>
        <w:t>4</w:t>
      </w:r>
      <w:r>
        <w:rPr>
          <w:rFonts w:hint="eastAsia" w:ascii="仿宋_GB2312" w:eastAsia="仿宋_GB2312" w:cs="仿宋_GB2312"/>
          <w:sz w:val="30"/>
          <w:szCs w:val="30"/>
          <w:lang w:eastAsia="zh-CN"/>
        </w:rPr>
        <w:t>、</w:t>
      </w:r>
      <w:r>
        <w:rPr>
          <w:rFonts w:hint="default" w:ascii="仿宋_GB2312" w:hAnsi="Times New Roman" w:eastAsia="仿宋_GB2312" w:cs="仿宋_GB2312"/>
          <w:sz w:val="30"/>
          <w:szCs w:val="30"/>
        </w:rPr>
        <w:t>负责拟定辖区保障性住房的发展规划、计划，并监督指导实施，指导监督保障性住房建设管理工作；指导监督辖区直管公房租赁管理工作；指导参与辖区住房制度改革工作及住房补贴发放工作。</w:t>
      </w:r>
    </w:p>
    <w:p>
      <w:pPr>
        <w:pStyle w:val="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600" w:lineRule="atLeast"/>
        <w:ind w:left="0" w:leftChars="0" w:right="0" w:rightChars="0" w:firstLine="600" w:firstLineChars="200"/>
        <w:jc w:val="left"/>
        <w:textAlignment w:val="auto"/>
        <w:outlineLvl w:val="9"/>
      </w:pPr>
      <w:r>
        <w:rPr>
          <w:rFonts w:hint="default" w:ascii="仿宋_GB2312" w:eastAsia="仿宋_GB2312" w:cs="仿宋_GB2312"/>
          <w:sz w:val="30"/>
          <w:szCs w:val="30"/>
        </w:rPr>
        <w:t>5</w:t>
      </w:r>
      <w:r>
        <w:rPr>
          <w:rFonts w:hint="eastAsia" w:ascii="仿宋_GB2312" w:eastAsia="仿宋_GB2312" w:cs="仿宋_GB2312"/>
          <w:sz w:val="30"/>
          <w:szCs w:val="30"/>
          <w:lang w:eastAsia="zh-CN"/>
        </w:rPr>
        <w:t>、</w:t>
      </w:r>
      <w:r>
        <w:rPr>
          <w:rFonts w:hint="default" w:ascii="仿宋_GB2312" w:hAnsi="Times New Roman" w:eastAsia="仿宋_GB2312" w:cs="仿宋_GB2312"/>
          <w:sz w:val="30"/>
          <w:szCs w:val="30"/>
        </w:rPr>
        <w:t>贯彻落实中央、省、市有关村镇建设的法律、法规、政策，指导辖区内村镇建设、农村宜居住房建设管理工作；指导农村危房改造和地震安居工程建设任务；协助相关部门做好新农村建设工作指导和落实震后恢复重建工作。</w:t>
      </w:r>
    </w:p>
    <w:p>
      <w:pPr>
        <w:pStyle w:val="2"/>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6</w:t>
      </w:r>
      <w:r>
        <w:rPr>
          <w:rFonts w:hint="eastAsia" w:ascii="仿宋_GB2312" w:eastAsia="仿宋_GB2312" w:cs="仿宋_GB2312"/>
          <w:sz w:val="30"/>
          <w:szCs w:val="30"/>
          <w:lang w:eastAsia="zh-CN"/>
        </w:rPr>
        <w:t>、</w:t>
      </w:r>
      <w:r>
        <w:rPr>
          <w:rFonts w:hint="default" w:ascii="仿宋_GB2312" w:hAnsi="Times New Roman" w:eastAsia="仿宋_GB2312" w:cs="仿宋_GB2312"/>
          <w:sz w:val="30"/>
          <w:szCs w:val="30"/>
        </w:rPr>
        <w:t>负责职责范围内工程建设项目的质量监督及安全生产的监督管理；负责区属建设工程施工工地现场管理；负责组织或协助建设项目质量、安全事故的调查处理；负责辖区房屋安全管理鉴定工作。</w:t>
      </w:r>
    </w:p>
    <w:p>
      <w:pPr>
        <w:pStyle w:val="2"/>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7</w:t>
      </w:r>
      <w:r>
        <w:rPr>
          <w:rFonts w:hint="eastAsia" w:ascii="仿宋_GB2312" w:eastAsia="仿宋_GB2312" w:cs="仿宋_GB2312"/>
          <w:sz w:val="30"/>
          <w:szCs w:val="30"/>
          <w:lang w:eastAsia="zh-CN"/>
        </w:rPr>
        <w:t>、</w:t>
      </w:r>
      <w:r>
        <w:rPr>
          <w:rFonts w:hint="default" w:ascii="仿宋_GB2312" w:hAnsi="Times New Roman" w:eastAsia="仿宋_GB2312" w:cs="仿宋_GB2312"/>
          <w:sz w:val="30"/>
          <w:szCs w:val="30"/>
        </w:rPr>
        <w:t>负责辖区建设事业科技进步、科技创新及推广工作；负责墙体改革、绿色建筑和建筑节能、预拌商品混凝土及散装水泥的推广使用，指导及监督管理工作。</w:t>
      </w:r>
    </w:p>
    <w:p>
      <w:pPr>
        <w:pStyle w:val="2"/>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8</w:t>
      </w:r>
      <w:r>
        <w:rPr>
          <w:rFonts w:hint="eastAsia" w:ascii="仿宋_GB2312" w:eastAsia="仿宋_GB2312" w:cs="仿宋_GB2312"/>
          <w:sz w:val="30"/>
          <w:szCs w:val="30"/>
          <w:lang w:eastAsia="zh-CN"/>
        </w:rPr>
        <w:t>、</w:t>
      </w:r>
      <w:r>
        <w:rPr>
          <w:rFonts w:hint="default" w:ascii="仿宋_GB2312" w:hAnsi="Times New Roman" w:eastAsia="仿宋_GB2312" w:cs="仿宋_GB2312"/>
          <w:sz w:val="30"/>
          <w:szCs w:val="30"/>
        </w:rPr>
        <w:t>贯彻执行国家、省、市有关防震减灾法律、法规和规章，指导全区防震减灾工作。</w:t>
      </w:r>
    </w:p>
    <w:p>
      <w:pPr>
        <w:pStyle w:val="2"/>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9</w:t>
      </w:r>
      <w:r>
        <w:rPr>
          <w:rFonts w:hint="eastAsia" w:ascii="仿宋_GB2312" w:eastAsia="仿宋_GB2312" w:cs="仿宋_GB2312"/>
          <w:sz w:val="30"/>
          <w:szCs w:val="30"/>
          <w:lang w:eastAsia="zh-CN"/>
        </w:rPr>
        <w:t>、</w:t>
      </w:r>
      <w:r>
        <w:rPr>
          <w:rFonts w:hint="default" w:ascii="仿宋_GB2312" w:hAnsi="Times New Roman" w:eastAsia="仿宋_GB2312" w:cs="仿宋_GB2312"/>
          <w:sz w:val="30"/>
          <w:szCs w:val="30"/>
        </w:rPr>
        <w:t>负责辖区瓶装液化燃气供应站（点）许可证行政审批管理。</w:t>
      </w:r>
    </w:p>
    <w:p>
      <w:pPr>
        <w:pStyle w:val="2"/>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10</w:t>
      </w:r>
      <w:r>
        <w:rPr>
          <w:rFonts w:hint="eastAsia" w:ascii="仿宋_GB2312" w:eastAsia="仿宋_GB2312" w:cs="仿宋_GB2312"/>
          <w:sz w:val="30"/>
          <w:szCs w:val="30"/>
          <w:lang w:eastAsia="zh-CN"/>
        </w:rPr>
        <w:t>、</w:t>
      </w:r>
      <w:r>
        <w:rPr>
          <w:rFonts w:hint="default" w:ascii="仿宋_GB2312" w:hAnsi="Times New Roman" w:eastAsia="仿宋_GB2312" w:cs="仿宋_GB2312"/>
          <w:sz w:val="30"/>
          <w:szCs w:val="30"/>
        </w:rPr>
        <w:t>承办区委、区政府和上级机关交办的其他事项。</w:t>
      </w:r>
    </w:p>
    <w:p>
      <w:pPr>
        <w:pStyle w:val="2"/>
        <w:keepNext w:val="0"/>
        <w:keepLines w:val="0"/>
        <w:widowControl/>
        <w:suppressLineNumbers w:val="0"/>
        <w:spacing w:before="75" w:beforeAutospacing="0" w:after="75" w:afterAutospacing="0" w:line="600" w:lineRule="atLeast"/>
        <w:ind w:left="0" w:right="0" w:firstLine="600"/>
      </w:pPr>
      <w:r>
        <w:rPr>
          <w:rFonts w:hint="default" w:ascii="仿宋_GB2312" w:hAnsi="Times New Roman" w:eastAsia="仿宋_GB2312" w:cs="仿宋_GB2312"/>
          <w:sz w:val="30"/>
          <w:szCs w:val="30"/>
        </w:rPr>
        <w:t>行政审批项目，以昆明市盘龙区人民政府公布的行政审批项目目录为准。</w:t>
      </w:r>
    </w:p>
    <w:p>
      <w:pPr>
        <w:pStyle w:val="2"/>
        <w:keepNext w:val="0"/>
        <w:keepLines w:val="0"/>
        <w:widowControl/>
        <w:suppressLineNumbers w:val="0"/>
        <w:spacing w:before="75" w:beforeAutospacing="0" w:after="75" w:afterAutospacing="0" w:line="600" w:lineRule="atLeast"/>
        <w:ind w:left="0" w:right="0"/>
      </w:pPr>
      <w:r>
        <w:rPr>
          <w:rFonts w:hint="eastAsia" w:ascii="楷体" w:hAnsi="楷体" w:eastAsia="楷体" w:cs="楷体"/>
          <w:sz w:val="30"/>
          <w:szCs w:val="30"/>
        </w:rPr>
        <w:t>（二）2018年度重点工作任务介绍</w:t>
      </w:r>
    </w:p>
    <w:p>
      <w:pPr>
        <w:pStyle w:val="2"/>
        <w:keepNext w:val="0"/>
        <w:keepLines w:val="0"/>
        <w:widowControl/>
        <w:suppressLineNumbers w:val="0"/>
        <w:spacing w:before="75" w:beforeAutospacing="0" w:after="75" w:afterAutospacing="0" w:line="600" w:lineRule="atLeast"/>
        <w:ind w:left="0" w:right="0" w:firstLine="630"/>
      </w:pPr>
      <w:r>
        <w:rPr>
          <w:rFonts w:hint="eastAsia" w:ascii="楷体" w:hAnsi="楷体" w:eastAsia="楷体" w:cs="楷体"/>
          <w:sz w:val="30"/>
          <w:szCs w:val="30"/>
        </w:rPr>
        <w:t>2018年，完成防震减灾工作、人居环境</w:t>
      </w:r>
      <w:r>
        <w:rPr>
          <w:rFonts w:hint="default" w:ascii="仿宋_GB2312" w:eastAsia="仿宋_GB2312" w:cs="仿宋_GB2312"/>
          <w:sz w:val="30"/>
          <w:szCs w:val="30"/>
        </w:rPr>
        <w:t>工作、安全生产、文明施工的检查和监督管理工作、质量安全监督、“四治三改一拆一增”工作、公共租赁住房工作、廉租住房补贴发放工作。</w:t>
      </w:r>
    </w:p>
    <w:p>
      <w:pPr>
        <w:pStyle w:val="2"/>
        <w:keepNext w:val="0"/>
        <w:keepLines w:val="0"/>
        <w:widowControl/>
        <w:suppressLineNumbers w:val="0"/>
        <w:spacing w:before="75" w:beforeAutospacing="0" w:after="75" w:afterAutospacing="0" w:line="600" w:lineRule="atLeast"/>
        <w:ind w:left="0" w:right="0" w:firstLine="600"/>
      </w:pPr>
      <w:r>
        <w:rPr>
          <w:rFonts w:hint="eastAsia" w:ascii="黑体" w:hAnsi="宋体" w:eastAsia="黑体" w:cs="黑体"/>
          <w:sz w:val="30"/>
          <w:szCs w:val="30"/>
        </w:rPr>
        <w:t>二、部门基本情况</w:t>
      </w:r>
    </w:p>
    <w:p>
      <w:pPr>
        <w:pStyle w:val="2"/>
        <w:keepNext w:val="0"/>
        <w:keepLines w:val="0"/>
        <w:widowControl/>
        <w:suppressLineNumbers w:val="0"/>
        <w:spacing w:before="75" w:beforeAutospacing="0" w:after="75" w:afterAutospacing="0" w:line="600" w:lineRule="atLeast"/>
        <w:ind w:left="0" w:right="0" w:firstLine="600"/>
      </w:pPr>
      <w:r>
        <w:rPr>
          <w:rFonts w:hint="eastAsia" w:ascii="楷体" w:hAnsi="楷体" w:eastAsia="楷体" w:cs="楷体"/>
          <w:sz w:val="30"/>
          <w:szCs w:val="30"/>
        </w:rPr>
        <w:t>（一）部门决算单位构成</w:t>
      </w:r>
    </w:p>
    <w:p>
      <w:pPr>
        <w:pStyle w:val="2"/>
        <w:keepNext w:val="0"/>
        <w:keepLines w:val="0"/>
        <w:widowControl/>
        <w:suppressLineNumbers w:val="0"/>
        <w:spacing w:before="75" w:beforeAutospacing="0" w:after="75" w:afterAutospacing="0" w:line="600" w:lineRule="atLeast"/>
        <w:ind w:left="0" w:right="0" w:firstLine="450"/>
        <w:rPr>
          <w:rFonts w:hint="default" w:ascii="仿宋_GB2312" w:hAnsi="Times New Roman" w:eastAsia="仿宋_GB2312" w:cs="仿宋_GB2312"/>
          <w:sz w:val="30"/>
          <w:szCs w:val="30"/>
        </w:rPr>
      </w:pPr>
      <w:r>
        <w:rPr>
          <w:rFonts w:hint="eastAsia" w:ascii="仿宋_GB2312" w:eastAsia="仿宋_GB2312" w:cs="仿宋_GB2312"/>
          <w:sz w:val="30"/>
          <w:szCs w:val="30"/>
          <w:lang w:eastAsia="zh-CN"/>
        </w:rPr>
        <w:t>昆明市盘龙区住房和城乡建设局</w:t>
      </w:r>
      <w:r>
        <w:rPr>
          <w:rFonts w:hint="default" w:ascii="仿宋_GB2312" w:eastAsia="仿宋_GB2312" w:cs="仿宋_GB2312"/>
          <w:sz w:val="30"/>
          <w:szCs w:val="30"/>
        </w:rPr>
        <w:t>2018年度部门决算编报的单位共1个。其中：行政单位1个，参照公务员法管理的事业单位1个，</w:t>
      </w:r>
      <w:r>
        <w:rPr>
          <w:rFonts w:hint="default" w:ascii="仿宋_GB2312" w:hAnsi="Times New Roman" w:eastAsia="仿宋_GB2312" w:cs="仿宋_GB2312"/>
          <w:sz w:val="30"/>
          <w:szCs w:val="30"/>
        </w:rPr>
        <w:t>根据上述职责，昆明市盘龙区住房和城乡建设局机关设</w:t>
      </w:r>
      <w:r>
        <w:rPr>
          <w:rFonts w:hint="default" w:ascii="Times New Roman" w:hAnsi="Times New Roman" w:cs="Times New Roman"/>
          <w:sz w:val="30"/>
          <w:szCs w:val="30"/>
        </w:rPr>
        <w:t>9</w:t>
      </w:r>
      <w:r>
        <w:rPr>
          <w:rFonts w:hint="default" w:ascii="仿宋_GB2312" w:hAnsi="Times New Roman" w:eastAsia="仿宋_GB2312" w:cs="仿宋_GB2312"/>
          <w:sz w:val="30"/>
          <w:szCs w:val="30"/>
        </w:rPr>
        <w:t>个内设机构。（一）党组办（二）行政办公室（三）财务科（四）城市建设科（五）村镇建设科（六）建筑施工监督管理科（七）项目审批服务科（八）物业管理科（九）房产保障管理科。房屋安全鉴定办公室、建设工程质量监督站、保障性住房管理服务中心、区防震减灾局4个事业单位。现有车辆2辆是人防专用车。</w:t>
      </w:r>
    </w:p>
    <w:p>
      <w:pPr>
        <w:pStyle w:val="2"/>
        <w:keepNext w:val="0"/>
        <w:keepLines w:val="0"/>
        <w:widowControl/>
        <w:suppressLineNumbers w:val="0"/>
        <w:spacing w:before="75" w:beforeAutospacing="0" w:after="75" w:afterAutospacing="0"/>
        <w:ind w:left="0" w:right="0" w:firstLine="600"/>
      </w:pPr>
      <w:r>
        <w:rPr>
          <w:rFonts w:hint="eastAsia" w:ascii="楷体" w:hAnsi="楷体" w:eastAsia="楷体" w:cs="楷体"/>
          <w:sz w:val="30"/>
          <w:szCs w:val="30"/>
        </w:rPr>
        <w:t>（二）部门人员和车辆的编制及实有情况</w:t>
      </w:r>
    </w:p>
    <w:p>
      <w:pPr>
        <w:pStyle w:val="2"/>
        <w:keepNext w:val="0"/>
        <w:keepLines w:val="0"/>
        <w:widowControl/>
        <w:suppressLineNumbers w:val="0"/>
        <w:spacing w:before="75" w:beforeAutospacing="0" w:after="75" w:afterAutospacing="0" w:line="600" w:lineRule="atLeast"/>
        <w:ind w:left="0" w:right="0" w:firstLine="600"/>
      </w:pPr>
      <w:r>
        <w:rPr>
          <w:rFonts w:hint="eastAsia" w:ascii="仿宋_GB2312" w:eastAsia="仿宋_GB2312" w:cs="仿宋_GB2312"/>
          <w:sz w:val="30"/>
          <w:szCs w:val="30"/>
          <w:lang w:eastAsia="zh-CN"/>
        </w:rPr>
        <w:t>昆明市盘龙区住房和城乡建设局</w:t>
      </w:r>
      <w:r>
        <w:rPr>
          <w:rFonts w:hint="default" w:ascii="仿宋_GB2312" w:eastAsia="仿宋_GB2312" w:cs="仿宋_GB2312"/>
          <w:sz w:val="30"/>
          <w:szCs w:val="30"/>
        </w:rPr>
        <w:t>2018年末实有人员编制45人。其中：行政编制15人（含行政工勤编制2人），事业编制30人，在职在编实有行政人员27人（含行政工勤人员2人），事业人员30人。</w:t>
      </w:r>
    </w:p>
    <w:p>
      <w:pPr>
        <w:pStyle w:val="2"/>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离退休人员50人。其中：离休1人，退休49人。</w:t>
      </w:r>
    </w:p>
    <w:p>
      <w:pPr>
        <w:pStyle w:val="2"/>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实有车辆编制2辆，在编实有车辆2辆。</w:t>
      </w:r>
    </w:p>
    <w:p>
      <w:pPr>
        <w:pStyle w:val="2"/>
        <w:keepNext w:val="0"/>
        <w:keepLines w:val="0"/>
        <w:widowControl/>
        <w:suppressLineNumbers w:val="0"/>
        <w:spacing w:before="75" w:beforeAutospacing="0" w:after="75" w:afterAutospacing="0"/>
        <w:ind w:left="0" w:right="0"/>
        <w:jc w:val="center"/>
      </w:pPr>
      <w:r>
        <w:rPr>
          <w:rFonts w:hint="eastAsia" w:ascii="黑体" w:hAnsi="宋体" w:eastAsia="黑体" w:cs="黑体"/>
          <w:sz w:val="31"/>
          <w:szCs w:val="31"/>
        </w:rPr>
        <w:t>第二部分 2018年度部门决算表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一、收入支出决算总表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二、收入决算表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三、支出决算表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四、财政拨款收入支出决算总表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五、一般公共预算财政拨款收入支出决算表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六、一般公共预算财政拨款基本支出决算表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七、政府性基金预算财政拨款收入支出决算表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八、财政专户管理资金收入支出决算表</w:t>
      </w:r>
    </w:p>
    <w:p>
      <w:pPr>
        <w:pStyle w:val="2"/>
        <w:keepNext w:val="0"/>
        <w:keepLines w:val="0"/>
        <w:widowControl/>
        <w:suppressLineNumbers w:val="0"/>
        <w:spacing w:before="75" w:beforeAutospacing="0" w:after="75" w:afterAutospacing="0"/>
        <w:ind w:left="0" w:right="0"/>
      </w:pPr>
      <w:r>
        <w:rPr>
          <w:rFonts w:hint="eastAsia" w:ascii="楷体" w:hAnsi="楷体" w:eastAsia="楷体" w:cs="楷体"/>
          <w:sz w:val="30"/>
          <w:szCs w:val="30"/>
        </w:rPr>
        <w:t>九、“三公”经费、行政参公单位机关运行经费情况表</w:t>
      </w:r>
    </w:p>
    <w:p>
      <w:pPr>
        <w:pStyle w:val="2"/>
        <w:keepNext w:val="0"/>
        <w:keepLines w:val="0"/>
        <w:widowControl/>
        <w:suppressLineNumbers w:val="0"/>
        <w:spacing w:before="75" w:beforeAutospacing="0" w:after="75" w:afterAutospacing="0"/>
        <w:ind w:left="0" w:right="0" w:firstLine="1350"/>
      </w:pPr>
      <w:r>
        <w:rPr>
          <w:rFonts w:hint="eastAsia" w:ascii="楷体" w:hAnsi="楷体" w:eastAsia="楷体" w:cs="楷体"/>
          <w:sz w:val="30"/>
          <w:szCs w:val="30"/>
        </w:rPr>
        <w:t>（详见附表）</w:t>
      </w:r>
    </w:p>
    <w:p>
      <w:pPr>
        <w:pStyle w:val="2"/>
        <w:keepNext w:val="0"/>
        <w:keepLines w:val="0"/>
        <w:widowControl/>
        <w:suppressLineNumbers w:val="0"/>
        <w:spacing w:before="75" w:beforeAutospacing="0" w:after="75" w:afterAutospacing="0"/>
        <w:ind w:left="0" w:right="0"/>
        <w:jc w:val="center"/>
      </w:pPr>
      <w:r>
        <w:rPr>
          <w:rFonts w:hint="eastAsia" w:ascii="黑体" w:hAnsi="宋体" w:eastAsia="黑体" w:cs="黑体"/>
          <w:sz w:val="31"/>
          <w:szCs w:val="31"/>
        </w:rPr>
        <w:t>第三部分 2018年度部门决算情况说明</w:t>
      </w:r>
    </w:p>
    <w:p>
      <w:pPr>
        <w:pStyle w:val="2"/>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一、收入决算情况说明</w:t>
      </w:r>
    </w:p>
    <w:p>
      <w:pPr>
        <w:pStyle w:val="2"/>
        <w:keepNext w:val="0"/>
        <w:keepLines w:val="0"/>
        <w:widowControl/>
        <w:suppressLineNumbers w:val="0"/>
        <w:spacing w:before="105" w:beforeAutospacing="0" w:after="105" w:afterAutospacing="0" w:line="600" w:lineRule="atLeast"/>
        <w:ind w:left="0" w:right="0" w:firstLine="540"/>
      </w:pPr>
      <w:r>
        <w:rPr>
          <w:rFonts w:hint="default" w:ascii="仿宋_GB2312" w:eastAsia="仿宋_GB2312" w:cs="仿宋_GB2312"/>
          <w:sz w:val="30"/>
          <w:szCs w:val="30"/>
        </w:rPr>
        <w:t>2018年度收入合计18380.74万元。其中：财政拨款收入18380.74万元，占总收入的100%；上级补助收入0万元，占总收入的0%；事业收入0万元，占总收入的0%；经营收入0万元，占总收入的0%；附属单位缴款收入0万元，占总收入的0%；其他收入0万元，占总收入的0%。与上年对比增加13689.8万元，主要原因是项目增加，职工工资增加。</w:t>
      </w:r>
    </w:p>
    <w:p>
      <w:pPr>
        <w:pStyle w:val="2"/>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二、支出决算情况说明</w:t>
      </w:r>
    </w:p>
    <w:p>
      <w:pPr>
        <w:pStyle w:val="2"/>
        <w:keepNext w:val="0"/>
        <w:keepLines w:val="0"/>
        <w:widowControl/>
        <w:suppressLineNumbers w:val="0"/>
        <w:spacing w:before="75" w:beforeAutospacing="0" w:after="75" w:afterAutospacing="0" w:line="600" w:lineRule="atLeast"/>
        <w:ind w:left="0" w:right="0" w:firstLine="600"/>
      </w:pPr>
      <w:r>
        <w:rPr>
          <w:rFonts w:hint="default" w:ascii="仿宋_GB2312" w:eastAsia="仿宋_GB2312" w:cs="仿宋_GB2312"/>
          <w:sz w:val="30"/>
          <w:szCs w:val="30"/>
        </w:rPr>
        <w:t>2018部门2018年度支出合计9836.74万元。其中：基本支出3345.35万元，占总支出的34％；项目支出6490.89万元，占总支出的65％；上缴上级支出、经营支出、对附属单位补助支出共0万元，占总支出的0％。与上年对比基本支出增加2472.13万元,主要是一、调入人员2名。二、工资晋级。项目支出与上年对比增加4196.4万元。</w:t>
      </w:r>
    </w:p>
    <w:p>
      <w:pPr>
        <w:pStyle w:val="2"/>
        <w:keepNext w:val="0"/>
        <w:keepLines w:val="0"/>
        <w:widowControl/>
        <w:suppressLineNumbers w:val="0"/>
        <w:spacing w:before="105" w:beforeAutospacing="0" w:after="105" w:afterAutospacing="0" w:line="600" w:lineRule="atLeast"/>
        <w:ind w:left="0" w:right="0" w:firstLine="600"/>
      </w:pPr>
      <w:r>
        <w:rPr>
          <w:rFonts w:hint="eastAsia" w:ascii="楷体" w:hAnsi="楷体" w:eastAsia="楷体" w:cs="楷体"/>
          <w:sz w:val="30"/>
          <w:szCs w:val="30"/>
        </w:rPr>
        <w:t>（一）基本支出情况</w:t>
      </w:r>
    </w:p>
    <w:p>
      <w:pPr>
        <w:pStyle w:val="2"/>
        <w:keepNext w:val="0"/>
        <w:keepLines w:val="0"/>
        <w:widowControl/>
        <w:suppressLineNumbers w:val="0"/>
        <w:spacing w:before="105" w:beforeAutospacing="0" w:after="105" w:afterAutospacing="0" w:line="600" w:lineRule="atLeast"/>
        <w:ind w:left="0" w:right="0" w:firstLine="600"/>
      </w:pPr>
      <w:r>
        <w:rPr>
          <w:rFonts w:hint="default" w:ascii="仿宋_GB2312" w:eastAsia="仿宋_GB2312" w:cs="仿宋_GB2312"/>
          <w:sz w:val="30"/>
          <w:szCs w:val="30"/>
        </w:rPr>
        <w:t>2018年度用于保障住建局机关、下属事业单位等机构正常运转的日常支出349.33万元。与上年对比减少523.86万元,主要原因厉行节约。包括基本工资、津贴补贴等人员经费支出占基本支出的0.01％；办公费、印刷费、水电费、办公设备购置等日常公用经费占基本支出的0.01％。</w:t>
      </w:r>
    </w:p>
    <w:p>
      <w:pPr>
        <w:pStyle w:val="2"/>
        <w:keepNext w:val="0"/>
        <w:keepLines w:val="0"/>
        <w:widowControl/>
        <w:suppressLineNumbers w:val="0"/>
        <w:spacing w:before="105" w:beforeAutospacing="0" w:after="105" w:afterAutospacing="0" w:line="600" w:lineRule="atLeast"/>
        <w:ind w:left="0" w:right="0" w:firstLine="600"/>
      </w:pPr>
      <w:r>
        <w:rPr>
          <w:rFonts w:hint="eastAsia" w:ascii="楷体" w:hAnsi="楷体" w:eastAsia="楷体" w:cs="楷体"/>
          <w:sz w:val="30"/>
          <w:szCs w:val="30"/>
        </w:rPr>
        <w:t>（二）项目支出情况</w:t>
      </w:r>
    </w:p>
    <w:p>
      <w:pPr>
        <w:pStyle w:val="2"/>
        <w:keepNext w:val="0"/>
        <w:keepLines w:val="0"/>
        <w:widowControl/>
        <w:suppressLineNumbers w:val="0"/>
        <w:spacing w:before="105" w:beforeAutospacing="0" w:after="105" w:afterAutospacing="0" w:line="600" w:lineRule="atLeast"/>
        <w:ind w:left="0" w:right="0" w:firstLine="600"/>
      </w:pPr>
      <w:r>
        <w:rPr>
          <w:rFonts w:hint="default" w:ascii="仿宋_GB2312" w:eastAsia="仿宋_GB2312" w:cs="仿宋_GB2312"/>
          <w:sz w:val="30"/>
          <w:szCs w:val="30"/>
        </w:rPr>
        <w:t>2018年度用于保障住建局机构、下属事业单位等机构为完成特定的行政工作任务或事业发展目标，用于专项业务工作的经费支出</w:t>
      </w:r>
      <w:r>
        <w:rPr>
          <w:rFonts w:hint="eastAsia" w:ascii="楷体" w:hAnsi="楷体" w:eastAsia="楷体" w:cs="楷体"/>
          <w:sz w:val="30"/>
          <w:szCs w:val="30"/>
        </w:rPr>
        <w:t>4669,57万元。与上年对比增加2375.08万元,主要原因就是项目增加。</w:t>
      </w:r>
    </w:p>
    <w:p>
      <w:pPr>
        <w:pStyle w:val="2"/>
        <w:keepNext w:val="0"/>
        <w:keepLines w:val="0"/>
        <w:widowControl/>
        <w:suppressLineNumbers w:val="0"/>
        <w:spacing w:before="105" w:beforeAutospacing="0" w:after="105" w:afterAutospacing="0" w:line="600" w:lineRule="atLeast"/>
        <w:ind w:left="0" w:right="0" w:firstLine="600"/>
      </w:pPr>
      <w:r>
        <w:rPr>
          <w:rFonts w:hint="eastAsia" w:ascii="黑体" w:hAnsi="宋体" w:eastAsia="黑体" w:cs="黑体"/>
          <w:sz w:val="30"/>
          <w:szCs w:val="30"/>
        </w:rPr>
        <w:t>三、一般公共预算财政拨款支出决算情况说明</w:t>
      </w:r>
    </w:p>
    <w:p>
      <w:pPr>
        <w:pStyle w:val="2"/>
        <w:keepNext w:val="0"/>
        <w:keepLines w:val="0"/>
        <w:widowControl/>
        <w:suppressLineNumbers w:val="0"/>
        <w:spacing w:before="105" w:beforeAutospacing="0" w:after="105" w:afterAutospacing="0" w:line="600" w:lineRule="atLeast"/>
        <w:ind w:left="0" w:right="0" w:firstLine="600"/>
      </w:pPr>
      <w:r>
        <w:rPr>
          <w:rFonts w:hint="eastAsia" w:ascii="楷体" w:hAnsi="楷体" w:eastAsia="楷体" w:cs="楷体"/>
          <w:sz w:val="30"/>
          <w:szCs w:val="30"/>
        </w:rPr>
        <w:t>（一）一般公共预算财政拨款支出决算总体情况</w:t>
      </w:r>
    </w:p>
    <w:p>
      <w:pPr>
        <w:pStyle w:val="2"/>
        <w:keepNext w:val="0"/>
        <w:keepLines w:val="0"/>
        <w:widowControl/>
        <w:suppressLineNumbers w:val="0"/>
        <w:spacing w:before="105" w:beforeAutospacing="0" w:after="105" w:afterAutospacing="0" w:line="600" w:lineRule="atLeast"/>
        <w:ind w:left="0" w:right="0" w:firstLine="600"/>
      </w:pPr>
      <w:r>
        <w:rPr>
          <w:rFonts w:hint="default" w:ascii="仿宋_GB2312" w:eastAsia="仿宋_GB2312" w:cs="仿宋_GB2312"/>
          <w:sz w:val="30"/>
          <w:szCs w:val="30"/>
        </w:rPr>
        <w:t>我局2018年度一般公共预算财政拨款支出9836.74万元,占本年支出合计的0.01%。与上年对比增加6669.1万元,主要原因是建设项目增加。</w:t>
      </w:r>
    </w:p>
    <w:p>
      <w:pPr>
        <w:pStyle w:val="2"/>
        <w:keepNext w:val="0"/>
        <w:keepLines w:val="0"/>
        <w:widowControl/>
        <w:suppressLineNumbers w:val="0"/>
        <w:spacing w:before="105" w:beforeAutospacing="0" w:after="105" w:afterAutospacing="0" w:line="600" w:lineRule="atLeast"/>
        <w:ind w:left="0" w:right="0" w:firstLine="600"/>
      </w:pPr>
      <w:r>
        <w:rPr>
          <w:rFonts w:hint="eastAsia" w:ascii="楷体" w:hAnsi="楷体" w:eastAsia="楷体" w:cs="楷体"/>
          <w:sz w:val="30"/>
          <w:szCs w:val="30"/>
        </w:rPr>
        <w:t>（二）一般公共预算财政拨款支出决算具体情况</w:t>
      </w:r>
    </w:p>
    <w:p>
      <w:pPr>
        <w:pStyle w:val="2"/>
        <w:keepNext w:val="0"/>
        <w:keepLines w:val="0"/>
        <w:widowControl/>
        <w:suppressLineNumbers w:val="0"/>
        <w:spacing w:before="105" w:beforeAutospacing="0" w:after="105" w:afterAutospacing="0" w:line="315" w:lineRule="atLeast"/>
        <w:ind w:left="0" w:right="0" w:firstLine="600"/>
      </w:pPr>
      <w:r>
        <w:rPr>
          <w:rFonts w:hint="default" w:ascii="仿宋_GB2312" w:eastAsia="仿宋_GB2312" w:cs="仿宋_GB2312"/>
          <w:sz w:val="30"/>
          <w:szCs w:val="30"/>
        </w:rPr>
        <w:t>1</w:t>
      </w:r>
      <w:r>
        <w:rPr>
          <w:rFonts w:hint="eastAsia" w:ascii="仿宋_GB2312" w:eastAsia="仿宋_GB2312" w:cs="仿宋_GB2312"/>
          <w:sz w:val="30"/>
          <w:szCs w:val="30"/>
          <w:lang w:eastAsia="zh-CN"/>
        </w:rPr>
        <w:t>、</w:t>
      </w:r>
      <w:r>
        <w:rPr>
          <w:rFonts w:hint="default" w:ascii="仿宋_GB2312" w:eastAsia="仿宋_GB2312" w:cs="仿宋_GB2312"/>
          <w:sz w:val="30"/>
          <w:szCs w:val="30"/>
        </w:rPr>
        <w:t>一般公共服务（类）支出0万元，占一般公共预算财政拨款总支出的0%。</w:t>
      </w:r>
    </w:p>
    <w:p>
      <w:pPr>
        <w:pStyle w:val="2"/>
        <w:keepNext w:val="0"/>
        <w:keepLines w:val="0"/>
        <w:widowControl/>
        <w:suppressLineNumbers w:val="0"/>
        <w:spacing w:before="105" w:beforeAutospacing="0" w:after="105" w:afterAutospacing="0" w:line="315" w:lineRule="atLeast"/>
        <w:ind w:left="0" w:right="0" w:firstLine="600"/>
      </w:pPr>
      <w:r>
        <w:rPr>
          <w:rFonts w:hint="default" w:ascii="仿宋_GB2312" w:eastAsia="仿宋_GB2312" w:cs="仿宋_GB2312"/>
          <w:sz w:val="30"/>
          <w:szCs w:val="30"/>
        </w:rPr>
        <w:t>2</w:t>
      </w:r>
      <w:r>
        <w:rPr>
          <w:rFonts w:hint="eastAsia" w:ascii="仿宋_GB2312" w:eastAsia="仿宋_GB2312" w:cs="仿宋_GB2312"/>
          <w:sz w:val="30"/>
          <w:szCs w:val="30"/>
          <w:lang w:eastAsia="zh-CN"/>
        </w:rPr>
        <w:t>、</w:t>
      </w:r>
      <w:r>
        <w:rPr>
          <w:rFonts w:hint="default" w:ascii="仿宋_GB2312" w:eastAsia="仿宋_GB2312" w:cs="仿宋_GB2312"/>
          <w:sz w:val="30"/>
          <w:szCs w:val="30"/>
        </w:rPr>
        <w:t>外交（类）支出0万元，占一般公共预算财政拨款总支出的0%。</w:t>
      </w:r>
    </w:p>
    <w:p>
      <w:pPr>
        <w:pStyle w:val="2"/>
        <w:keepNext w:val="0"/>
        <w:keepLines w:val="0"/>
        <w:widowControl/>
        <w:suppressLineNumbers w:val="0"/>
        <w:spacing w:before="105" w:beforeAutospacing="0" w:after="105" w:afterAutospacing="0" w:line="315" w:lineRule="atLeast"/>
        <w:ind w:left="0" w:right="0" w:firstLine="600"/>
      </w:pPr>
      <w:r>
        <w:rPr>
          <w:rFonts w:hint="default" w:ascii="仿宋_GB2312" w:eastAsia="仿宋_GB2312" w:cs="仿宋_GB2312"/>
          <w:sz w:val="30"/>
          <w:szCs w:val="30"/>
        </w:rPr>
        <w:t>3</w:t>
      </w:r>
      <w:r>
        <w:rPr>
          <w:rFonts w:hint="eastAsia" w:ascii="仿宋_GB2312" w:eastAsia="仿宋_GB2312" w:cs="仿宋_GB2312"/>
          <w:sz w:val="30"/>
          <w:szCs w:val="30"/>
          <w:lang w:eastAsia="zh-CN"/>
        </w:rPr>
        <w:t>、</w:t>
      </w:r>
      <w:r>
        <w:rPr>
          <w:rFonts w:hint="default" w:ascii="仿宋_GB2312" w:eastAsia="仿宋_GB2312" w:cs="仿宋_GB2312"/>
          <w:sz w:val="30"/>
          <w:szCs w:val="30"/>
        </w:rPr>
        <w:t>国防（类）支出0万元，占一般公共预算财政拨款总支出的0%。</w:t>
      </w:r>
    </w:p>
    <w:p>
      <w:pPr>
        <w:pStyle w:val="2"/>
        <w:keepNext w:val="0"/>
        <w:keepLines w:val="0"/>
        <w:widowControl/>
        <w:suppressLineNumbers w:val="0"/>
        <w:spacing w:before="105" w:beforeAutospacing="0" w:after="105" w:afterAutospacing="0" w:line="315" w:lineRule="atLeast"/>
        <w:ind w:left="0" w:right="0" w:firstLine="600"/>
      </w:pPr>
      <w:r>
        <w:rPr>
          <w:rFonts w:hint="default" w:ascii="仿宋_GB2312" w:eastAsia="仿宋_GB2312" w:cs="仿宋_GB2312"/>
          <w:sz w:val="30"/>
          <w:szCs w:val="30"/>
        </w:rPr>
        <w:t>4</w:t>
      </w:r>
      <w:r>
        <w:rPr>
          <w:rFonts w:hint="eastAsia" w:ascii="仿宋_GB2312" w:eastAsia="仿宋_GB2312" w:cs="仿宋_GB2312"/>
          <w:sz w:val="30"/>
          <w:szCs w:val="30"/>
          <w:lang w:eastAsia="zh-CN"/>
        </w:rPr>
        <w:t>、</w:t>
      </w:r>
      <w:r>
        <w:rPr>
          <w:rFonts w:hint="default" w:ascii="仿宋_GB2312" w:eastAsia="仿宋_GB2312" w:cs="仿宋_GB2312"/>
          <w:sz w:val="30"/>
          <w:szCs w:val="30"/>
        </w:rPr>
        <w:t>公共安全（类）支出0万元，占一般公共预算财政拨款总支出的0%。</w:t>
      </w:r>
    </w:p>
    <w:p>
      <w:pPr>
        <w:pStyle w:val="2"/>
        <w:keepNext w:val="0"/>
        <w:keepLines w:val="0"/>
        <w:widowControl/>
        <w:suppressLineNumbers w:val="0"/>
        <w:spacing w:before="105" w:beforeAutospacing="0" w:after="105" w:afterAutospacing="0" w:line="315" w:lineRule="atLeast"/>
        <w:ind w:left="0" w:right="0" w:firstLine="600"/>
      </w:pPr>
      <w:r>
        <w:rPr>
          <w:rFonts w:hint="eastAsia" w:ascii="黑体" w:hAnsi="宋体" w:eastAsia="黑体" w:cs="黑体"/>
          <w:sz w:val="30"/>
          <w:szCs w:val="30"/>
        </w:rPr>
        <w:t>四、一般公共预算财政拨款“三公”经费支出决算情况说明</w:t>
      </w:r>
    </w:p>
    <w:p>
      <w:pPr>
        <w:pStyle w:val="2"/>
        <w:keepNext w:val="0"/>
        <w:keepLines w:val="0"/>
        <w:widowControl/>
        <w:suppressLineNumbers w:val="0"/>
        <w:spacing w:before="105" w:beforeAutospacing="0" w:after="105" w:afterAutospacing="0" w:line="315" w:lineRule="atLeast"/>
        <w:ind w:left="0" w:right="0" w:firstLine="600"/>
      </w:pPr>
      <w:r>
        <w:rPr>
          <w:rFonts w:hint="eastAsia" w:ascii="楷体" w:hAnsi="楷体" w:eastAsia="楷体" w:cs="楷体"/>
          <w:sz w:val="30"/>
          <w:szCs w:val="30"/>
        </w:rPr>
        <w:t>(一)</w:t>
      </w:r>
      <w:r>
        <w:rPr>
          <w:rFonts w:hint="eastAsia" w:ascii="黑体" w:hAnsi="宋体" w:eastAsia="黑体" w:cs="黑体"/>
          <w:sz w:val="30"/>
          <w:szCs w:val="30"/>
        </w:rPr>
        <w:t> </w:t>
      </w:r>
      <w:r>
        <w:rPr>
          <w:rFonts w:hint="eastAsia" w:ascii="楷体" w:hAnsi="楷体" w:eastAsia="楷体" w:cs="楷体"/>
          <w:sz w:val="30"/>
          <w:szCs w:val="30"/>
        </w:rPr>
        <w:t>一般公共预算财政拨款“三公”经费支出决算总体情况</w:t>
      </w:r>
    </w:p>
    <w:p>
      <w:pPr>
        <w:pStyle w:val="2"/>
        <w:keepNext w:val="0"/>
        <w:keepLines w:val="0"/>
        <w:widowControl/>
        <w:suppressLineNumbers w:val="0"/>
        <w:spacing w:before="105" w:beforeAutospacing="0" w:after="105" w:afterAutospacing="0" w:line="315" w:lineRule="atLeast"/>
        <w:ind w:left="0" w:right="0" w:firstLine="600"/>
      </w:pPr>
      <w:r>
        <w:rPr>
          <w:rFonts w:hint="default" w:ascii="仿宋_GB2312" w:eastAsia="仿宋_GB2312" w:cs="仿宋_GB2312"/>
          <w:sz w:val="30"/>
          <w:szCs w:val="30"/>
        </w:rPr>
        <w:t>住建局2018年度一般公共预算财政拨款“三公”经费支出预算为4.03万元，支出决算为4.03万元，完成预算的100%。其中：无因公出国（境）费支出；公务用车购置及运行费支出决算为4.03万元，完成预算的100%；无公务接待费支出。</w:t>
      </w:r>
    </w:p>
    <w:p>
      <w:pPr>
        <w:pStyle w:val="2"/>
        <w:keepNext w:val="0"/>
        <w:keepLines w:val="0"/>
        <w:widowControl/>
        <w:suppressLineNumbers w:val="0"/>
        <w:spacing w:before="105" w:beforeAutospacing="0" w:after="105" w:afterAutospacing="0" w:line="315" w:lineRule="atLeast"/>
        <w:ind w:left="0" w:right="0" w:firstLine="600"/>
      </w:pPr>
      <w:r>
        <w:rPr>
          <w:rFonts w:hint="default" w:ascii="仿宋_GB2312" w:eastAsia="仿宋_GB2312" w:cs="仿宋_GB2312"/>
          <w:sz w:val="30"/>
          <w:szCs w:val="30"/>
        </w:rPr>
        <w:t>2018年度一般公共预算财政拨款“三公”经费支出决算数比2017年增加2.01万元，增长50%。其中：公务用车购置及运行费支出决算增加2.01万元，增长50%；2018年度一般公共预算财政拨款“三公”经费支出决算增加的主要原因原料上涨，人员增加2人，没有超出财政预算。</w:t>
      </w:r>
    </w:p>
    <w:p>
      <w:pPr>
        <w:pStyle w:val="2"/>
        <w:keepNext w:val="0"/>
        <w:keepLines w:val="0"/>
        <w:widowControl/>
        <w:suppressLineNumbers w:val="0"/>
        <w:spacing w:before="105" w:beforeAutospacing="0" w:after="105" w:afterAutospacing="0" w:line="315" w:lineRule="atLeast"/>
        <w:ind w:left="0" w:right="0" w:firstLine="600"/>
      </w:pPr>
      <w:r>
        <w:rPr>
          <w:rFonts w:hint="eastAsia" w:ascii="楷体" w:hAnsi="楷体" w:eastAsia="楷体" w:cs="楷体"/>
          <w:sz w:val="30"/>
          <w:szCs w:val="30"/>
        </w:rPr>
        <w:t>(二)</w:t>
      </w:r>
      <w:r>
        <w:rPr>
          <w:rFonts w:hint="default" w:ascii="仿宋_GB2312" w:eastAsia="仿宋_GB2312" w:cs="仿宋_GB2312"/>
          <w:sz w:val="30"/>
          <w:szCs w:val="30"/>
        </w:rPr>
        <w:t> </w:t>
      </w:r>
      <w:r>
        <w:rPr>
          <w:rFonts w:hint="eastAsia" w:ascii="楷体" w:hAnsi="楷体" w:eastAsia="楷体" w:cs="楷体"/>
          <w:sz w:val="30"/>
          <w:szCs w:val="30"/>
        </w:rPr>
        <w:t>一般公共预算财政拨款“三公”经费支出决算具体情况</w:t>
      </w:r>
    </w:p>
    <w:p>
      <w:pPr>
        <w:pStyle w:val="2"/>
        <w:keepNext w:val="0"/>
        <w:keepLines w:val="0"/>
        <w:widowControl/>
        <w:suppressLineNumbers w:val="0"/>
        <w:spacing w:before="105" w:beforeAutospacing="0" w:after="105" w:afterAutospacing="0" w:line="315" w:lineRule="atLeast"/>
        <w:ind w:left="0" w:right="0" w:firstLine="600"/>
      </w:pPr>
      <w:r>
        <w:rPr>
          <w:rFonts w:hint="default" w:ascii="仿宋_GB2312" w:eastAsia="仿宋_GB2312" w:cs="仿宋_GB2312"/>
          <w:sz w:val="30"/>
          <w:szCs w:val="30"/>
        </w:rPr>
        <w:t>2018年度一般公共预算财政拨款“三公”经费支出决算中，无因公出国（境）费支出；公务用车购置及运行维护费支出4.03万元，占100%；无公务接待费支出。具体情况如下：</w:t>
      </w:r>
    </w:p>
    <w:p>
      <w:pPr>
        <w:pStyle w:val="2"/>
        <w:keepNext w:val="0"/>
        <w:keepLines w:val="0"/>
        <w:widowControl/>
        <w:suppressLineNumbers w:val="0"/>
        <w:spacing w:before="105" w:beforeAutospacing="0" w:after="105" w:afterAutospacing="0" w:line="315" w:lineRule="atLeast"/>
        <w:ind w:left="0" w:right="0" w:firstLine="600"/>
      </w:pPr>
      <w:r>
        <w:rPr>
          <w:rStyle w:val="4"/>
          <w:rFonts w:hint="default" w:ascii="仿宋_GB2312" w:eastAsia="仿宋_GB2312" w:cs="仿宋_GB2312"/>
          <w:sz w:val="30"/>
          <w:szCs w:val="30"/>
        </w:rPr>
        <w:t>1</w:t>
      </w:r>
      <w:r>
        <w:rPr>
          <w:rStyle w:val="4"/>
          <w:rFonts w:hint="eastAsia" w:ascii="仿宋_GB2312" w:eastAsia="仿宋_GB2312" w:cs="仿宋_GB2312"/>
          <w:sz w:val="30"/>
          <w:szCs w:val="30"/>
          <w:lang w:eastAsia="zh-CN"/>
        </w:rPr>
        <w:t>、</w:t>
      </w:r>
      <w:r>
        <w:rPr>
          <w:rStyle w:val="4"/>
          <w:rFonts w:hint="default" w:ascii="仿宋_GB2312" w:eastAsia="仿宋_GB2312" w:cs="仿宋_GB2312"/>
          <w:sz w:val="30"/>
          <w:szCs w:val="30"/>
        </w:rPr>
        <w:t>因公出国（境）费</w:t>
      </w:r>
      <w:r>
        <w:rPr>
          <w:rFonts w:hint="default" w:ascii="仿宋_GB2312" w:eastAsia="仿宋_GB2312" w:cs="仿宋_GB2312"/>
          <w:sz w:val="30"/>
          <w:szCs w:val="30"/>
        </w:rPr>
        <w:t>支出0万元，共安排因公出国（境）团组0个，累计0人次。</w:t>
      </w:r>
    </w:p>
    <w:p>
      <w:pPr>
        <w:pStyle w:val="2"/>
        <w:keepNext w:val="0"/>
        <w:keepLines w:val="0"/>
        <w:widowControl/>
        <w:suppressLineNumbers w:val="0"/>
        <w:spacing w:before="105" w:beforeAutospacing="0" w:after="105" w:afterAutospacing="0" w:line="315" w:lineRule="atLeast"/>
        <w:ind w:left="0" w:right="0" w:firstLine="600"/>
      </w:pPr>
      <w:r>
        <w:rPr>
          <w:rStyle w:val="4"/>
          <w:rFonts w:hint="default" w:ascii="仿宋_GB2312" w:eastAsia="仿宋_GB2312" w:cs="仿宋_GB2312"/>
          <w:sz w:val="30"/>
          <w:szCs w:val="30"/>
        </w:rPr>
        <w:t>2</w:t>
      </w:r>
      <w:r>
        <w:rPr>
          <w:rStyle w:val="4"/>
          <w:rFonts w:hint="eastAsia" w:ascii="仿宋_GB2312" w:eastAsia="仿宋_GB2312" w:cs="仿宋_GB2312"/>
          <w:sz w:val="30"/>
          <w:szCs w:val="30"/>
          <w:lang w:eastAsia="zh-CN"/>
        </w:rPr>
        <w:t>、</w:t>
      </w:r>
      <w:r>
        <w:rPr>
          <w:rStyle w:val="4"/>
          <w:rFonts w:hint="default" w:ascii="仿宋_GB2312" w:eastAsia="仿宋_GB2312" w:cs="仿宋_GB2312"/>
          <w:sz w:val="30"/>
          <w:szCs w:val="30"/>
        </w:rPr>
        <w:t>公务用车购置及运行维护费</w:t>
      </w:r>
      <w:r>
        <w:rPr>
          <w:rFonts w:hint="default" w:ascii="仿宋_GB2312" w:eastAsia="仿宋_GB2312" w:cs="仿宋_GB2312"/>
          <w:sz w:val="30"/>
          <w:szCs w:val="30"/>
        </w:rPr>
        <w:t>支出4.03万元。</w:t>
      </w:r>
    </w:p>
    <w:p>
      <w:pPr>
        <w:pStyle w:val="2"/>
        <w:keepNext w:val="0"/>
        <w:keepLines w:val="0"/>
        <w:widowControl/>
        <w:suppressLineNumbers w:val="0"/>
        <w:spacing w:before="105" w:beforeAutospacing="0" w:after="105" w:afterAutospacing="0" w:line="315" w:lineRule="atLeast"/>
        <w:ind w:left="0" w:right="0" w:firstLine="600"/>
      </w:pPr>
      <w:r>
        <w:rPr>
          <w:rStyle w:val="4"/>
          <w:rFonts w:hint="default" w:ascii="仿宋_GB2312" w:eastAsia="仿宋_GB2312" w:cs="仿宋_GB2312"/>
          <w:sz w:val="30"/>
          <w:szCs w:val="30"/>
        </w:rPr>
        <w:t>公务用车购置</w:t>
      </w:r>
      <w:r>
        <w:rPr>
          <w:rFonts w:hint="default" w:ascii="仿宋_GB2312" w:eastAsia="仿宋_GB2312" w:cs="仿宋_GB2312"/>
          <w:sz w:val="30"/>
          <w:szCs w:val="30"/>
        </w:rPr>
        <w:t>支出0万元，购置车辆0辆。</w:t>
      </w:r>
    </w:p>
    <w:p>
      <w:pPr>
        <w:pStyle w:val="2"/>
        <w:keepNext w:val="0"/>
        <w:keepLines w:val="0"/>
        <w:widowControl/>
        <w:suppressLineNumbers w:val="0"/>
        <w:spacing w:before="105" w:beforeAutospacing="0" w:after="105" w:afterAutospacing="0" w:line="315" w:lineRule="atLeast"/>
        <w:ind w:left="0" w:right="0" w:firstLine="600"/>
      </w:pPr>
      <w:r>
        <w:rPr>
          <w:rStyle w:val="4"/>
          <w:rFonts w:hint="default" w:ascii="仿宋_GB2312" w:eastAsia="仿宋_GB2312" w:cs="仿宋_GB2312"/>
          <w:sz w:val="30"/>
          <w:szCs w:val="30"/>
        </w:rPr>
        <w:t>公务用车运行维护</w:t>
      </w:r>
      <w:r>
        <w:rPr>
          <w:rFonts w:hint="default" w:ascii="仿宋_GB2312" w:eastAsia="仿宋_GB2312" w:cs="仿宋_GB2312"/>
          <w:sz w:val="30"/>
          <w:szCs w:val="30"/>
        </w:rPr>
        <w:t>支出4.03万元，开支一般公共预算财政拨款的公务用车保有量为2辆。主要用于人民防空工作所需车辆燃料费、维修费、过路过桥费、保险费等。增加的主要原因是：原料上涨，人员增加2人，没有超出财政预算。</w:t>
      </w:r>
    </w:p>
    <w:p>
      <w:pPr>
        <w:pStyle w:val="2"/>
        <w:keepNext w:val="0"/>
        <w:keepLines w:val="0"/>
        <w:widowControl/>
        <w:suppressLineNumbers w:val="0"/>
        <w:spacing w:before="105" w:beforeAutospacing="0" w:after="105" w:afterAutospacing="0" w:line="315" w:lineRule="atLeast"/>
        <w:ind w:left="0" w:right="0" w:firstLine="600"/>
      </w:pPr>
      <w:r>
        <w:rPr>
          <w:rStyle w:val="4"/>
          <w:rFonts w:hint="default" w:ascii="仿宋_GB2312" w:eastAsia="仿宋_GB2312" w:cs="仿宋_GB2312"/>
          <w:sz w:val="30"/>
          <w:szCs w:val="30"/>
        </w:rPr>
        <w:t>3</w:t>
      </w:r>
      <w:r>
        <w:rPr>
          <w:rStyle w:val="4"/>
          <w:rFonts w:hint="eastAsia" w:ascii="仿宋_GB2312" w:eastAsia="仿宋_GB2312" w:cs="仿宋_GB2312"/>
          <w:sz w:val="30"/>
          <w:szCs w:val="30"/>
          <w:lang w:eastAsia="zh-CN"/>
        </w:rPr>
        <w:t>、</w:t>
      </w:r>
      <w:r>
        <w:rPr>
          <w:rStyle w:val="4"/>
          <w:rFonts w:hint="default" w:ascii="仿宋_GB2312" w:eastAsia="仿宋_GB2312" w:cs="仿宋_GB2312"/>
          <w:sz w:val="30"/>
          <w:szCs w:val="30"/>
        </w:rPr>
        <w:t>无公务接待费</w:t>
      </w:r>
      <w:r>
        <w:rPr>
          <w:rFonts w:hint="default" w:ascii="仿宋_GB2312" w:eastAsia="仿宋_GB2312" w:cs="仿宋_GB2312"/>
          <w:sz w:val="30"/>
          <w:szCs w:val="30"/>
        </w:rPr>
        <w:t>支出。无</w:t>
      </w:r>
      <w:r>
        <w:rPr>
          <w:rStyle w:val="4"/>
          <w:rFonts w:hint="default" w:ascii="仿宋_GB2312" w:eastAsia="仿宋_GB2312" w:cs="仿宋_GB2312"/>
          <w:sz w:val="30"/>
          <w:szCs w:val="30"/>
        </w:rPr>
        <w:t>国内接待费</w:t>
      </w:r>
      <w:r>
        <w:rPr>
          <w:rFonts w:hint="default" w:ascii="仿宋_GB2312" w:eastAsia="仿宋_GB2312" w:cs="仿宋_GB2312"/>
          <w:sz w:val="30"/>
          <w:szCs w:val="30"/>
        </w:rPr>
        <w:t>支出（其中：无外事接待费支出），无安排国内公务接待（其中：无外事接待）。</w:t>
      </w:r>
    </w:p>
    <w:p>
      <w:pPr>
        <w:pStyle w:val="2"/>
        <w:keepNext w:val="0"/>
        <w:keepLines w:val="0"/>
        <w:widowControl/>
        <w:suppressLineNumbers w:val="0"/>
        <w:spacing w:before="105" w:beforeAutospacing="0" w:after="105" w:afterAutospacing="0" w:line="315" w:lineRule="atLeast"/>
        <w:ind w:left="0" w:right="0" w:firstLine="600"/>
      </w:pPr>
      <w:r>
        <w:rPr>
          <w:rStyle w:val="4"/>
          <w:rFonts w:hint="default" w:ascii="仿宋_GB2312" w:eastAsia="仿宋_GB2312" w:cs="仿宋_GB2312"/>
          <w:sz w:val="30"/>
          <w:szCs w:val="30"/>
        </w:rPr>
        <w:t>无国（境）外接待费</w:t>
      </w:r>
      <w:r>
        <w:rPr>
          <w:rFonts w:hint="default" w:ascii="仿宋_GB2312" w:eastAsia="仿宋_GB2312" w:cs="仿宋_GB2312"/>
          <w:sz w:val="30"/>
          <w:szCs w:val="30"/>
        </w:rPr>
        <w:t>支出，无安排国（境）外公务接待。</w:t>
      </w:r>
    </w:p>
    <w:p>
      <w:pPr>
        <w:pStyle w:val="2"/>
        <w:keepNext w:val="0"/>
        <w:keepLines w:val="0"/>
        <w:widowControl/>
        <w:suppressLineNumbers w:val="0"/>
        <w:spacing w:before="105" w:beforeAutospacing="0" w:after="105" w:afterAutospacing="0" w:line="315" w:lineRule="atLeast"/>
        <w:ind w:left="0" w:right="0" w:firstLine="645"/>
      </w:pPr>
      <w:r>
        <w:rPr>
          <w:rFonts w:hint="eastAsia" w:ascii="黑体" w:hAnsi="宋体" w:eastAsia="黑体" w:cs="黑体"/>
          <w:sz w:val="31"/>
          <w:szCs w:val="31"/>
        </w:rPr>
        <w:t>第四部分 其他重要事项及相关口径情况说明</w:t>
      </w:r>
    </w:p>
    <w:p>
      <w:pPr>
        <w:pStyle w:val="2"/>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(一)、机关运行经费支出情况</w:t>
      </w:r>
    </w:p>
    <w:p>
      <w:pPr>
        <w:pStyle w:val="2"/>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住建局2018年机关运行经费支出349.33万元，与上年对比减少19.21万元,主要原因是厉行节约。部门机关运行经费主要用于办公费、水费、电费、差旅费等。</w:t>
      </w:r>
    </w:p>
    <w:p>
      <w:pPr>
        <w:pStyle w:val="2"/>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(二)、国有资产占用情况</w:t>
      </w:r>
    </w:p>
    <w:p>
      <w:pPr>
        <w:pStyle w:val="2"/>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截至2018年12月31日，区住建局资产总额12207.24万元，其中，流动资产11560.42万元，固定资产646.83万元，对外投资及有价证券0万元，在建工程0万元，无形资产0万元，其他资产0万元（具体内容详见附表）。与上年相比，本年资产总额减少153.7万元，其中固定资产减153.7万元。处置房屋建筑物平方米，账面原值0万元；处置车辆0辆，账面原值0万元；报废报损资产5项，账面原值153.7万元，实现资产处置收入0万元；出租房屋0平方米，账面原值0万元，实现资产使用收入0万元。</w:t>
      </w:r>
    </w:p>
    <w:tbl>
      <w:tblPr>
        <w:tblStyle w:val="6"/>
        <w:tblW w:w="98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03"/>
        <w:gridCol w:w="465"/>
        <w:gridCol w:w="790"/>
        <w:gridCol w:w="790"/>
        <w:gridCol w:w="600"/>
        <w:gridCol w:w="692"/>
        <w:gridCol w:w="682"/>
        <w:gridCol w:w="49"/>
        <w:gridCol w:w="717"/>
        <w:gridCol w:w="273"/>
        <w:gridCol w:w="605"/>
        <w:gridCol w:w="179"/>
        <w:gridCol w:w="798"/>
        <w:gridCol w:w="798"/>
        <w:gridCol w:w="301"/>
        <w:gridCol w:w="498"/>
        <w:gridCol w:w="294"/>
        <w:gridCol w:w="112"/>
        <w:gridCol w:w="404"/>
        <w:gridCol w:w="2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95" w:hRule="atLeast"/>
        </w:trPr>
        <w:tc>
          <w:tcPr>
            <w:tcW w:w="9650" w:type="dxa"/>
            <w:gridSpan w:val="19"/>
            <w:tcBorders>
              <w:top w:val="nil"/>
              <w:left w:val="nil"/>
              <w:bottom w:val="nil"/>
              <w:right w:val="nil"/>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Style w:val="4"/>
                <w:rFonts w:hint="default" w:ascii="仿宋_GB2312" w:eastAsia="仿宋_GB2312" w:cs="仿宋_GB2312"/>
                <w:sz w:val="30"/>
                <w:szCs w:val="30"/>
              </w:rPr>
              <w:t>国有资产占有使用情况表</w:t>
            </w:r>
          </w:p>
        </w:tc>
        <w:tc>
          <w:tcPr>
            <w:tcW w:w="220" w:type="dxa"/>
            <w:tcBorders>
              <w:lef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45" w:hRule="atLeast"/>
        </w:trPr>
        <w:tc>
          <w:tcPr>
            <w:tcW w:w="4671" w:type="dxa"/>
            <w:gridSpan w:val="8"/>
            <w:tcBorders>
              <w:top w:val="nil"/>
              <w:left w:val="nil"/>
              <w:bottom w:val="nil"/>
              <w:right w:val="nil"/>
            </w:tcBorders>
            <w:shd w:val="clear" w:color="auto" w:fill="FFFFFF"/>
            <w:vAlign w:val="center"/>
          </w:tcPr>
          <w:p>
            <w:pPr>
              <w:keepNext w:val="0"/>
              <w:keepLines w:val="0"/>
              <w:widowControl/>
              <w:suppressLineNumbers w:val="0"/>
              <w:jc w:val="left"/>
            </w:pPr>
          </w:p>
        </w:tc>
        <w:tc>
          <w:tcPr>
            <w:tcW w:w="717" w:type="dxa"/>
            <w:tcBorders>
              <w:top w:val="nil"/>
              <w:left w:val="nil"/>
              <w:bottom w:val="nil"/>
              <w:right w:val="nil"/>
            </w:tcBorders>
            <w:shd w:val="clear" w:color="auto" w:fill="FFFFFF"/>
            <w:vAlign w:val="center"/>
          </w:tcPr>
          <w:p>
            <w:pPr>
              <w:keepNext w:val="0"/>
              <w:keepLines w:val="0"/>
              <w:widowControl/>
              <w:suppressLineNumbers w:val="0"/>
              <w:jc w:val="left"/>
            </w:pPr>
          </w:p>
        </w:tc>
        <w:tc>
          <w:tcPr>
            <w:tcW w:w="878" w:type="dxa"/>
            <w:gridSpan w:val="2"/>
            <w:tcBorders>
              <w:top w:val="nil"/>
              <w:left w:val="nil"/>
              <w:bottom w:val="nil"/>
              <w:right w:val="nil"/>
            </w:tcBorders>
            <w:shd w:val="clear" w:color="auto" w:fill="FFFFFF"/>
            <w:vAlign w:val="center"/>
          </w:tcPr>
          <w:p>
            <w:pPr>
              <w:keepNext w:val="0"/>
              <w:keepLines w:val="0"/>
              <w:widowControl/>
              <w:suppressLineNumbers w:val="0"/>
              <w:jc w:val="left"/>
            </w:pPr>
          </w:p>
        </w:tc>
        <w:tc>
          <w:tcPr>
            <w:tcW w:w="179" w:type="dxa"/>
            <w:tcBorders>
              <w:top w:val="nil"/>
              <w:left w:val="nil"/>
              <w:bottom w:val="nil"/>
              <w:right w:val="nil"/>
            </w:tcBorders>
            <w:shd w:val="clear" w:color="auto" w:fill="FFFFFF"/>
            <w:vAlign w:val="center"/>
          </w:tcPr>
          <w:p>
            <w:pPr>
              <w:keepNext w:val="0"/>
              <w:keepLines w:val="0"/>
              <w:widowControl/>
              <w:suppressLineNumbers w:val="0"/>
              <w:jc w:val="left"/>
            </w:pPr>
          </w:p>
        </w:tc>
        <w:tc>
          <w:tcPr>
            <w:tcW w:w="798" w:type="dxa"/>
            <w:tcBorders>
              <w:top w:val="nil"/>
              <w:left w:val="nil"/>
              <w:bottom w:val="nil"/>
              <w:right w:val="nil"/>
            </w:tcBorders>
            <w:shd w:val="clear" w:color="auto" w:fill="FFFFFF"/>
            <w:vAlign w:val="center"/>
          </w:tcPr>
          <w:p>
            <w:pPr>
              <w:keepNext w:val="0"/>
              <w:keepLines w:val="0"/>
              <w:widowControl/>
              <w:suppressLineNumbers w:val="0"/>
              <w:jc w:val="left"/>
            </w:pPr>
          </w:p>
        </w:tc>
        <w:tc>
          <w:tcPr>
            <w:tcW w:w="798" w:type="dxa"/>
            <w:tcBorders>
              <w:top w:val="nil"/>
              <w:left w:val="nil"/>
              <w:bottom w:val="nil"/>
              <w:right w:val="nil"/>
            </w:tcBorders>
            <w:shd w:val="clear" w:color="auto" w:fill="FFFFFF"/>
            <w:vAlign w:val="center"/>
          </w:tcPr>
          <w:p>
            <w:pPr>
              <w:keepNext w:val="0"/>
              <w:keepLines w:val="0"/>
              <w:widowControl/>
              <w:suppressLineNumbers w:val="0"/>
              <w:jc w:val="left"/>
            </w:pPr>
          </w:p>
        </w:tc>
        <w:tc>
          <w:tcPr>
            <w:tcW w:w="1609" w:type="dxa"/>
            <w:gridSpan w:val="5"/>
            <w:tcBorders>
              <w:top w:val="nil"/>
              <w:left w:val="nil"/>
              <w:bottom w:val="nil"/>
              <w:right w:val="nil"/>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pPr>
            <w:r>
              <w:rPr>
                <w:rFonts w:hint="eastAsia" w:ascii="宋体" w:hAnsi="宋体" w:eastAsia="宋体" w:cs="宋体"/>
                <w:sz w:val="19"/>
                <w:szCs w:val="19"/>
              </w:rPr>
              <w:t>单位：万元</w:t>
            </w:r>
          </w:p>
        </w:tc>
        <w:tc>
          <w:tcPr>
            <w:tcW w:w="220" w:type="dxa"/>
            <w:tcBorders>
              <w:lef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603" w:type="dxa"/>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项目</w:t>
            </w:r>
          </w:p>
        </w:tc>
        <w:tc>
          <w:tcPr>
            <w:tcW w:w="465" w:type="dxa"/>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行次</w:t>
            </w:r>
          </w:p>
        </w:tc>
        <w:tc>
          <w:tcPr>
            <w:tcW w:w="790" w:type="dxa"/>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资产总额</w:t>
            </w:r>
          </w:p>
        </w:tc>
        <w:tc>
          <w:tcPr>
            <w:tcW w:w="790" w:type="dxa"/>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流动资产</w:t>
            </w:r>
          </w:p>
        </w:tc>
        <w:tc>
          <w:tcPr>
            <w:tcW w:w="3797" w:type="dxa"/>
            <w:gridSpan w:val="8"/>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固定资产</w:t>
            </w:r>
          </w:p>
        </w:tc>
        <w:tc>
          <w:tcPr>
            <w:tcW w:w="798" w:type="dxa"/>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对外投资/有价证券</w:t>
            </w:r>
          </w:p>
        </w:tc>
        <w:tc>
          <w:tcPr>
            <w:tcW w:w="798" w:type="dxa"/>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在建工程</w:t>
            </w:r>
          </w:p>
        </w:tc>
        <w:tc>
          <w:tcPr>
            <w:tcW w:w="799" w:type="dxa"/>
            <w:gridSpan w:val="2"/>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无形资产</w:t>
            </w:r>
          </w:p>
        </w:tc>
        <w:tc>
          <w:tcPr>
            <w:tcW w:w="810" w:type="dxa"/>
            <w:gridSpan w:val="3"/>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其他资产</w:t>
            </w:r>
          </w:p>
        </w:tc>
        <w:tc>
          <w:tcPr>
            <w:tcW w:w="220" w:type="dxa"/>
            <w:tcBorders>
              <w:top w:val="nil"/>
              <w:left w:val="nil"/>
              <w:bottom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45" w:hRule="atLeast"/>
        </w:trPr>
        <w:tc>
          <w:tcPr>
            <w:tcW w:w="603" w:type="dxa"/>
            <w:vMerge w:val="continue"/>
            <w:tcBorders>
              <w:top w:val="nil"/>
              <w:left w:val="nil"/>
              <w:bottom w:val="nil"/>
              <w:right w:val="nil"/>
            </w:tcBorders>
            <w:shd w:val="clear" w:color="auto" w:fill="auto"/>
            <w:vAlign w:val="center"/>
          </w:tcPr>
          <w:p>
            <w:pPr>
              <w:rPr>
                <w:rFonts w:hint="eastAsia" w:ascii="宋体"/>
                <w:sz w:val="24"/>
                <w:szCs w:val="24"/>
              </w:rPr>
            </w:pPr>
          </w:p>
        </w:tc>
        <w:tc>
          <w:tcPr>
            <w:tcW w:w="465" w:type="dxa"/>
            <w:vMerge w:val="continue"/>
            <w:tcBorders>
              <w:top w:val="nil"/>
              <w:left w:val="nil"/>
              <w:bottom w:val="nil"/>
              <w:right w:val="nil"/>
            </w:tcBorders>
            <w:shd w:val="clear" w:color="auto" w:fill="auto"/>
            <w:vAlign w:val="center"/>
          </w:tcPr>
          <w:p>
            <w:pPr>
              <w:rPr>
                <w:rFonts w:hint="eastAsia" w:ascii="宋体"/>
                <w:sz w:val="24"/>
                <w:szCs w:val="24"/>
              </w:rPr>
            </w:pPr>
          </w:p>
        </w:tc>
        <w:tc>
          <w:tcPr>
            <w:tcW w:w="790" w:type="dxa"/>
            <w:vMerge w:val="continue"/>
            <w:tcBorders>
              <w:top w:val="nil"/>
              <w:left w:val="nil"/>
              <w:bottom w:val="nil"/>
              <w:right w:val="nil"/>
            </w:tcBorders>
            <w:shd w:val="clear" w:color="auto" w:fill="auto"/>
            <w:vAlign w:val="center"/>
          </w:tcPr>
          <w:p>
            <w:pPr>
              <w:rPr>
                <w:rFonts w:hint="eastAsia" w:ascii="宋体"/>
                <w:sz w:val="24"/>
                <w:szCs w:val="24"/>
              </w:rPr>
            </w:pPr>
          </w:p>
        </w:tc>
        <w:tc>
          <w:tcPr>
            <w:tcW w:w="790" w:type="dxa"/>
            <w:vMerge w:val="continue"/>
            <w:tcBorders>
              <w:top w:val="nil"/>
              <w:left w:val="nil"/>
              <w:bottom w:val="nil"/>
              <w:right w:val="nil"/>
            </w:tcBorders>
            <w:shd w:val="clear" w:color="auto" w:fill="auto"/>
            <w:vAlign w:val="center"/>
          </w:tcPr>
          <w:p>
            <w:pPr>
              <w:rPr>
                <w:rFonts w:hint="eastAsia" w:ascii="宋体"/>
                <w:sz w:val="24"/>
                <w:szCs w:val="24"/>
              </w:rPr>
            </w:pPr>
          </w:p>
        </w:tc>
        <w:tc>
          <w:tcPr>
            <w:tcW w:w="600" w:type="dxa"/>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小计</w:t>
            </w:r>
          </w:p>
        </w:tc>
        <w:tc>
          <w:tcPr>
            <w:tcW w:w="692" w:type="dxa"/>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房屋构筑物</w:t>
            </w:r>
          </w:p>
        </w:tc>
        <w:tc>
          <w:tcPr>
            <w:tcW w:w="682" w:type="dxa"/>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车辆</w:t>
            </w:r>
          </w:p>
        </w:tc>
        <w:tc>
          <w:tcPr>
            <w:tcW w:w="1039" w:type="dxa"/>
            <w:gridSpan w:val="3"/>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单价200万以上大型设备</w:t>
            </w:r>
          </w:p>
        </w:tc>
        <w:tc>
          <w:tcPr>
            <w:tcW w:w="784" w:type="dxa"/>
            <w:gridSpan w:val="2"/>
            <w:vMerge w:val="restart"/>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其他固定资产</w:t>
            </w:r>
          </w:p>
        </w:tc>
        <w:tc>
          <w:tcPr>
            <w:tcW w:w="798" w:type="dxa"/>
            <w:vMerge w:val="continue"/>
            <w:tcBorders>
              <w:top w:val="nil"/>
              <w:left w:val="nil"/>
              <w:bottom w:val="nil"/>
              <w:right w:val="nil"/>
            </w:tcBorders>
            <w:shd w:val="clear" w:color="auto" w:fill="auto"/>
            <w:vAlign w:val="center"/>
          </w:tcPr>
          <w:p>
            <w:pPr>
              <w:rPr>
                <w:rFonts w:hint="eastAsia" w:ascii="宋体"/>
                <w:sz w:val="24"/>
                <w:szCs w:val="24"/>
              </w:rPr>
            </w:pPr>
          </w:p>
        </w:tc>
        <w:tc>
          <w:tcPr>
            <w:tcW w:w="798" w:type="dxa"/>
            <w:vMerge w:val="continue"/>
            <w:tcBorders>
              <w:top w:val="nil"/>
              <w:left w:val="nil"/>
              <w:bottom w:val="nil"/>
              <w:right w:val="nil"/>
            </w:tcBorders>
            <w:shd w:val="clear" w:color="auto" w:fill="auto"/>
            <w:vAlign w:val="center"/>
          </w:tcPr>
          <w:p>
            <w:pPr>
              <w:rPr>
                <w:rFonts w:hint="eastAsia" w:ascii="宋体"/>
                <w:sz w:val="24"/>
                <w:szCs w:val="24"/>
              </w:rPr>
            </w:pPr>
          </w:p>
        </w:tc>
        <w:tc>
          <w:tcPr>
            <w:tcW w:w="799" w:type="dxa"/>
            <w:gridSpan w:val="2"/>
            <w:vMerge w:val="continue"/>
            <w:tcBorders>
              <w:top w:val="nil"/>
              <w:left w:val="nil"/>
              <w:bottom w:val="nil"/>
              <w:right w:val="nil"/>
            </w:tcBorders>
            <w:shd w:val="clear" w:color="auto" w:fill="auto"/>
            <w:vAlign w:val="center"/>
          </w:tcPr>
          <w:p>
            <w:pPr>
              <w:rPr>
                <w:rFonts w:hint="eastAsia" w:ascii="宋体"/>
                <w:sz w:val="24"/>
                <w:szCs w:val="24"/>
              </w:rPr>
            </w:pPr>
          </w:p>
        </w:tc>
        <w:tc>
          <w:tcPr>
            <w:tcW w:w="810" w:type="dxa"/>
            <w:gridSpan w:val="3"/>
            <w:vMerge w:val="continue"/>
            <w:tcBorders>
              <w:top w:val="nil"/>
              <w:left w:val="nil"/>
              <w:bottom w:val="nil"/>
              <w:right w:val="nil"/>
            </w:tcBorders>
            <w:shd w:val="clear" w:color="auto" w:fill="auto"/>
            <w:vAlign w:val="center"/>
          </w:tcPr>
          <w:p>
            <w:pPr>
              <w:rPr>
                <w:rFonts w:hint="eastAsia" w:ascii="宋体"/>
                <w:sz w:val="24"/>
                <w:szCs w:val="24"/>
              </w:rPr>
            </w:pPr>
          </w:p>
        </w:tc>
        <w:tc>
          <w:tcPr>
            <w:tcW w:w="220" w:type="dxa"/>
            <w:tcBorders>
              <w:top w:val="nil"/>
              <w:left w:val="nil"/>
              <w:bottom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0" w:hRule="atLeast"/>
        </w:trPr>
        <w:tc>
          <w:tcPr>
            <w:tcW w:w="603" w:type="dxa"/>
            <w:vMerge w:val="continue"/>
            <w:tcBorders>
              <w:top w:val="nil"/>
              <w:left w:val="nil"/>
              <w:bottom w:val="nil"/>
              <w:right w:val="nil"/>
            </w:tcBorders>
            <w:shd w:val="clear" w:color="auto" w:fill="auto"/>
            <w:vAlign w:val="center"/>
          </w:tcPr>
          <w:p>
            <w:pPr>
              <w:rPr>
                <w:rFonts w:hint="eastAsia" w:ascii="宋体"/>
                <w:sz w:val="24"/>
                <w:szCs w:val="24"/>
              </w:rPr>
            </w:pPr>
          </w:p>
        </w:tc>
        <w:tc>
          <w:tcPr>
            <w:tcW w:w="465" w:type="dxa"/>
            <w:vMerge w:val="continue"/>
            <w:tcBorders>
              <w:top w:val="nil"/>
              <w:left w:val="nil"/>
              <w:bottom w:val="nil"/>
              <w:right w:val="nil"/>
            </w:tcBorders>
            <w:shd w:val="clear" w:color="auto" w:fill="auto"/>
            <w:vAlign w:val="center"/>
          </w:tcPr>
          <w:p>
            <w:pPr>
              <w:rPr>
                <w:rFonts w:hint="eastAsia" w:ascii="宋体"/>
                <w:sz w:val="24"/>
                <w:szCs w:val="24"/>
              </w:rPr>
            </w:pPr>
          </w:p>
        </w:tc>
        <w:tc>
          <w:tcPr>
            <w:tcW w:w="790" w:type="dxa"/>
            <w:vMerge w:val="continue"/>
            <w:tcBorders>
              <w:top w:val="nil"/>
              <w:left w:val="nil"/>
              <w:bottom w:val="nil"/>
              <w:right w:val="nil"/>
            </w:tcBorders>
            <w:shd w:val="clear" w:color="auto" w:fill="auto"/>
            <w:vAlign w:val="center"/>
          </w:tcPr>
          <w:p>
            <w:pPr>
              <w:rPr>
                <w:rFonts w:hint="eastAsia" w:ascii="宋体"/>
                <w:sz w:val="24"/>
                <w:szCs w:val="24"/>
              </w:rPr>
            </w:pPr>
          </w:p>
        </w:tc>
        <w:tc>
          <w:tcPr>
            <w:tcW w:w="790" w:type="dxa"/>
            <w:vMerge w:val="continue"/>
            <w:tcBorders>
              <w:top w:val="nil"/>
              <w:left w:val="nil"/>
              <w:bottom w:val="nil"/>
              <w:right w:val="nil"/>
            </w:tcBorders>
            <w:shd w:val="clear" w:color="auto" w:fill="auto"/>
            <w:vAlign w:val="center"/>
          </w:tcPr>
          <w:p>
            <w:pPr>
              <w:rPr>
                <w:rFonts w:hint="eastAsia" w:ascii="宋体"/>
                <w:sz w:val="24"/>
                <w:szCs w:val="24"/>
              </w:rPr>
            </w:pPr>
          </w:p>
        </w:tc>
        <w:tc>
          <w:tcPr>
            <w:tcW w:w="600" w:type="dxa"/>
            <w:vMerge w:val="continue"/>
            <w:tcBorders>
              <w:top w:val="nil"/>
              <w:left w:val="nil"/>
              <w:bottom w:val="nil"/>
              <w:right w:val="nil"/>
            </w:tcBorders>
            <w:shd w:val="clear" w:color="auto" w:fill="auto"/>
            <w:vAlign w:val="center"/>
          </w:tcPr>
          <w:p>
            <w:pPr>
              <w:rPr>
                <w:rFonts w:hint="eastAsia" w:ascii="宋体"/>
                <w:sz w:val="24"/>
                <w:szCs w:val="24"/>
              </w:rPr>
            </w:pPr>
          </w:p>
        </w:tc>
        <w:tc>
          <w:tcPr>
            <w:tcW w:w="692" w:type="dxa"/>
            <w:vMerge w:val="continue"/>
            <w:tcBorders>
              <w:top w:val="nil"/>
              <w:left w:val="nil"/>
              <w:bottom w:val="nil"/>
              <w:right w:val="nil"/>
            </w:tcBorders>
            <w:shd w:val="clear" w:color="auto" w:fill="auto"/>
            <w:vAlign w:val="center"/>
          </w:tcPr>
          <w:p>
            <w:pPr>
              <w:rPr>
                <w:rFonts w:hint="eastAsia" w:ascii="宋体"/>
                <w:sz w:val="24"/>
                <w:szCs w:val="24"/>
              </w:rPr>
            </w:pPr>
          </w:p>
        </w:tc>
        <w:tc>
          <w:tcPr>
            <w:tcW w:w="682" w:type="dxa"/>
            <w:vMerge w:val="continue"/>
            <w:tcBorders>
              <w:top w:val="nil"/>
              <w:left w:val="nil"/>
              <w:bottom w:val="nil"/>
              <w:right w:val="nil"/>
            </w:tcBorders>
            <w:shd w:val="clear" w:color="auto" w:fill="auto"/>
            <w:vAlign w:val="center"/>
          </w:tcPr>
          <w:p>
            <w:pPr>
              <w:rPr>
                <w:rFonts w:hint="eastAsia" w:ascii="宋体"/>
                <w:sz w:val="24"/>
                <w:szCs w:val="24"/>
              </w:rPr>
            </w:pPr>
          </w:p>
        </w:tc>
        <w:tc>
          <w:tcPr>
            <w:tcW w:w="1039" w:type="dxa"/>
            <w:gridSpan w:val="3"/>
            <w:vMerge w:val="continue"/>
            <w:tcBorders>
              <w:top w:val="nil"/>
              <w:left w:val="nil"/>
              <w:bottom w:val="nil"/>
              <w:right w:val="nil"/>
            </w:tcBorders>
            <w:shd w:val="clear" w:color="auto" w:fill="auto"/>
            <w:vAlign w:val="center"/>
          </w:tcPr>
          <w:p>
            <w:pPr>
              <w:rPr>
                <w:rFonts w:hint="eastAsia" w:ascii="宋体"/>
                <w:sz w:val="24"/>
                <w:szCs w:val="24"/>
              </w:rPr>
            </w:pPr>
          </w:p>
        </w:tc>
        <w:tc>
          <w:tcPr>
            <w:tcW w:w="784" w:type="dxa"/>
            <w:gridSpan w:val="2"/>
            <w:vMerge w:val="continue"/>
            <w:tcBorders>
              <w:top w:val="nil"/>
              <w:left w:val="nil"/>
              <w:bottom w:val="nil"/>
              <w:right w:val="nil"/>
            </w:tcBorders>
            <w:shd w:val="clear" w:color="auto" w:fill="auto"/>
            <w:vAlign w:val="center"/>
          </w:tcPr>
          <w:p>
            <w:pPr>
              <w:rPr>
                <w:rFonts w:hint="eastAsia" w:ascii="宋体"/>
                <w:sz w:val="24"/>
                <w:szCs w:val="24"/>
              </w:rPr>
            </w:pPr>
          </w:p>
        </w:tc>
        <w:tc>
          <w:tcPr>
            <w:tcW w:w="798" w:type="dxa"/>
            <w:vMerge w:val="continue"/>
            <w:tcBorders>
              <w:top w:val="nil"/>
              <w:left w:val="nil"/>
              <w:bottom w:val="nil"/>
              <w:right w:val="nil"/>
            </w:tcBorders>
            <w:shd w:val="clear" w:color="auto" w:fill="auto"/>
            <w:vAlign w:val="center"/>
          </w:tcPr>
          <w:p>
            <w:pPr>
              <w:rPr>
                <w:rFonts w:hint="eastAsia" w:ascii="宋体"/>
                <w:sz w:val="24"/>
                <w:szCs w:val="24"/>
              </w:rPr>
            </w:pPr>
          </w:p>
        </w:tc>
        <w:tc>
          <w:tcPr>
            <w:tcW w:w="798" w:type="dxa"/>
            <w:vMerge w:val="continue"/>
            <w:tcBorders>
              <w:top w:val="nil"/>
              <w:left w:val="nil"/>
              <w:bottom w:val="nil"/>
              <w:right w:val="nil"/>
            </w:tcBorders>
            <w:shd w:val="clear" w:color="auto" w:fill="auto"/>
            <w:vAlign w:val="center"/>
          </w:tcPr>
          <w:p>
            <w:pPr>
              <w:rPr>
                <w:rFonts w:hint="eastAsia" w:ascii="宋体"/>
                <w:sz w:val="24"/>
                <w:szCs w:val="24"/>
              </w:rPr>
            </w:pPr>
          </w:p>
        </w:tc>
        <w:tc>
          <w:tcPr>
            <w:tcW w:w="799" w:type="dxa"/>
            <w:gridSpan w:val="2"/>
            <w:vMerge w:val="continue"/>
            <w:tcBorders>
              <w:top w:val="nil"/>
              <w:left w:val="nil"/>
              <w:bottom w:val="nil"/>
              <w:right w:val="nil"/>
            </w:tcBorders>
            <w:shd w:val="clear" w:color="auto" w:fill="auto"/>
            <w:vAlign w:val="center"/>
          </w:tcPr>
          <w:p>
            <w:pPr>
              <w:rPr>
                <w:rFonts w:hint="eastAsia" w:ascii="宋体"/>
                <w:sz w:val="24"/>
                <w:szCs w:val="24"/>
              </w:rPr>
            </w:pPr>
          </w:p>
        </w:tc>
        <w:tc>
          <w:tcPr>
            <w:tcW w:w="810" w:type="dxa"/>
            <w:gridSpan w:val="3"/>
            <w:vMerge w:val="continue"/>
            <w:tcBorders>
              <w:top w:val="nil"/>
              <w:left w:val="nil"/>
              <w:bottom w:val="nil"/>
              <w:right w:val="nil"/>
            </w:tcBorders>
            <w:shd w:val="clear" w:color="auto" w:fill="auto"/>
            <w:vAlign w:val="center"/>
          </w:tcPr>
          <w:p>
            <w:pPr>
              <w:rPr>
                <w:rFonts w:hint="eastAsia" w:ascii="宋体"/>
                <w:sz w:val="24"/>
                <w:szCs w:val="24"/>
              </w:rPr>
            </w:pPr>
          </w:p>
        </w:tc>
        <w:tc>
          <w:tcPr>
            <w:tcW w:w="220" w:type="dxa"/>
            <w:tcBorders>
              <w:top w:val="nil"/>
              <w:left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603"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栏次</w:t>
            </w:r>
          </w:p>
        </w:tc>
        <w:tc>
          <w:tcPr>
            <w:tcW w:w="465" w:type="dxa"/>
            <w:tcBorders>
              <w:top w:val="nil"/>
              <w:left w:val="nil"/>
              <w:bottom w:val="nil"/>
              <w:right w:val="nil"/>
            </w:tcBorders>
            <w:shd w:val="clear" w:color="auto" w:fill="auto"/>
            <w:vAlign w:val="center"/>
          </w:tcPr>
          <w:p>
            <w:pPr>
              <w:keepNext w:val="0"/>
              <w:keepLines w:val="0"/>
              <w:widowControl/>
              <w:suppressLineNumbers w:val="0"/>
              <w:jc w:val="left"/>
            </w:pPr>
          </w:p>
        </w:tc>
        <w:tc>
          <w:tcPr>
            <w:tcW w:w="790"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1</w:t>
            </w:r>
          </w:p>
        </w:tc>
        <w:tc>
          <w:tcPr>
            <w:tcW w:w="790"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2</w:t>
            </w:r>
          </w:p>
        </w:tc>
        <w:tc>
          <w:tcPr>
            <w:tcW w:w="600"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3</w:t>
            </w:r>
          </w:p>
        </w:tc>
        <w:tc>
          <w:tcPr>
            <w:tcW w:w="692"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4</w:t>
            </w:r>
          </w:p>
        </w:tc>
        <w:tc>
          <w:tcPr>
            <w:tcW w:w="682"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5</w:t>
            </w:r>
          </w:p>
        </w:tc>
        <w:tc>
          <w:tcPr>
            <w:tcW w:w="1039" w:type="dxa"/>
            <w:gridSpan w:val="3"/>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6</w:t>
            </w:r>
          </w:p>
        </w:tc>
        <w:tc>
          <w:tcPr>
            <w:tcW w:w="784" w:type="dxa"/>
            <w:gridSpan w:val="2"/>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7</w:t>
            </w:r>
          </w:p>
        </w:tc>
        <w:tc>
          <w:tcPr>
            <w:tcW w:w="798"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8</w:t>
            </w:r>
          </w:p>
        </w:tc>
        <w:tc>
          <w:tcPr>
            <w:tcW w:w="798"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9</w:t>
            </w:r>
          </w:p>
        </w:tc>
        <w:tc>
          <w:tcPr>
            <w:tcW w:w="799" w:type="dxa"/>
            <w:gridSpan w:val="2"/>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10</w:t>
            </w:r>
          </w:p>
        </w:tc>
        <w:tc>
          <w:tcPr>
            <w:tcW w:w="810" w:type="dxa"/>
            <w:gridSpan w:val="3"/>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11</w:t>
            </w:r>
          </w:p>
        </w:tc>
        <w:tc>
          <w:tcPr>
            <w:tcW w:w="220" w:type="dxa"/>
            <w:tcBorders>
              <w:top w:val="nil"/>
              <w:left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70" w:hRule="atLeast"/>
        </w:trPr>
        <w:tc>
          <w:tcPr>
            <w:tcW w:w="603"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合计</w:t>
            </w:r>
          </w:p>
        </w:tc>
        <w:tc>
          <w:tcPr>
            <w:tcW w:w="465"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pPr>
            <w:r>
              <w:rPr>
                <w:rFonts w:hint="eastAsia" w:ascii="宋体" w:hAnsi="宋体" w:eastAsia="宋体" w:cs="宋体"/>
                <w:sz w:val="19"/>
                <w:szCs w:val="19"/>
              </w:rPr>
              <w:t>1</w:t>
            </w:r>
          </w:p>
        </w:tc>
        <w:tc>
          <w:tcPr>
            <w:tcW w:w="790"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宋体" w:hAnsi="宋体" w:eastAsia="宋体" w:cs="宋体"/>
                <w:sz w:val="19"/>
                <w:szCs w:val="19"/>
              </w:rPr>
              <w:t>12207.24</w:t>
            </w:r>
          </w:p>
        </w:tc>
        <w:tc>
          <w:tcPr>
            <w:tcW w:w="790"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宋体" w:hAnsi="宋体" w:eastAsia="宋体" w:cs="宋体"/>
                <w:sz w:val="19"/>
                <w:szCs w:val="19"/>
              </w:rPr>
              <w:t>11560.42</w:t>
            </w:r>
          </w:p>
        </w:tc>
        <w:tc>
          <w:tcPr>
            <w:tcW w:w="600"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宋体" w:hAnsi="宋体" w:eastAsia="宋体" w:cs="宋体"/>
                <w:sz w:val="19"/>
                <w:szCs w:val="19"/>
              </w:rPr>
              <w:t>646.83</w:t>
            </w:r>
          </w:p>
        </w:tc>
        <w:tc>
          <w:tcPr>
            <w:tcW w:w="692"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sz w:val="19"/>
                <w:szCs w:val="19"/>
              </w:rPr>
              <w:t>246.08</w:t>
            </w:r>
          </w:p>
        </w:tc>
        <w:tc>
          <w:tcPr>
            <w:tcW w:w="682" w:type="dxa"/>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宋体" w:hAnsi="宋体" w:eastAsia="宋体" w:cs="宋体"/>
                <w:sz w:val="19"/>
                <w:szCs w:val="19"/>
              </w:rPr>
              <w:t>44.4</w:t>
            </w:r>
          </w:p>
        </w:tc>
        <w:tc>
          <w:tcPr>
            <w:tcW w:w="1039" w:type="dxa"/>
            <w:gridSpan w:val="3"/>
            <w:tcBorders>
              <w:top w:val="nil"/>
              <w:left w:val="nil"/>
              <w:bottom w:val="nil"/>
              <w:right w:val="nil"/>
            </w:tcBorders>
            <w:shd w:val="clear" w:color="auto" w:fill="auto"/>
            <w:vAlign w:val="center"/>
          </w:tcPr>
          <w:p>
            <w:pPr>
              <w:keepNext w:val="0"/>
              <w:keepLines w:val="0"/>
              <w:widowControl/>
              <w:suppressLineNumbers w:val="0"/>
              <w:jc w:val="left"/>
            </w:pPr>
          </w:p>
        </w:tc>
        <w:tc>
          <w:tcPr>
            <w:tcW w:w="784" w:type="dxa"/>
            <w:gridSpan w:val="2"/>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宋体" w:hAnsi="宋体" w:eastAsia="宋体" w:cs="宋体"/>
                <w:sz w:val="19"/>
                <w:szCs w:val="19"/>
              </w:rPr>
              <w:t>356.35</w:t>
            </w:r>
          </w:p>
        </w:tc>
        <w:tc>
          <w:tcPr>
            <w:tcW w:w="798" w:type="dxa"/>
            <w:tcBorders>
              <w:top w:val="nil"/>
              <w:left w:val="nil"/>
              <w:bottom w:val="nil"/>
              <w:right w:val="nil"/>
            </w:tcBorders>
            <w:shd w:val="clear" w:color="auto" w:fill="auto"/>
            <w:vAlign w:val="center"/>
          </w:tcPr>
          <w:p>
            <w:pPr>
              <w:keepNext w:val="0"/>
              <w:keepLines w:val="0"/>
              <w:widowControl/>
              <w:suppressLineNumbers w:val="0"/>
              <w:jc w:val="left"/>
            </w:pPr>
          </w:p>
        </w:tc>
        <w:tc>
          <w:tcPr>
            <w:tcW w:w="798" w:type="dxa"/>
            <w:tcBorders>
              <w:top w:val="nil"/>
              <w:left w:val="nil"/>
              <w:bottom w:val="nil"/>
              <w:right w:val="nil"/>
            </w:tcBorders>
            <w:shd w:val="clear" w:color="auto" w:fill="auto"/>
            <w:vAlign w:val="center"/>
          </w:tcPr>
          <w:p>
            <w:pPr>
              <w:keepNext w:val="0"/>
              <w:keepLines w:val="0"/>
              <w:widowControl/>
              <w:suppressLineNumbers w:val="0"/>
              <w:jc w:val="left"/>
            </w:pPr>
          </w:p>
        </w:tc>
        <w:tc>
          <w:tcPr>
            <w:tcW w:w="799" w:type="dxa"/>
            <w:gridSpan w:val="2"/>
            <w:tcBorders>
              <w:top w:val="nil"/>
              <w:left w:val="nil"/>
              <w:bottom w:val="nil"/>
              <w:right w:val="nil"/>
            </w:tcBorders>
            <w:shd w:val="clear" w:color="auto" w:fill="auto"/>
            <w:vAlign w:val="center"/>
          </w:tcPr>
          <w:p>
            <w:pPr>
              <w:keepNext w:val="0"/>
              <w:keepLines w:val="0"/>
              <w:widowControl/>
              <w:suppressLineNumbers w:val="0"/>
              <w:jc w:val="left"/>
            </w:pPr>
          </w:p>
        </w:tc>
        <w:tc>
          <w:tcPr>
            <w:tcW w:w="810" w:type="dxa"/>
            <w:gridSpan w:val="3"/>
            <w:tcBorders>
              <w:top w:val="nil"/>
              <w:left w:val="nil"/>
              <w:bottom w:val="nil"/>
              <w:right w:val="nil"/>
            </w:tcBorders>
            <w:shd w:val="clear" w:color="auto" w:fill="auto"/>
            <w:vAlign w:val="center"/>
          </w:tcPr>
          <w:p>
            <w:pPr>
              <w:keepNext w:val="0"/>
              <w:keepLines w:val="0"/>
              <w:widowControl/>
              <w:suppressLineNumbers w:val="0"/>
              <w:jc w:val="left"/>
            </w:pPr>
          </w:p>
        </w:tc>
        <w:tc>
          <w:tcPr>
            <w:tcW w:w="220" w:type="dxa"/>
            <w:tcBorders>
              <w:top w:val="nil"/>
              <w:left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55" w:hRule="atLeast"/>
        </w:trPr>
        <w:tc>
          <w:tcPr>
            <w:tcW w:w="8041" w:type="dxa"/>
            <w:gridSpan w:val="14"/>
            <w:tcBorders>
              <w:top w:val="nil"/>
              <w:left w:val="nil"/>
              <w:bottom w:val="nil"/>
              <w:right w:val="nil"/>
            </w:tcBorders>
            <w:shd w:val="clear" w:color="auto" w:fill="auto"/>
            <w:vAlign w:val="bottom"/>
          </w:tcPr>
          <w:p>
            <w:pPr>
              <w:keepNext w:val="0"/>
              <w:keepLines w:val="0"/>
              <w:widowControl/>
              <w:suppressLineNumbers w:val="0"/>
              <w:jc w:val="left"/>
            </w:pPr>
          </w:p>
        </w:tc>
        <w:tc>
          <w:tcPr>
            <w:tcW w:w="301" w:type="dxa"/>
            <w:tcBorders>
              <w:left w:val="nil"/>
            </w:tcBorders>
            <w:shd w:val="clear" w:color="auto" w:fill="auto"/>
            <w:vAlign w:val="bottom"/>
          </w:tcPr>
          <w:p>
            <w:pPr>
              <w:keepNext w:val="0"/>
              <w:keepLines w:val="0"/>
              <w:widowControl/>
              <w:suppressLineNumbers w:val="0"/>
              <w:jc w:val="left"/>
            </w:pPr>
          </w:p>
        </w:tc>
        <w:tc>
          <w:tcPr>
            <w:tcW w:w="792" w:type="dxa"/>
            <w:gridSpan w:val="2"/>
            <w:tcBorders>
              <w:left w:val="nil"/>
            </w:tcBorders>
            <w:shd w:val="clear" w:color="auto" w:fill="auto"/>
            <w:vAlign w:val="bottom"/>
          </w:tcPr>
          <w:p>
            <w:pPr>
              <w:keepNext w:val="0"/>
              <w:keepLines w:val="0"/>
              <w:widowControl/>
              <w:suppressLineNumbers w:val="0"/>
              <w:jc w:val="left"/>
            </w:pPr>
          </w:p>
        </w:tc>
        <w:tc>
          <w:tcPr>
            <w:tcW w:w="112" w:type="dxa"/>
            <w:tcBorders>
              <w:lef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c>
          <w:tcPr>
            <w:tcW w:w="624" w:type="dxa"/>
            <w:gridSpan w:val="2"/>
            <w:shd w:val="clear" w:color="auto" w:fill="auto"/>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95" w:hRule="atLeast"/>
        </w:trPr>
        <w:tc>
          <w:tcPr>
            <w:tcW w:w="8840" w:type="dxa"/>
            <w:gridSpan w:val="16"/>
            <w:tcBorders>
              <w:top w:val="nil"/>
              <w:left w:val="nil"/>
              <w:right w:val="nil"/>
            </w:tcBorders>
            <w:shd w:val="clear" w:color="auto" w:fill="auto"/>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19"/>
                <w:szCs w:val="19"/>
              </w:rPr>
              <w:t>填报说明：1.资产总额＝流动资产＋固定资产＋对外投资／有价证券＋在建工程＋无形资产＋其他资产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19"/>
                <w:szCs w:val="19"/>
              </w:rPr>
              <w:t>2.固定资产＝房屋构筑物＋车辆＋单价200万元以上大型设备＋其他固定资产</w:t>
            </w:r>
          </w:p>
        </w:tc>
        <w:tc>
          <w:tcPr>
            <w:tcW w:w="810" w:type="dxa"/>
            <w:gridSpan w:val="3"/>
            <w:tcBorders>
              <w:left w:val="nil"/>
            </w:tcBorders>
            <w:shd w:val="clear" w:color="auto" w:fill="auto"/>
            <w:vAlign w:val="bottom"/>
          </w:tcPr>
          <w:p>
            <w:pPr>
              <w:keepNext w:val="0"/>
              <w:keepLines w:val="0"/>
              <w:widowControl/>
              <w:suppressLineNumbers w:val="0"/>
              <w:jc w:val="left"/>
            </w:pPr>
          </w:p>
        </w:tc>
        <w:tc>
          <w:tcPr>
            <w:tcW w:w="220" w:type="dxa"/>
            <w:shd w:val="clear" w:color="auto" w:fill="auto"/>
            <w:tcMar>
              <w:top w:w="0" w:type="dxa"/>
              <w:left w:w="0" w:type="dxa"/>
              <w:bottom w:w="0" w:type="dxa"/>
              <w:right w:w="0" w:type="dxa"/>
            </w:tcMar>
            <w:vAlign w:val="center"/>
          </w:tcPr>
          <w:p>
            <w:pPr>
              <w:keepNext w:val="0"/>
              <w:keepLines w:val="0"/>
              <w:widowControl/>
              <w:suppressLineNumbers w:val="0"/>
              <w:jc w:val="left"/>
            </w:pPr>
          </w:p>
        </w:tc>
      </w:tr>
    </w:tbl>
    <w:p>
      <w:pPr>
        <w:pStyle w:val="2"/>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(三)、政府采购支出情况</w:t>
      </w:r>
    </w:p>
    <w:p>
      <w:pPr>
        <w:pStyle w:val="2"/>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2018年度，部门政府采购支出总额0万元，其中：政府采购货物支出0万元；政府采购工程支出0万元；政府采购服务支出0万元。授予中小企业合同金额0万元，占政府采购支出总额的0%。</w:t>
      </w:r>
    </w:p>
    <w:p>
      <w:pPr>
        <w:pStyle w:val="2"/>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(四)、部门绩效情况</w:t>
      </w:r>
    </w:p>
    <w:p>
      <w:pPr>
        <w:pStyle w:val="2"/>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(一)项目支出概况</w:t>
      </w:r>
    </w:p>
    <w:p>
      <w:pPr>
        <w:pStyle w:val="2"/>
        <w:keepNext w:val="0"/>
        <w:keepLines w:val="0"/>
        <w:widowControl/>
        <w:suppressLineNumbers w:val="0"/>
        <w:spacing w:before="75" w:beforeAutospacing="0" w:after="75" w:afterAutospacing="0"/>
        <w:ind w:left="0" w:right="0" w:firstLine="600"/>
        <w:rPr>
          <w:rFonts w:hint="default" w:ascii="仿宋_GB2312" w:eastAsia="仿宋_GB2312" w:cs="仿宋_GB2312"/>
          <w:sz w:val="30"/>
          <w:szCs w:val="30"/>
        </w:rPr>
      </w:pPr>
      <w:r>
        <w:rPr>
          <w:rFonts w:hint="default" w:ascii="仿宋_GB2312" w:eastAsia="仿宋_GB2312" w:cs="仿宋_GB2312"/>
          <w:sz w:val="30"/>
          <w:szCs w:val="30"/>
        </w:rPr>
        <w:t>1、依据城市发展总体规划，组织开展人民防控建设，负责人防工程维护和管理及人防设施拆除迁移审批。</w:t>
      </w:r>
    </w:p>
    <w:p>
      <w:pPr>
        <w:pStyle w:val="2"/>
        <w:keepNext w:val="0"/>
        <w:keepLines w:val="0"/>
        <w:widowControl/>
        <w:suppressLineNumbers w:val="0"/>
        <w:spacing w:before="75" w:beforeAutospacing="0" w:after="75" w:afterAutospacing="0"/>
        <w:ind w:left="0" w:right="0" w:firstLine="600"/>
        <w:rPr>
          <w:rFonts w:hint="default" w:ascii="仿宋_GB2312" w:eastAsia="仿宋_GB2312" w:cs="仿宋_GB2312"/>
          <w:sz w:val="30"/>
          <w:szCs w:val="30"/>
        </w:rPr>
      </w:pPr>
      <w:r>
        <w:rPr>
          <w:rFonts w:hint="default" w:ascii="仿宋_GB2312" w:eastAsia="仿宋_GB2312" w:cs="仿宋_GB2312"/>
          <w:sz w:val="30"/>
          <w:szCs w:val="30"/>
        </w:rPr>
        <w:t>2、负责辖区内市政基础设施建设计划并组织实施，负责辖区内市政基础设施建设项目的管理、协调；负责政府工程项目的代建监督指导；指导辖区城市规划区域内道路桥梁维修养护。</w:t>
      </w:r>
    </w:p>
    <w:p>
      <w:pPr>
        <w:pStyle w:val="2"/>
        <w:keepNext w:val="0"/>
        <w:keepLines w:val="0"/>
        <w:widowControl/>
        <w:suppressLineNumbers w:val="0"/>
        <w:spacing w:before="75" w:beforeAutospacing="0" w:after="75" w:afterAutospacing="0"/>
        <w:ind w:left="0" w:right="0" w:firstLine="600"/>
        <w:rPr>
          <w:rFonts w:hint="default" w:ascii="仿宋_GB2312" w:eastAsia="仿宋_GB2312" w:cs="仿宋_GB2312"/>
          <w:sz w:val="30"/>
          <w:szCs w:val="30"/>
        </w:rPr>
      </w:pPr>
      <w:r>
        <w:rPr>
          <w:rFonts w:hint="default" w:ascii="仿宋_GB2312" w:eastAsia="仿宋_GB2312" w:cs="仿宋_GB2312"/>
          <w:sz w:val="30"/>
          <w:szCs w:val="30"/>
        </w:rPr>
        <w:t>3、负责指导监督保障想住房建设管理；指导监督辖区直管公房租赁管理；指导参与辖区住房制度改革工作及住房补贴发放。</w:t>
      </w:r>
    </w:p>
    <w:p>
      <w:pPr>
        <w:pStyle w:val="2"/>
        <w:keepNext w:val="0"/>
        <w:keepLines w:val="0"/>
        <w:widowControl/>
        <w:suppressLineNumbers w:val="0"/>
        <w:spacing w:before="75" w:beforeAutospacing="0" w:after="75" w:afterAutospacing="0"/>
        <w:ind w:left="0" w:right="0" w:firstLine="600"/>
        <w:rPr>
          <w:rFonts w:hint="default" w:ascii="仿宋_GB2312" w:eastAsia="仿宋_GB2312" w:cs="仿宋_GB2312"/>
          <w:sz w:val="30"/>
          <w:szCs w:val="30"/>
        </w:rPr>
      </w:pPr>
      <w:r>
        <w:rPr>
          <w:rFonts w:hint="default" w:ascii="仿宋_GB2312" w:eastAsia="仿宋_GB2312" w:cs="仿宋_GB2312"/>
          <w:sz w:val="30"/>
          <w:szCs w:val="30"/>
        </w:rPr>
        <w:t>4、指导辖区内村镇建设、农村宜居住房建设管理；指导农村危房改造和地震安居工程建设。</w:t>
      </w:r>
    </w:p>
    <w:p>
      <w:pPr>
        <w:pStyle w:val="2"/>
        <w:keepNext w:val="0"/>
        <w:keepLines w:val="0"/>
        <w:widowControl/>
        <w:suppressLineNumbers w:val="0"/>
        <w:spacing w:before="75" w:beforeAutospacing="0" w:after="75" w:afterAutospacing="0"/>
        <w:ind w:left="0" w:right="0" w:firstLine="600"/>
        <w:rPr>
          <w:rFonts w:hint="default" w:ascii="仿宋_GB2312" w:eastAsia="仿宋_GB2312" w:cs="仿宋_GB2312"/>
          <w:sz w:val="30"/>
          <w:szCs w:val="30"/>
        </w:rPr>
      </w:pPr>
      <w:r>
        <w:rPr>
          <w:rFonts w:hint="default" w:ascii="仿宋_GB2312" w:eastAsia="仿宋_GB2312" w:cs="仿宋_GB2312"/>
          <w:sz w:val="30"/>
          <w:szCs w:val="30"/>
        </w:rPr>
        <w:t>5、指导辖区内防震减灾工作。</w:t>
      </w:r>
    </w:p>
    <w:p>
      <w:pPr>
        <w:pStyle w:val="2"/>
        <w:keepNext w:val="0"/>
        <w:keepLines w:val="0"/>
        <w:widowControl/>
        <w:suppressLineNumbers w:val="0"/>
        <w:spacing w:before="75" w:beforeAutospacing="0" w:after="75" w:afterAutospacing="0"/>
        <w:ind w:left="0" w:right="0" w:firstLine="600"/>
        <w:rPr>
          <w:rFonts w:hint="default" w:ascii="仿宋_GB2312" w:eastAsia="仿宋_GB2312" w:cs="仿宋_GB2312"/>
          <w:sz w:val="30"/>
          <w:szCs w:val="30"/>
        </w:rPr>
      </w:pPr>
      <w:r>
        <w:rPr>
          <w:rFonts w:hint="default" w:ascii="仿宋_GB2312" w:eastAsia="仿宋_GB2312" w:cs="仿宋_GB2312"/>
          <w:sz w:val="30"/>
          <w:szCs w:val="30"/>
        </w:rPr>
        <w:t>6、辅助辖区瓶装液化燃气供应站（点）许可证行政审批。详见部门绩效自评情况详见附表（附表10—附表14）</w:t>
      </w:r>
    </w:p>
    <w:p>
      <w:pPr>
        <w:pStyle w:val="2"/>
        <w:keepNext w:val="0"/>
        <w:keepLines w:val="0"/>
        <w:widowControl/>
        <w:suppressLineNumbers w:val="0"/>
        <w:spacing w:before="75" w:beforeAutospacing="0" w:after="75" w:afterAutospacing="0"/>
        <w:ind w:left="0" w:right="0" w:firstLine="600"/>
      </w:pPr>
      <w:r>
        <w:rPr>
          <w:rFonts w:hint="eastAsia" w:ascii="黑体" w:hAnsi="宋体" w:eastAsia="黑体" w:cs="黑体"/>
          <w:sz w:val="30"/>
          <w:szCs w:val="30"/>
        </w:rPr>
        <w:t>(二)项目支出绩效自评</w:t>
      </w:r>
    </w:p>
    <w:p>
      <w:pPr>
        <w:pStyle w:val="2"/>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详见部门绩效自评情况详见附表（附表10—附表14）。</w:t>
      </w:r>
    </w:p>
    <w:p>
      <w:pPr>
        <w:pStyle w:val="2"/>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(三)项目绩效目标管理</w:t>
      </w:r>
    </w:p>
    <w:p>
      <w:pPr>
        <w:pStyle w:val="2"/>
        <w:keepNext w:val="0"/>
        <w:keepLines w:val="0"/>
        <w:widowControl/>
        <w:suppressLineNumbers w:val="0"/>
        <w:spacing w:before="75" w:beforeAutospacing="0" w:after="75" w:afterAutospacing="0"/>
        <w:ind w:left="0" w:right="0" w:firstLine="600"/>
        <w:rPr>
          <w:rFonts w:hint="default" w:ascii="仿宋_GB2312" w:eastAsia="仿宋_GB2312" w:cs="仿宋_GB2312"/>
          <w:sz w:val="30"/>
          <w:szCs w:val="30"/>
        </w:rPr>
      </w:pPr>
      <w:r>
        <w:rPr>
          <w:rFonts w:hint="default" w:ascii="仿宋_GB2312" w:eastAsia="仿宋_GB2312" w:cs="仿宋_GB2312"/>
          <w:sz w:val="30"/>
          <w:szCs w:val="30"/>
        </w:rPr>
        <w:t>依据部门预算按质按量完成各项工作指标，保障各项工作的顺利进行，保证各项工作的时效性，不拖延，切实把各项工作及时有效做好，严格按项目进度及审定金额依照“3331”的方式支付工程款，建立健全厉行节约，切实改善城市交通条件，优化城市环境提升昆明城市形象。详见部门绩效自评情况详见附表（附表10—附表14）</w:t>
      </w:r>
    </w:p>
    <w:p>
      <w:pPr>
        <w:pStyle w:val="2"/>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(四)2018年部门整体支出绩效自评报告</w:t>
      </w:r>
    </w:p>
    <w:p>
      <w:pPr>
        <w:pStyle w:val="2"/>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详见政府平台网站。</w:t>
      </w:r>
    </w:p>
    <w:p>
      <w:pPr>
        <w:pStyle w:val="2"/>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(五)部门整体支出绩效自评表</w:t>
      </w:r>
    </w:p>
    <w:p>
      <w:pPr>
        <w:pStyle w:val="2"/>
        <w:keepNext w:val="0"/>
        <w:keepLines w:val="0"/>
        <w:widowControl/>
        <w:suppressLineNumbers w:val="0"/>
        <w:spacing w:before="75" w:beforeAutospacing="0" w:after="75" w:afterAutospacing="0"/>
        <w:ind w:left="0" w:right="0" w:firstLine="600"/>
        <w:rPr>
          <w:rFonts w:hint="default" w:ascii="仿宋_GB2312" w:eastAsia="仿宋_GB2312" w:cs="仿宋_GB2312"/>
          <w:sz w:val="30"/>
          <w:szCs w:val="30"/>
        </w:rPr>
      </w:pPr>
      <w:r>
        <w:rPr>
          <w:rFonts w:hint="default" w:ascii="仿宋_GB2312" w:eastAsia="仿宋_GB2312" w:cs="仿宋_GB2312"/>
          <w:sz w:val="30"/>
          <w:szCs w:val="30"/>
        </w:rPr>
        <w:t>详见部门绩效自评情况详见附表（附表10—附表14）</w:t>
      </w:r>
    </w:p>
    <w:p>
      <w:pPr>
        <w:pStyle w:val="2"/>
        <w:keepNext w:val="0"/>
        <w:keepLines w:val="0"/>
        <w:widowControl/>
        <w:suppressLineNumbers w:val="0"/>
        <w:spacing w:before="105" w:beforeAutospacing="0" w:after="105" w:afterAutospacing="0" w:line="315" w:lineRule="atLeast"/>
        <w:ind w:left="0" w:right="0" w:firstLine="600"/>
      </w:pPr>
      <w:r>
        <w:rPr>
          <w:rFonts w:hint="eastAsia" w:ascii="黑体" w:hAnsi="宋体" w:eastAsia="黑体" w:cs="黑体"/>
          <w:sz w:val="30"/>
          <w:szCs w:val="30"/>
        </w:rPr>
        <w:t>(五)、相关口径说明</w:t>
      </w:r>
    </w:p>
    <w:p>
      <w:pPr>
        <w:pStyle w:val="2"/>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（一）基本支出中人员经费包括工资福利支出和对个人和家庭的补助，日常公用支出包括商品和服务支出、资本性支出等人员经费以外的支出。</w:t>
      </w:r>
    </w:p>
    <w:p>
      <w:pPr>
        <w:pStyle w:val="2"/>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（二）机关运行经费指行政单位和参照公务员法管理的事业单位使用一般公共预算财政拨款安排的基本支出中的日常公用经费支出。</w:t>
      </w:r>
    </w:p>
    <w:p>
      <w:pPr>
        <w:pStyle w:val="2"/>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三）按照党中央、国务院有关文件及部门预算管理有关规定，“三公”经费包括因公出国（境）费、公务用车购置及运行维护费、公务接待费。其中：因公出国（境）费，指单位工作人员公务出国（境）的国际旅费、国外城市间交通费、住宿费、伙食费、培训费、公杂费等支出；公务用车购置费，指单位公务用车车辆购置支出（含车辆购置税、牌照费等）；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pStyle w:val="2"/>
        <w:keepNext w:val="0"/>
        <w:keepLines w:val="0"/>
        <w:widowControl/>
        <w:suppressLineNumbers w:val="0"/>
        <w:spacing w:before="75" w:beforeAutospacing="0" w:after="75" w:afterAutospacing="0"/>
        <w:ind w:left="0" w:right="0" w:firstLine="600"/>
      </w:pPr>
      <w:r>
        <w:rPr>
          <w:rFonts w:hint="default" w:ascii="仿宋_GB2312" w:eastAsia="仿宋_GB2312" w:cs="仿宋_GB2312"/>
          <w:sz w:val="30"/>
          <w:szCs w:val="30"/>
        </w:rPr>
        <w:t>（四）“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pStyle w:val="2"/>
        <w:keepNext w:val="0"/>
        <w:keepLines w:val="0"/>
        <w:widowControl/>
        <w:suppressLineNumbers w:val="0"/>
        <w:spacing w:before="75" w:beforeAutospacing="0" w:after="75" w:afterAutospacing="0"/>
        <w:ind w:left="0" w:right="0" w:firstLine="600"/>
      </w:pPr>
      <w:r>
        <w:rPr>
          <w:rStyle w:val="4"/>
          <w:rFonts w:hint="eastAsia" w:ascii="宋体" w:hAnsi="宋体" w:eastAsia="宋体" w:cs="宋体"/>
          <w:sz w:val="30"/>
          <w:szCs w:val="30"/>
        </w:rPr>
        <w:t>五、其他重要事项情况说明</w:t>
      </w:r>
    </w:p>
    <w:p>
      <w:pPr>
        <w:pStyle w:val="2"/>
        <w:keepNext w:val="0"/>
        <w:keepLines w:val="0"/>
        <w:widowControl/>
        <w:suppressLineNumbers w:val="0"/>
        <w:spacing w:before="75" w:beforeAutospacing="0" w:after="75" w:afterAutospacing="0"/>
        <w:ind w:left="0" w:right="0" w:firstLine="600"/>
        <w:rPr>
          <w:rFonts w:hint="default" w:ascii="仿宋_GB2312" w:eastAsia="仿宋_GB2312" w:cs="仿宋_GB2312"/>
          <w:sz w:val="30"/>
          <w:szCs w:val="30"/>
        </w:rPr>
      </w:pPr>
      <w:r>
        <w:rPr>
          <w:rFonts w:hint="eastAsia" w:ascii="仿宋_GB2312" w:eastAsia="仿宋_GB2312" w:cs="仿宋_GB2312"/>
          <w:sz w:val="30"/>
          <w:szCs w:val="30"/>
          <w:lang w:eastAsia="zh-CN"/>
        </w:rPr>
        <w:t>昆明市</w:t>
      </w:r>
      <w:bookmarkStart w:id="0" w:name="_GoBack"/>
      <w:bookmarkEnd w:id="0"/>
      <w:r>
        <w:rPr>
          <w:rFonts w:hint="eastAsia" w:ascii="仿宋_GB2312" w:eastAsia="仿宋_GB2312" w:cs="仿宋_GB2312"/>
          <w:sz w:val="30"/>
          <w:szCs w:val="30"/>
          <w:lang w:eastAsia="zh-CN"/>
        </w:rPr>
        <w:t>盘龙区住房和城乡建设局</w:t>
      </w:r>
      <w:r>
        <w:rPr>
          <w:rFonts w:hint="eastAsia" w:ascii="仿宋_GB2312" w:eastAsia="仿宋_GB2312" w:cs="仿宋_GB2312"/>
          <w:sz w:val="30"/>
          <w:szCs w:val="30"/>
        </w:rPr>
        <w:t>无其他重要事项。</w:t>
      </w:r>
    </w:p>
    <w:p>
      <w:pPr>
        <w:pStyle w:val="2"/>
        <w:keepNext w:val="0"/>
        <w:keepLines w:val="0"/>
        <w:widowControl/>
        <w:suppressLineNumbers w:val="0"/>
        <w:spacing w:before="75" w:beforeAutospacing="0" w:after="75" w:afterAutospacing="0"/>
        <w:ind w:left="0" w:right="0" w:firstLine="645"/>
        <w:jc w:val="center"/>
        <w:rPr>
          <w:rFonts w:hint="eastAsia" w:ascii="黑体" w:hAnsi="宋体" w:eastAsia="黑体" w:cs="黑体"/>
          <w:sz w:val="31"/>
          <w:szCs w:val="31"/>
        </w:rPr>
      </w:pPr>
    </w:p>
    <w:p>
      <w:pPr>
        <w:pStyle w:val="2"/>
        <w:keepNext w:val="0"/>
        <w:keepLines w:val="0"/>
        <w:widowControl/>
        <w:suppressLineNumbers w:val="0"/>
        <w:spacing w:before="75" w:beforeAutospacing="0" w:after="75" w:afterAutospacing="0"/>
        <w:ind w:left="0" w:right="0" w:firstLine="645"/>
        <w:jc w:val="center"/>
      </w:pPr>
      <w:r>
        <w:rPr>
          <w:rFonts w:hint="eastAsia" w:ascii="黑体" w:hAnsi="宋体" w:eastAsia="黑体" w:cs="黑体"/>
          <w:sz w:val="31"/>
          <w:szCs w:val="31"/>
        </w:rPr>
        <w:t>第五部分 名词解释</w:t>
      </w:r>
    </w:p>
    <w:p>
      <w:pPr>
        <w:pStyle w:val="2"/>
        <w:keepNext w:val="0"/>
        <w:keepLines w:val="0"/>
        <w:widowControl/>
        <w:suppressLineNumbers w:val="0"/>
        <w:spacing w:before="75" w:beforeAutospacing="0" w:after="75" w:afterAutospacing="0"/>
        <w:ind w:left="0" w:right="0" w:firstLine="600"/>
      </w:pPr>
    </w:p>
    <w:p>
      <w:pPr>
        <w:pStyle w:val="2"/>
        <w:keepNext w:val="0"/>
        <w:keepLines w:val="0"/>
        <w:widowControl/>
        <w:suppressLineNumbers w:val="0"/>
        <w:spacing w:before="75" w:beforeAutospacing="0" w:after="75" w:afterAutospacing="0"/>
        <w:ind w:left="0" w:right="0" w:firstLine="600"/>
        <w:rPr>
          <w:rFonts w:hint="eastAsia" w:ascii="仿宋_GB2312" w:eastAsia="仿宋_GB2312" w:cs="仿宋_GB2312"/>
          <w:sz w:val="30"/>
          <w:szCs w:val="30"/>
          <w:lang w:eastAsia="zh-CN"/>
        </w:rPr>
      </w:pPr>
      <w:r>
        <w:rPr>
          <w:rFonts w:hint="eastAsia" w:ascii="仿宋_GB2312" w:eastAsia="仿宋_GB2312" w:cs="仿宋_GB2312"/>
          <w:sz w:val="30"/>
          <w:szCs w:val="30"/>
          <w:lang w:eastAsia="zh-CN"/>
        </w:rPr>
        <w:t>“三公”经费：是指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pStyle w:val="2"/>
        <w:keepNext w:val="0"/>
        <w:keepLines w:val="0"/>
        <w:widowControl/>
        <w:suppressLineNumbers w:val="0"/>
        <w:spacing w:before="75" w:beforeAutospacing="0" w:after="75" w:afterAutospacing="0"/>
        <w:ind w:left="0" w:right="0" w:firstLine="600"/>
        <w:rPr>
          <w:rFonts w:hint="eastAsia" w:ascii="仿宋_GB2312" w:eastAsia="仿宋_GB2312" w:cs="仿宋_GB2312"/>
          <w:sz w:val="30"/>
          <w:szCs w:val="30"/>
          <w:lang w:eastAsia="zh-CN"/>
        </w:rPr>
      </w:pPr>
      <w:r>
        <w:rPr>
          <w:rFonts w:hint="eastAsia" w:ascii="仿宋_GB2312" w:eastAsia="仿宋_GB2312" w:cs="仿宋_GB2312"/>
          <w:sz w:val="30"/>
          <w:szCs w:val="30"/>
          <w:lang w:eastAsia="zh-CN"/>
        </w:rPr>
        <w:t>维护和管理支出：是指公共租赁住房由我局进行维护，例如小区内的水电、房屋等公共设施的维修和管理。</w:t>
      </w:r>
    </w:p>
    <w:p>
      <w:pPr>
        <w:pStyle w:val="2"/>
        <w:keepNext w:val="0"/>
        <w:keepLines w:val="0"/>
        <w:widowControl/>
        <w:suppressLineNumbers w:val="0"/>
        <w:spacing w:before="75" w:beforeAutospacing="0" w:after="75" w:afterAutospacing="0"/>
        <w:ind w:left="0" w:right="0" w:firstLine="600"/>
        <w:rPr>
          <w:rFonts w:hint="eastAsia" w:ascii="仿宋_GB2312" w:eastAsia="仿宋_GB2312" w:cs="仿宋_GB2312"/>
          <w:sz w:val="30"/>
          <w:szCs w:val="30"/>
          <w:lang w:eastAsia="zh-CN"/>
        </w:rPr>
      </w:pPr>
      <w:r>
        <w:rPr>
          <w:rFonts w:hint="eastAsia" w:ascii="仿宋_GB2312" w:eastAsia="仿宋_GB2312" w:cs="仿宋_GB2312"/>
          <w:sz w:val="30"/>
          <w:szCs w:val="30"/>
          <w:lang w:eastAsia="zh-CN"/>
        </w:rPr>
        <w:t>商品和服务支出：是指机关运行经费，主要是用于办公经费、印刷费、水电费、汽燃费、办公设备购置等日常开支，以保证机构正常运转。</w:t>
      </w:r>
    </w:p>
    <w:p>
      <w:pPr>
        <w:pStyle w:val="2"/>
        <w:keepNext w:val="0"/>
        <w:keepLines w:val="0"/>
        <w:widowControl/>
        <w:suppressLineNumbers w:val="0"/>
        <w:spacing w:before="75" w:beforeAutospacing="0" w:after="75" w:afterAutospacing="0"/>
        <w:ind w:left="0" w:right="0" w:firstLine="600"/>
        <w:rPr>
          <w:rFonts w:hint="eastAsia" w:ascii="仿宋_GB2312" w:eastAsia="仿宋_GB2312" w:cs="仿宋_GB2312"/>
          <w:sz w:val="30"/>
          <w:szCs w:val="30"/>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6D030F"/>
    <w:rsid w:val="0461751D"/>
    <w:rsid w:val="126D030F"/>
    <w:rsid w:val="19650D6B"/>
    <w:rsid w:val="1AE7408E"/>
    <w:rsid w:val="3DCF1BD4"/>
    <w:rsid w:val="405C57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ScaleCrop>false</ScaleCrop>
  <LinksUpToDate>false</LinksUpToDate>
  <CharactersWithSpaces>0</CharactersWithSpaces>
  <Application>WPS Office_10.1.0.6489_F1E327BC-269C-435d-A152-05C5408002CA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2021-05-18T01:42:00Z</dcterms:created>
  <dc:creator>Administrator</dc:creator>
  <cp:lastModifiedBy>user</cp:lastModifiedBy>
  <dcterms:modified xsi:type="dcterms:W3CDTF">2021-05-18T06:43:00Z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