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监督索引号53010300163301000</w:t>
      </w:r>
    </w:p>
    <w:p>
      <w:pPr>
        <w:jc w:val="center"/>
        <w:rPr>
          <w:rFonts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36"/>
          <w:szCs w:val="36"/>
          <w:highlight w:val="none"/>
        </w:rPr>
        <w:t>昆明市盘龙区住房和城乡建设局2019年决算</w:t>
      </w:r>
      <w:r>
        <w:rPr>
          <w:rFonts w:hint="eastAsia" w:ascii="方正小标宋简体" w:hAnsi="方正小标宋简体" w:eastAsia="方正小标宋简体" w:cs="方正小标宋简体"/>
          <w:sz w:val="36"/>
          <w:szCs w:val="36"/>
          <w:highlight w:val="none"/>
          <w:lang w:eastAsia="zh-CN"/>
        </w:rPr>
        <w:t>公开</w:t>
      </w:r>
    </w:p>
    <w:p>
      <w:pPr>
        <w:jc w:val="left"/>
        <w:rPr>
          <w:rFonts w:ascii="黑体" w:hAnsi="黑体" w:eastAsia="黑体"/>
          <w:sz w:val="30"/>
          <w:szCs w:val="30"/>
          <w:highlight w:val="none"/>
        </w:rPr>
      </w:pPr>
    </w:p>
    <w:p>
      <w:pPr>
        <w:jc w:val="center"/>
        <w:rPr>
          <w:rFonts w:hint="eastAsia" w:ascii="黑体" w:hAnsi="黑体" w:eastAsia="黑体"/>
          <w:sz w:val="32"/>
          <w:szCs w:val="32"/>
          <w:highlight w:val="none"/>
        </w:rPr>
      </w:pPr>
      <w:r>
        <w:rPr>
          <w:rFonts w:hint="eastAsia" w:ascii="黑体" w:hAnsi="黑体" w:eastAsia="黑体"/>
          <w:sz w:val="32"/>
          <w:szCs w:val="32"/>
          <w:highlight w:val="none"/>
        </w:rPr>
        <w:t>目录</w:t>
      </w:r>
    </w:p>
    <w:p>
      <w:pPr>
        <w:jc w:val="center"/>
        <w:rPr>
          <w:rFonts w:hint="eastAsia"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jc w:val="left"/>
        <w:rPr>
          <w:rFonts w:ascii="黑体" w:hAnsi="黑体" w:eastAsia="黑体"/>
          <w:sz w:val="32"/>
          <w:szCs w:val="32"/>
          <w:highlight w:val="none"/>
        </w:rPr>
      </w:pPr>
      <w:r>
        <w:rPr>
          <w:rFonts w:hint="eastAsia" w:ascii="黑体" w:hAnsi="黑体" w:eastAsia="黑体"/>
          <w:sz w:val="32"/>
          <w:szCs w:val="32"/>
          <w:highlight w:val="none"/>
        </w:rPr>
        <w:t>第一部分</w:t>
      </w:r>
      <w:r>
        <w:rPr>
          <w:rFonts w:hint="eastAsia" w:ascii="黑体" w:hAnsi="黑体" w:eastAsia="黑体"/>
          <w:sz w:val="32"/>
          <w:szCs w:val="32"/>
          <w:highlight w:val="none"/>
          <w:lang w:val="en-US" w:eastAsia="zh-CN"/>
        </w:rPr>
        <w:t xml:space="preserve">  </w:t>
      </w:r>
      <w:r>
        <w:rPr>
          <w:rFonts w:hint="eastAsia" w:ascii="黑体" w:hAnsi="黑体" w:eastAsia="黑体"/>
          <w:sz w:val="32"/>
          <w:szCs w:val="32"/>
          <w:highlight w:val="none"/>
        </w:rPr>
        <w:t>部门概况</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一、主要职能</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二、部门基本情况</w:t>
      </w:r>
    </w:p>
    <w:p>
      <w:pPr>
        <w:keepNext w:val="0"/>
        <w:keepLines w:val="0"/>
        <w:pageBreakBefore w:val="0"/>
        <w:kinsoku/>
        <w:wordWrap/>
        <w:overflowPunct/>
        <w:topLinePunct w:val="0"/>
        <w:autoSpaceDE/>
        <w:autoSpaceDN/>
        <w:bidi w:val="0"/>
        <w:spacing w:line="572" w:lineRule="exact"/>
        <w:jc w:val="left"/>
        <w:rPr>
          <w:rFonts w:ascii="黑体" w:hAnsi="黑体" w:eastAsia="黑体"/>
          <w:sz w:val="32"/>
          <w:szCs w:val="32"/>
          <w:highlight w:val="none"/>
        </w:rPr>
      </w:pPr>
      <w:r>
        <w:rPr>
          <w:rFonts w:hint="eastAsia" w:ascii="黑体" w:hAnsi="黑体" w:eastAsia="黑体"/>
          <w:sz w:val="32"/>
          <w:szCs w:val="32"/>
          <w:highlight w:val="none"/>
        </w:rPr>
        <w:t>第二部</w:t>
      </w:r>
      <w:r>
        <w:rPr>
          <w:rFonts w:hint="eastAsia" w:ascii="黑体" w:hAnsi="黑体" w:eastAsia="黑体"/>
          <w:sz w:val="32"/>
          <w:szCs w:val="32"/>
          <w:highlight w:val="none"/>
          <w:lang w:eastAsia="zh-CN"/>
        </w:rPr>
        <w:t>分</w:t>
      </w:r>
      <w:r>
        <w:rPr>
          <w:rFonts w:hint="eastAsia" w:ascii="黑体" w:hAnsi="黑体" w:eastAsia="黑体"/>
          <w:sz w:val="32"/>
          <w:szCs w:val="32"/>
          <w:highlight w:val="none"/>
          <w:lang w:val="en-US" w:eastAsia="zh-CN"/>
        </w:rPr>
        <w:t xml:space="preserve">  </w:t>
      </w:r>
      <w:r>
        <w:rPr>
          <w:rFonts w:hint="eastAsia" w:ascii="黑体" w:hAnsi="黑体" w:eastAsia="黑体"/>
          <w:sz w:val="32"/>
          <w:szCs w:val="32"/>
          <w:highlight w:val="none"/>
        </w:rPr>
        <w:t>2019年度部门决算表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一、收入支出决算总表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二、收入决算表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三、支出决算表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四、财政拨款收入支出决算总表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五、一般公共预算财政拨款收入支出决算表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六、一般公共预算财政拨款基本支出决算表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七、政府性基金预算财政拨款收入支出决算表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八、“三公”经费、行政参公单位机关运行经费情况表</w:t>
      </w:r>
    </w:p>
    <w:p>
      <w:pPr>
        <w:keepNext w:val="0"/>
        <w:keepLines w:val="0"/>
        <w:pageBreakBefore w:val="0"/>
        <w:kinsoku/>
        <w:wordWrap/>
        <w:overflowPunct/>
        <w:topLinePunct w:val="0"/>
        <w:autoSpaceDE/>
        <w:autoSpaceDN/>
        <w:bidi w:val="0"/>
        <w:spacing w:line="572" w:lineRule="exact"/>
        <w:jc w:val="left"/>
        <w:rPr>
          <w:rFonts w:ascii="黑体" w:hAnsi="黑体" w:eastAsia="黑体"/>
          <w:sz w:val="32"/>
          <w:szCs w:val="32"/>
          <w:highlight w:val="none"/>
        </w:rPr>
      </w:pPr>
      <w:r>
        <w:rPr>
          <w:rFonts w:hint="eastAsia" w:ascii="黑体" w:hAnsi="黑体" w:eastAsia="黑体"/>
          <w:sz w:val="32"/>
          <w:szCs w:val="32"/>
          <w:highlight w:val="none"/>
        </w:rPr>
        <w:t>第三部分</w:t>
      </w:r>
      <w:r>
        <w:rPr>
          <w:rFonts w:hint="eastAsia" w:ascii="黑体" w:hAnsi="黑体" w:eastAsia="黑体"/>
          <w:sz w:val="32"/>
          <w:szCs w:val="32"/>
          <w:highlight w:val="none"/>
          <w:lang w:val="en-US" w:eastAsia="zh-CN"/>
        </w:rPr>
        <w:t xml:space="preserve">  </w:t>
      </w:r>
      <w:r>
        <w:rPr>
          <w:rFonts w:hint="eastAsia" w:ascii="黑体" w:hAnsi="黑体" w:eastAsia="黑体"/>
          <w:sz w:val="32"/>
          <w:szCs w:val="32"/>
          <w:highlight w:val="none"/>
        </w:rPr>
        <w:t>2019年度部门决算情况说明</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一、收入决算情况说明</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二、支出决算情况说明</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三、一般公共预算财政拨款支出决算情况说明</w:t>
      </w:r>
    </w:p>
    <w:p>
      <w:pPr>
        <w:keepNext w:val="0"/>
        <w:keepLines w:val="0"/>
        <w:pageBreakBefore w:val="0"/>
        <w:widowControl/>
        <w:kinsoku/>
        <w:wordWrap/>
        <w:overflowPunct/>
        <w:topLinePunct w:val="0"/>
        <w:autoSpaceDE/>
        <w:autoSpaceDN/>
        <w:bidi w:val="0"/>
        <w:snapToGrid w:val="0"/>
        <w:spacing w:before="100" w:beforeLines="0" w:after="100" w:afterLines="0" w:line="572" w:lineRule="exact"/>
        <w:jc w:val="left"/>
        <w:rPr>
          <w:rFonts w:hint="eastAsia" w:ascii="黑体" w:hAnsi="黑体" w:eastAsia="黑体"/>
          <w:sz w:val="32"/>
          <w:szCs w:val="32"/>
          <w:highlight w:val="none"/>
        </w:rPr>
      </w:pPr>
      <w:r>
        <w:rPr>
          <w:rFonts w:hint="eastAsia" w:ascii="仿宋_GB2312" w:hAnsi="仿宋_GB2312" w:eastAsia="仿宋_GB2312" w:cs="仿宋_GB2312"/>
          <w:sz w:val="32"/>
          <w:szCs w:val="32"/>
          <w:highlight w:val="none"/>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before="100" w:beforeLines="0" w:after="100" w:afterLines="0" w:line="572" w:lineRule="exact"/>
        <w:jc w:val="left"/>
        <w:rPr>
          <w:rFonts w:ascii="黑体" w:hAnsi="黑体" w:eastAsia="黑体"/>
          <w:sz w:val="32"/>
          <w:szCs w:val="32"/>
          <w:highlight w:val="none"/>
        </w:rPr>
      </w:pPr>
      <w:r>
        <w:rPr>
          <w:rFonts w:hint="eastAsia" w:ascii="黑体" w:hAnsi="黑体" w:eastAsia="黑体"/>
          <w:sz w:val="32"/>
          <w:szCs w:val="32"/>
          <w:highlight w:val="none"/>
        </w:rPr>
        <w:t>第四部分</w:t>
      </w:r>
      <w:r>
        <w:rPr>
          <w:rFonts w:hint="eastAsia" w:ascii="黑体" w:hAnsi="黑体" w:eastAsia="黑体"/>
          <w:sz w:val="32"/>
          <w:szCs w:val="32"/>
          <w:highlight w:val="none"/>
          <w:lang w:val="en-US" w:eastAsia="zh-CN"/>
        </w:rPr>
        <w:t xml:space="preserve">  </w:t>
      </w:r>
      <w:r>
        <w:rPr>
          <w:rFonts w:hint="eastAsia" w:ascii="黑体" w:hAnsi="黑体" w:eastAsia="黑体"/>
          <w:sz w:val="32"/>
          <w:szCs w:val="32"/>
          <w:highlight w:val="none"/>
        </w:rPr>
        <w:t>其他重要事项及相关口径情况说明</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一、机关运行经费支出情况</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二、国有资产占用情况</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三、政府采购支出情况</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四、部门绩效自评情况</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（一）项目支出绩效自评/项目支出绩效自评报告（表）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（二）部门整体支出绩效自评报告</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（三）部门整体支出绩效自评表</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五、其他重要事项情况说明、</w:t>
      </w:r>
    </w:p>
    <w:p>
      <w:pPr>
        <w:keepNext w:val="0"/>
        <w:keepLines w:val="0"/>
        <w:pageBreakBefore w:val="0"/>
        <w:kinsoku/>
        <w:wordWrap/>
        <w:overflowPunct/>
        <w:topLinePunct w:val="0"/>
        <w:autoSpaceDE/>
        <w:autoSpaceDN/>
        <w:bidi w:val="0"/>
        <w:spacing w:line="572"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六、相关口径说明</w:t>
      </w:r>
    </w:p>
    <w:p>
      <w:pPr>
        <w:keepNext w:val="0"/>
        <w:keepLines w:val="0"/>
        <w:pageBreakBefore w:val="0"/>
        <w:widowControl/>
        <w:kinsoku/>
        <w:wordWrap/>
        <w:overflowPunct/>
        <w:topLinePunct w:val="0"/>
        <w:autoSpaceDE/>
        <w:autoSpaceDN/>
        <w:bidi w:val="0"/>
        <w:snapToGrid w:val="0"/>
        <w:spacing w:before="100" w:beforeLines="0" w:after="100" w:afterLines="0" w:line="572" w:lineRule="exact"/>
        <w:jc w:val="left"/>
        <w:rPr>
          <w:rFonts w:ascii="黑体" w:hAnsi="黑体" w:eastAsia="黑体"/>
          <w:sz w:val="32"/>
          <w:szCs w:val="32"/>
          <w:highlight w:val="none"/>
        </w:rPr>
      </w:pPr>
      <w:r>
        <w:rPr>
          <w:rFonts w:hint="eastAsia" w:ascii="黑体" w:hAnsi="黑体" w:eastAsia="黑体"/>
          <w:sz w:val="32"/>
          <w:szCs w:val="32"/>
          <w:highlight w:val="none"/>
        </w:rPr>
        <w:t>第五部分  名词解释</w:t>
      </w: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rPr>
          <w:rFonts w:ascii="黑体" w:hAnsi="黑体" w:eastAsia="黑体"/>
          <w:sz w:val="32"/>
          <w:szCs w:val="32"/>
          <w:highlight w:val="none"/>
        </w:rPr>
      </w:pPr>
    </w:p>
    <w:p>
      <w:pPr>
        <w:keepNext w:val="0"/>
        <w:keepLines w:val="0"/>
        <w:pageBreakBefore w:val="0"/>
        <w:kinsoku/>
        <w:wordWrap/>
        <w:overflowPunct/>
        <w:topLinePunct w:val="0"/>
        <w:autoSpaceDE/>
        <w:autoSpaceDN/>
        <w:bidi w:val="0"/>
        <w:spacing w:line="572" w:lineRule="exact"/>
        <w:rPr>
          <w:rFonts w:ascii="黑体" w:hAnsi="黑体" w:eastAsia="黑体"/>
          <w:sz w:val="32"/>
          <w:szCs w:val="32"/>
          <w:highlight w:val="none"/>
        </w:rPr>
      </w:pPr>
    </w:p>
    <w:p>
      <w:pPr>
        <w:keepNext w:val="0"/>
        <w:keepLines w:val="0"/>
        <w:pageBreakBefore w:val="0"/>
        <w:numPr>
          <w:ilvl w:val="0"/>
          <w:numId w:val="1"/>
        </w:numPr>
        <w:kinsoku/>
        <w:wordWrap/>
        <w:overflowPunct/>
        <w:topLinePunct w:val="0"/>
        <w:autoSpaceDE/>
        <w:autoSpaceDN/>
        <w:bidi w:val="0"/>
        <w:spacing w:line="572" w:lineRule="exact"/>
        <w:ind w:left="2557" w:leftChars="0" w:firstLine="0" w:firstLineChars="0"/>
        <w:rPr>
          <w:rFonts w:hint="eastAsia" w:ascii="黑体" w:hAnsi="黑体" w:eastAsia="黑体" w:cs="黑体"/>
          <w:b/>
          <w:sz w:val="32"/>
          <w:szCs w:val="32"/>
          <w:highlight w:val="none"/>
        </w:rPr>
      </w:pPr>
      <w:r>
        <w:rPr>
          <w:rFonts w:hint="eastAsia" w:ascii="黑体" w:hAnsi="黑体" w:eastAsia="黑体" w:cs="黑体"/>
          <w:b/>
          <w:sz w:val="32"/>
          <w:szCs w:val="32"/>
          <w:highlight w:val="none"/>
        </w:rPr>
        <w:t xml:space="preserve"> 部门概况</w:t>
      </w:r>
    </w:p>
    <w:p>
      <w:pPr>
        <w:keepNext w:val="0"/>
        <w:keepLines w:val="0"/>
        <w:pageBreakBefore w:val="0"/>
        <w:numPr>
          <w:ilvl w:val="0"/>
          <w:numId w:val="0"/>
        </w:numPr>
        <w:kinsoku/>
        <w:wordWrap/>
        <w:overflowPunct/>
        <w:topLinePunct w:val="0"/>
        <w:autoSpaceDE/>
        <w:autoSpaceDN/>
        <w:bidi w:val="0"/>
        <w:spacing w:line="572" w:lineRule="exact"/>
        <w:ind w:left="2557" w:leftChars="0"/>
        <w:rPr>
          <w:rFonts w:hint="eastAsia" w:ascii="黑体" w:hAnsi="黑体" w:eastAsia="黑体" w:cs="黑体"/>
          <w:b/>
          <w:sz w:val="32"/>
          <w:szCs w:val="32"/>
          <w:highlight w:val="none"/>
        </w:rPr>
      </w:pPr>
    </w:p>
    <w:p>
      <w:pPr>
        <w:keepNext w:val="0"/>
        <w:keepLines w:val="0"/>
        <w:pageBreakBefore w:val="0"/>
        <w:kinsoku/>
        <w:wordWrap/>
        <w:overflowPunct/>
        <w:topLinePunct w:val="0"/>
        <w:autoSpaceDE/>
        <w:autoSpaceDN/>
        <w:bidi w:val="0"/>
        <w:spacing w:line="572" w:lineRule="exact"/>
        <w:ind w:firstLine="640"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一、主要职能</w:t>
      </w:r>
    </w:p>
    <w:p>
      <w:pPr>
        <w:keepNext w:val="0"/>
        <w:keepLines w:val="0"/>
        <w:pageBreakBefore w:val="0"/>
        <w:kinsoku/>
        <w:wordWrap/>
        <w:overflowPunct/>
        <w:topLinePunct w:val="0"/>
        <w:autoSpaceDE/>
        <w:autoSpaceDN/>
        <w:bidi w:val="0"/>
        <w:spacing w:line="572" w:lineRule="exact"/>
        <w:ind w:firstLine="640" w:firstLineChars="200"/>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sz w:val="32"/>
          <w:szCs w:val="32"/>
          <w:highlight w:val="none"/>
        </w:rPr>
        <w:t>（一）主要职能</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贯彻执行国家和省、市有关住房和城乡建设事业的法律、法规、规章及方针、政策，研究拟定全区住房和城乡建设事业总体发展规划、产业政策及中长期规划，并指导实施。</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依据城市发展总体规划，平时组织开展人民防空建设，战时组织开展城市人民防空袭击斗争。负责人防工程维护管理，负责人防设施拆除迁移审批。</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按照区政府分工要求，负责编报辖区城市基础设施建设重点工作、重点建设项目年度建设计划并组织实施。负责辖区市政基础设施建设项目的管理、协调工作；负责政府工程项目的代建监督指导工作；指导辖区城市规划区域内道路桥梁维修养护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负责权限范围内辖区城市建筑业行业及市场、房地产业、物业服务业、房地产经纪的行业指导及监督管理工作。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负责拟定辖区保障性住房的发展规划、计划，并监督指导实施保障性住房建设管理工作；指导监督辖区直管公租房租赁管理工作；指导参与辖区住房制度改革工作及住房补贴发放工作。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贯彻落实中央、省、市有关村镇建设的法律、法规、政策，指导辖区内村镇建设、农村宜居住房建设管理工作；指导农村危房改造和地震安居工程建设任务；协助相关部门做好新农村建设工作指导和落实震后恢复重建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负责职责范围内工程建设项目的质量监督及安全生产地监督管理；负责区属建设工程施工工地现场管理；负责组织或协助建设项目质量、安全事故的调查处理；负责辖区房屋安全管理鉴定工作。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负责辖区建设事业科技进步、科技创新及推广工作；负责墙体改革，绿色建设和建筑节能、预拌商品混凝土及散装水泥的推广使用，指导及监督管理工作。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贯彻执行国家、省、市有关防震减灾法律、法规和规章，指导全区防震减灾工作。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负责辖区瓶装液化燃气供应站（点）许可证行政审批管理。</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承办区委、区政府和上级机关交办的其他事项。</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12、贯彻执行国家、省市政府有关城市道路桥梁的管理的法律、法规、法令，抓好城市道路桥梁市政产业政策的落实。</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13、依照国家和上级有关部门制定的市政设施、地下通道等进行维修和管理。</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14、负责审核、审批占道开挖、占道围栏的维护管理。</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15、负责所管市政道路的大中修工程，对新建城市道路工程的安排提出意见，参与竣工验收，交接并安排维修养护工作。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16、负责编制年度维护（修）计划和归口统计工作。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17、对涉及群众“行路难”的问题，各级人大、政协及“12345”便民热线提出的批评、建议和提案，及时提出处理意见，并将执行结果向上级作出报告。</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18、承办区委、区政府及上级业务部门交办的其他工作。</w:t>
      </w:r>
    </w:p>
    <w:p>
      <w:pPr>
        <w:keepNext w:val="0"/>
        <w:keepLines w:val="0"/>
        <w:pageBreakBefore w:val="0"/>
        <w:kinsoku/>
        <w:wordWrap/>
        <w:overflowPunct/>
        <w:topLinePunct w:val="0"/>
        <w:autoSpaceDE/>
        <w:autoSpaceDN/>
        <w:bidi w:val="0"/>
        <w:spacing w:line="572" w:lineRule="exact"/>
        <w:ind w:firstLine="640" w:firstLineChars="200"/>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sz w:val="32"/>
          <w:szCs w:val="32"/>
          <w:highlight w:val="none"/>
        </w:rPr>
        <w:t>（二）2019年度重点工作任务介绍</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人防建设：组织开展人民防空建设，配合参与抢救、救灾和应对突发事件的有关工作;实施全区人民防空应急预案；实施9.18防空警报鸣放工作；会同有关部门有效监督管理人防应急救援工作所需设备，建立宣传人民防空法律、法规和方针政策，组织开展防空、防身以及自救互救科普知识和技能宣传教育等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工程项目：新建匝道连接西北绕城高速立交，项目包括道路工程、桥涵工程、房建工程、排水工程、综合管线工程、交通工程、绿化工程和照明工程等。</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保障性住房建设管理：每季度巡查，确保小区无乱搭乱建；无人为损坏房屋结构、公共设施、设备；及时预防和消除隐患，开展保障性住房动态复查工作，每季度对承租户进行一次核查，及时清退不符合承租条件的承租户，建立维修台账，对承租户反应的房屋维修问题及时修理。</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村镇建设：不定期组织相关人员进行实地考察，对村镇危房进行最直接的了解，并及时组织实施危旧房的修缮。</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防震减灾：组织全区地震应急志愿者队伍骨干队员参加昆明市防震减灾局组织的培训；对全区地震宏观联络员开展培训工作，开展防震应急的宣传，最大限度防御和减轻地震灾害，减少人员伤亡和地震损失。</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液化燃气：加大对各液化燃气储配（充装）站、供应站点的安全检查，及时查找安全隐患，杜绝安全事故的发生，实行安全检查,燃气供应站（点）日常安全巡检巡查、普查等工作。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物业服务：认真做好针对物业的相关投诉、积极统计民办物业企业摸排情况、做好对物业企业物业服务价格备案的指导、积极配合街道开展相关工作。</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工程建设项目：分派相关的工作人员到项目实施地进行监督检查，确保项目的安全性与施工质量。</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辖区事业建设：通过不断的实践，总结经验，不定期开会研讨适合辖区发展的方向并付诸实施。</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人居环境：深入贯彻落实省、市提升城乡人居环境五年行动要求，抓好提升城乡人居环境工作机制落实，打造良好的人居环境，以建设“美丽春城”为目标，坚持城乡并重，加强属地管理，不断改善全市城乡人居环境，建设幸福宜居新昆明。</w:t>
      </w:r>
    </w:p>
    <w:p>
      <w:pPr>
        <w:pStyle w:val="2"/>
        <w:keepNext w:val="0"/>
        <w:keepLines w:val="0"/>
        <w:pageBreakBefore w:val="0"/>
        <w:kinsoku/>
        <w:wordWrap/>
        <w:overflowPunct/>
        <w:topLinePunct w:val="0"/>
        <w:autoSpaceDE/>
        <w:autoSpaceDN/>
        <w:bidi w:val="0"/>
        <w:adjustRightInd w:val="0"/>
        <w:snapToGrid w:val="0"/>
        <w:spacing w:line="572" w:lineRule="exact"/>
        <w:ind w:firstLine="672" w:firstLineChars="210"/>
        <w:rPr>
          <w:rFonts w:hint="eastAsia" w:ascii="楷体" w:hAnsi="楷体" w:eastAsia="楷体" w:cs="楷体"/>
          <w:sz w:val="32"/>
          <w:szCs w:val="32"/>
          <w:highlight w:val="none"/>
        </w:rPr>
      </w:pPr>
      <w:r>
        <w:rPr>
          <w:rFonts w:hint="eastAsia" w:ascii="仿宋_GB2312" w:hAnsi="仿宋_GB2312" w:eastAsia="仿宋_GB2312" w:cs="仿宋_GB2312"/>
          <w:kern w:val="2"/>
          <w:sz w:val="32"/>
          <w:szCs w:val="32"/>
          <w:highlight w:val="none"/>
          <w:lang w:val="en-US" w:eastAsia="zh-CN"/>
        </w:rPr>
        <w:t>2019年度圆满完成了全年道路桥梁和维修养护工作，为市民安全出行创造了条件。圆满完成了“创建文明城市”道路整治工作。</w:t>
      </w:r>
    </w:p>
    <w:p>
      <w:pPr>
        <w:keepNext w:val="0"/>
        <w:keepLines w:val="0"/>
        <w:pageBreakBefore w:val="0"/>
        <w:kinsoku/>
        <w:wordWrap/>
        <w:overflowPunct/>
        <w:topLinePunct w:val="0"/>
        <w:autoSpaceDE/>
        <w:autoSpaceDN/>
        <w:bidi w:val="0"/>
        <w:spacing w:line="572" w:lineRule="exact"/>
        <w:ind w:firstLine="640"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二、部门基本情况</w:t>
      </w:r>
    </w:p>
    <w:p>
      <w:pPr>
        <w:keepNext w:val="0"/>
        <w:keepLines w:val="0"/>
        <w:pageBreakBefore w:val="0"/>
        <w:kinsoku/>
        <w:wordWrap/>
        <w:overflowPunct/>
        <w:topLinePunct w:val="0"/>
        <w:autoSpaceDE/>
        <w:autoSpaceDN/>
        <w:bidi w:val="0"/>
        <w:spacing w:line="572" w:lineRule="exact"/>
        <w:ind w:firstLine="640" w:firstLineChars="200"/>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sz w:val="32"/>
          <w:szCs w:val="32"/>
          <w:highlight w:val="none"/>
        </w:rPr>
        <w:t>（一）部门决算单位构成</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部门2019年度部门决算编报的单位共2个。其中：行政单位1个，参照公务员法管理的事业单位</w:t>
      </w:r>
      <w:r>
        <w:rPr>
          <w:rFonts w:hint="eastAsia" w:ascii="仿宋_GB2312" w:hAnsi="仿宋_GB2312" w:eastAsia="仿宋_GB2312" w:cs="仿宋_GB2312"/>
          <w:bCs/>
          <w:sz w:val="32"/>
          <w:szCs w:val="32"/>
          <w:highlight w:val="none"/>
        </w:rPr>
        <w:t>0</w:t>
      </w:r>
      <w:r>
        <w:rPr>
          <w:rFonts w:hint="eastAsia" w:ascii="仿宋_GB2312" w:hAnsi="仿宋_GB2312" w:eastAsia="仿宋_GB2312" w:cs="仿宋_GB2312"/>
          <w:sz w:val="32"/>
          <w:szCs w:val="32"/>
          <w:highlight w:val="none"/>
        </w:rPr>
        <w:t>个，其他事业单位1个。分别是：</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盘龙区住房和城乡建设局(行政单位)</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盘龙区道路桥梁管理处（其他事业单位）</w:t>
      </w:r>
    </w:p>
    <w:p>
      <w:pPr>
        <w:keepNext w:val="0"/>
        <w:keepLines w:val="0"/>
        <w:pageBreakBefore w:val="0"/>
        <w:kinsoku/>
        <w:wordWrap/>
        <w:overflowPunct/>
        <w:topLinePunct w:val="0"/>
        <w:autoSpaceDE/>
        <w:autoSpaceDN/>
        <w:bidi w:val="0"/>
        <w:spacing w:line="572" w:lineRule="exact"/>
        <w:ind w:firstLine="640" w:firstLineChars="200"/>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sz w:val="32"/>
          <w:szCs w:val="32"/>
          <w:highlight w:val="none"/>
        </w:rPr>
        <w:t xml:space="preserve">（二）部门人员和车辆的编制及实有情况 </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rPr>
        <w:t>本级部门2019年末实有人员编制102</w:t>
      </w:r>
      <w:r>
        <w:rPr>
          <w:rFonts w:hint="eastAsia" w:ascii="仿宋_GB2312" w:hAnsi="仿宋_GB2312" w:eastAsia="仿宋_GB2312" w:cs="仿宋_GB2312"/>
          <w:kern w:val="0"/>
          <w:sz w:val="32"/>
          <w:szCs w:val="32"/>
          <w:highlight w:val="none"/>
        </w:rPr>
        <w:t>人。其中：行政编制16人（含行政工勤编制</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kern w:val="0"/>
          <w:sz w:val="32"/>
          <w:szCs w:val="32"/>
          <w:highlight w:val="none"/>
        </w:rPr>
        <w:t>人），事业编制</w:t>
      </w:r>
      <w:r>
        <w:rPr>
          <w:rFonts w:hint="eastAsia" w:ascii="仿宋_GB2312" w:hAnsi="仿宋_GB2312" w:eastAsia="仿宋_GB2312" w:cs="仿宋_GB2312"/>
          <w:sz w:val="32"/>
          <w:szCs w:val="32"/>
          <w:highlight w:val="none"/>
        </w:rPr>
        <w:t>86</w:t>
      </w:r>
      <w:r>
        <w:rPr>
          <w:rFonts w:hint="eastAsia" w:ascii="仿宋_GB2312" w:hAnsi="仿宋_GB2312" w:eastAsia="仿宋_GB2312" w:cs="仿宋_GB2312"/>
          <w:kern w:val="0"/>
          <w:sz w:val="32"/>
          <w:szCs w:val="32"/>
          <w:highlight w:val="none"/>
        </w:rPr>
        <w:t>人（含参公管理事业编制</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kern w:val="0"/>
          <w:sz w:val="32"/>
          <w:szCs w:val="32"/>
          <w:highlight w:val="none"/>
        </w:rPr>
        <w:t>人）；在职在编实有行政人员</w:t>
      </w:r>
      <w:r>
        <w:rPr>
          <w:rFonts w:hint="eastAsia" w:ascii="仿宋_GB2312" w:hAnsi="仿宋_GB2312" w:eastAsia="仿宋_GB2312" w:cs="仿宋_GB2312"/>
          <w:sz w:val="32"/>
          <w:szCs w:val="32"/>
          <w:highlight w:val="none"/>
        </w:rPr>
        <w:t>24</w:t>
      </w:r>
      <w:r>
        <w:rPr>
          <w:rFonts w:hint="eastAsia" w:ascii="仿宋_GB2312" w:hAnsi="仿宋_GB2312" w:eastAsia="仿宋_GB2312" w:cs="仿宋_GB2312"/>
          <w:kern w:val="0"/>
          <w:sz w:val="32"/>
          <w:szCs w:val="32"/>
          <w:highlight w:val="none"/>
        </w:rPr>
        <w:t>人（含行政工勤人员</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kern w:val="0"/>
          <w:sz w:val="32"/>
          <w:szCs w:val="32"/>
          <w:highlight w:val="none"/>
        </w:rPr>
        <w:t>人），事业人员</w:t>
      </w:r>
      <w:r>
        <w:rPr>
          <w:rFonts w:hint="eastAsia" w:ascii="仿宋_GB2312" w:hAnsi="仿宋_GB2312" w:eastAsia="仿宋_GB2312" w:cs="仿宋_GB2312"/>
          <w:sz w:val="32"/>
          <w:szCs w:val="32"/>
          <w:highlight w:val="none"/>
        </w:rPr>
        <w:t>47</w:t>
      </w:r>
      <w:r>
        <w:rPr>
          <w:rFonts w:hint="eastAsia" w:ascii="仿宋_GB2312" w:hAnsi="仿宋_GB2312" w:eastAsia="仿宋_GB2312" w:cs="仿宋_GB2312"/>
          <w:kern w:val="0"/>
          <w:sz w:val="32"/>
          <w:szCs w:val="32"/>
          <w:highlight w:val="none"/>
        </w:rPr>
        <w:t>人（含参公管理事业人员</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kern w:val="0"/>
          <w:sz w:val="32"/>
          <w:szCs w:val="32"/>
          <w:highlight w:val="none"/>
        </w:rPr>
        <w:t>人）。其他人员</w:t>
      </w:r>
      <w:r>
        <w:rPr>
          <w:rFonts w:hint="eastAsia" w:ascii="仿宋_GB2312" w:hAnsi="仿宋_GB2312" w:eastAsia="仿宋_GB2312" w:cs="仿宋_GB2312"/>
          <w:sz w:val="32"/>
          <w:szCs w:val="32"/>
          <w:highlight w:val="none"/>
        </w:rPr>
        <w:t>11人，主要是聘用人员。</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离退休人员</w:t>
      </w:r>
      <w:r>
        <w:rPr>
          <w:rFonts w:hint="eastAsia" w:ascii="仿宋_GB2312" w:hAnsi="仿宋_GB2312" w:eastAsia="仿宋_GB2312" w:cs="仿宋_GB2312"/>
          <w:sz w:val="32"/>
          <w:szCs w:val="32"/>
          <w:highlight w:val="none"/>
        </w:rPr>
        <w:t>53</w:t>
      </w:r>
      <w:r>
        <w:rPr>
          <w:rFonts w:hint="eastAsia" w:ascii="仿宋_GB2312" w:hAnsi="仿宋_GB2312" w:eastAsia="仿宋_GB2312" w:cs="仿宋_GB2312"/>
          <w:kern w:val="0"/>
          <w:sz w:val="32"/>
          <w:szCs w:val="32"/>
          <w:highlight w:val="none"/>
        </w:rPr>
        <w:t>人。其中：离休</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kern w:val="0"/>
          <w:sz w:val="32"/>
          <w:szCs w:val="32"/>
          <w:highlight w:val="none"/>
        </w:rPr>
        <w:t>人，退休</w:t>
      </w:r>
      <w:r>
        <w:rPr>
          <w:rFonts w:hint="eastAsia" w:ascii="仿宋_GB2312" w:hAnsi="仿宋_GB2312" w:eastAsia="仿宋_GB2312" w:cs="仿宋_GB2312"/>
          <w:sz w:val="32"/>
          <w:szCs w:val="32"/>
          <w:highlight w:val="none"/>
        </w:rPr>
        <w:t>52</w:t>
      </w:r>
      <w:r>
        <w:rPr>
          <w:rFonts w:hint="eastAsia" w:ascii="仿宋_GB2312" w:hAnsi="仿宋_GB2312" w:eastAsia="仿宋_GB2312" w:cs="仿宋_GB2312"/>
          <w:kern w:val="0"/>
          <w:sz w:val="32"/>
          <w:szCs w:val="32"/>
          <w:highlight w:val="none"/>
        </w:rPr>
        <w:t>人。</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实有车辆编制</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kern w:val="0"/>
          <w:sz w:val="32"/>
          <w:szCs w:val="32"/>
          <w:highlight w:val="none"/>
        </w:rPr>
        <w:t>辆，在编实有车辆</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kern w:val="0"/>
          <w:sz w:val="32"/>
          <w:szCs w:val="32"/>
          <w:highlight w:val="none"/>
        </w:rPr>
        <w:t>辆。</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下级部门盘龙区道路桥梁管理处</w:t>
      </w:r>
      <w:r>
        <w:rPr>
          <w:rFonts w:hint="eastAsia" w:ascii="仿宋_GB2312" w:hAnsi="仿宋_GB2312" w:eastAsia="仿宋_GB2312" w:cs="仿宋_GB2312"/>
          <w:kern w:val="0"/>
          <w:sz w:val="32"/>
          <w:szCs w:val="32"/>
          <w:highlight w:val="none"/>
          <w:lang w:val="en-US" w:eastAsia="zh-CN"/>
        </w:rPr>
        <w:t>2019</w:t>
      </w:r>
      <w:r>
        <w:rPr>
          <w:rFonts w:hint="eastAsia" w:ascii="仿宋_GB2312" w:hAnsi="仿宋_GB2312" w:eastAsia="仿宋_GB2312" w:cs="仿宋_GB2312"/>
          <w:kern w:val="0"/>
          <w:sz w:val="32"/>
          <w:szCs w:val="32"/>
          <w:highlight w:val="none"/>
        </w:rPr>
        <w:t>年末实有人员编制</w:t>
      </w:r>
      <w:r>
        <w:rPr>
          <w:rFonts w:hint="eastAsia" w:ascii="仿宋_GB2312" w:hAnsi="仿宋_GB2312" w:eastAsia="仿宋_GB2312" w:cs="仿宋_GB2312"/>
          <w:kern w:val="0"/>
          <w:sz w:val="32"/>
          <w:szCs w:val="32"/>
          <w:highlight w:val="none"/>
          <w:lang w:val="en-US" w:eastAsia="zh-CN"/>
        </w:rPr>
        <w:t>220</w:t>
      </w:r>
      <w:r>
        <w:rPr>
          <w:rFonts w:hint="eastAsia" w:ascii="仿宋_GB2312" w:hAnsi="仿宋_GB2312" w:eastAsia="仿宋_GB2312" w:cs="仿宋_GB2312"/>
          <w:kern w:val="0"/>
          <w:sz w:val="32"/>
          <w:szCs w:val="32"/>
          <w:highlight w:val="none"/>
        </w:rPr>
        <w:t>人。其中：行政编制</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人（含行政工勤编制</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人），事业编制</w:t>
      </w:r>
      <w:r>
        <w:rPr>
          <w:rFonts w:hint="eastAsia" w:ascii="仿宋_GB2312" w:hAnsi="仿宋_GB2312" w:eastAsia="仿宋_GB2312" w:cs="仿宋_GB2312"/>
          <w:kern w:val="0"/>
          <w:sz w:val="32"/>
          <w:szCs w:val="32"/>
          <w:highlight w:val="none"/>
          <w:lang w:val="en-US" w:eastAsia="zh-CN"/>
        </w:rPr>
        <w:t>220</w:t>
      </w:r>
      <w:r>
        <w:rPr>
          <w:rFonts w:hint="eastAsia" w:ascii="仿宋_GB2312" w:hAnsi="仿宋_GB2312" w:eastAsia="仿宋_GB2312" w:cs="仿宋_GB2312"/>
          <w:kern w:val="0"/>
          <w:sz w:val="32"/>
          <w:szCs w:val="32"/>
          <w:highlight w:val="none"/>
        </w:rPr>
        <w:t>人（含参公管理事业编制</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人）；在职在编实有行政人员</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人（含行政工勤人员</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人），事业人员</w:t>
      </w:r>
      <w:r>
        <w:rPr>
          <w:rFonts w:hint="eastAsia" w:ascii="仿宋_GB2312" w:hAnsi="仿宋_GB2312" w:eastAsia="仿宋_GB2312" w:cs="仿宋_GB2312"/>
          <w:kern w:val="0"/>
          <w:sz w:val="32"/>
          <w:szCs w:val="32"/>
          <w:highlight w:val="none"/>
          <w:lang w:val="en-US" w:eastAsia="zh-CN"/>
        </w:rPr>
        <w:t>102</w:t>
      </w:r>
      <w:r>
        <w:rPr>
          <w:rFonts w:hint="eastAsia" w:ascii="仿宋_GB2312" w:hAnsi="仿宋_GB2312" w:eastAsia="仿宋_GB2312" w:cs="仿宋_GB2312"/>
          <w:kern w:val="0"/>
          <w:sz w:val="32"/>
          <w:szCs w:val="32"/>
          <w:highlight w:val="none"/>
        </w:rPr>
        <w:t>人（含参公管理事业人员</w:t>
      </w:r>
      <w:r>
        <w:rPr>
          <w:rFonts w:hint="eastAsia" w:ascii="仿宋_GB2312" w:hAnsi="仿宋_GB2312" w:eastAsia="仿宋_GB2312" w:cs="仿宋_GB2312"/>
          <w:kern w:val="0"/>
          <w:sz w:val="32"/>
          <w:szCs w:val="32"/>
          <w:highlight w:val="none"/>
          <w:lang w:val="en-US" w:eastAsia="zh-CN"/>
        </w:rPr>
        <w:t>0</w:t>
      </w:r>
      <w:r>
        <w:rPr>
          <w:rFonts w:hint="eastAsia" w:ascii="仿宋_GB2312" w:hAnsi="仿宋_GB2312" w:eastAsia="仿宋_GB2312" w:cs="仿宋_GB2312"/>
          <w:kern w:val="0"/>
          <w:sz w:val="32"/>
          <w:szCs w:val="32"/>
          <w:highlight w:val="none"/>
        </w:rPr>
        <w:t>人）。</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离退休人员</w:t>
      </w:r>
      <w:r>
        <w:rPr>
          <w:rFonts w:hint="eastAsia" w:ascii="仿宋_GB2312" w:hAnsi="仿宋_GB2312" w:eastAsia="仿宋_GB2312" w:cs="仿宋_GB2312"/>
          <w:kern w:val="0"/>
          <w:sz w:val="32"/>
          <w:szCs w:val="32"/>
          <w:highlight w:val="none"/>
          <w:lang w:val="en-US" w:eastAsia="zh-CN"/>
        </w:rPr>
        <w:t>139</w:t>
      </w:r>
      <w:r>
        <w:rPr>
          <w:rFonts w:hint="eastAsia" w:ascii="仿宋_GB2312" w:hAnsi="仿宋_GB2312" w:eastAsia="仿宋_GB2312" w:cs="仿宋_GB2312"/>
          <w:kern w:val="0"/>
          <w:sz w:val="32"/>
          <w:szCs w:val="32"/>
          <w:highlight w:val="none"/>
        </w:rPr>
        <w:t>人。其中：离休</w:t>
      </w:r>
      <w:r>
        <w:rPr>
          <w:rFonts w:hint="eastAsia" w:ascii="仿宋_GB2312" w:hAnsi="仿宋_GB2312" w:eastAsia="仿宋_GB2312" w:cs="仿宋_GB2312"/>
          <w:kern w:val="0"/>
          <w:sz w:val="32"/>
          <w:szCs w:val="32"/>
          <w:highlight w:val="none"/>
          <w:lang w:val="en-US" w:eastAsia="zh-CN"/>
        </w:rPr>
        <w:t>1</w:t>
      </w:r>
      <w:r>
        <w:rPr>
          <w:rFonts w:hint="eastAsia" w:ascii="仿宋_GB2312" w:hAnsi="仿宋_GB2312" w:eastAsia="仿宋_GB2312" w:cs="仿宋_GB2312"/>
          <w:kern w:val="0"/>
          <w:sz w:val="32"/>
          <w:szCs w:val="32"/>
          <w:highlight w:val="none"/>
        </w:rPr>
        <w:t>人，退休</w:t>
      </w:r>
      <w:r>
        <w:rPr>
          <w:rFonts w:hint="eastAsia" w:ascii="仿宋_GB2312" w:hAnsi="仿宋_GB2312" w:eastAsia="仿宋_GB2312" w:cs="仿宋_GB2312"/>
          <w:kern w:val="0"/>
          <w:sz w:val="32"/>
          <w:szCs w:val="32"/>
          <w:highlight w:val="none"/>
          <w:lang w:val="en-US" w:eastAsia="zh-CN"/>
        </w:rPr>
        <w:t>138</w:t>
      </w:r>
      <w:r>
        <w:rPr>
          <w:rFonts w:hint="eastAsia" w:ascii="仿宋_GB2312" w:hAnsi="仿宋_GB2312" w:eastAsia="仿宋_GB2312" w:cs="仿宋_GB2312"/>
          <w:kern w:val="0"/>
          <w:sz w:val="32"/>
          <w:szCs w:val="32"/>
          <w:highlight w:val="none"/>
        </w:rPr>
        <w:t>人。</w:t>
      </w:r>
    </w:p>
    <w:p>
      <w:pPr>
        <w:keepNext w:val="0"/>
        <w:keepLines w:val="0"/>
        <w:pageBreakBefore w:val="0"/>
        <w:kinsoku/>
        <w:wordWrap/>
        <w:overflowPunct/>
        <w:topLinePunct w:val="0"/>
        <w:autoSpaceDE/>
        <w:autoSpaceDN/>
        <w:bidi w:val="0"/>
        <w:spacing w:line="572" w:lineRule="exact"/>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实有车辆编制</w:t>
      </w:r>
      <w:r>
        <w:rPr>
          <w:rFonts w:hint="eastAsia" w:ascii="仿宋_GB2312" w:hAnsi="仿宋_GB2312" w:eastAsia="仿宋_GB2312" w:cs="仿宋_GB2312"/>
          <w:kern w:val="0"/>
          <w:sz w:val="32"/>
          <w:szCs w:val="32"/>
          <w:highlight w:val="none"/>
          <w:lang w:val="en-US" w:eastAsia="zh-CN"/>
        </w:rPr>
        <w:t>12</w:t>
      </w:r>
      <w:r>
        <w:rPr>
          <w:rFonts w:hint="eastAsia" w:ascii="仿宋_GB2312" w:hAnsi="仿宋_GB2312" w:eastAsia="仿宋_GB2312" w:cs="仿宋_GB2312"/>
          <w:kern w:val="0"/>
          <w:sz w:val="32"/>
          <w:szCs w:val="32"/>
          <w:highlight w:val="none"/>
        </w:rPr>
        <w:t>辆，在编实有车辆</w:t>
      </w:r>
      <w:r>
        <w:rPr>
          <w:rFonts w:hint="eastAsia" w:ascii="仿宋_GB2312" w:hAnsi="仿宋_GB2312" w:eastAsia="仿宋_GB2312" w:cs="仿宋_GB2312"/>
          <w:kern w:val="0"/>
          <w:sz w:val="32"/>
          <w:szCs w:val="32"/>
          <w:highlight w:val="none"/>
          <w:lang w:val="en-US" w:eastAsia="zh-CN"/>
        </w:rPr>
        <w:t>12</w:t>
      </w:r>
      <w:r>
        <w:rPr>
          <w:rFonts w:hint="eastAsia" w:ascii="仿宋_GB2312" w:hAnsi="仿宋_GB2312" w:eastAsia="仿宋_GB2312" w:cs="仿宋_GB2312"/>
          <w:kern w:val="0"/>
          <w:sz w:val="32"/>
          <w:szCs w:val="32"/>
          <w:highlight w:val="none"/>
        </w:rPr>
        <w:t>辆。</w:t>
      </w:r>
    </w:p>
    <w:p>
      <w:pPr>
        <w:keepNext w:val="0"/>
        <w:keepLines w:val="0"/>
        <w:pageBreakBefore w:val="0"/>
        <w:kinsoku/>
        <w:wordWrap/>
        <w:overflowPunct/>
        <w:topLinePunct w:val="0"/>
        <w:autoSpaceDE/>
        <w:autoSpaceDN/>
        <w:bidi w:val="0"/>
        <w:spacing w:line="572" w:lineRule="exact"/>
        <w:jc w:val="both"/>
        <w:rPr>
          <w:rFonts w:hint="eastAsia" w:ascii="仿宋_GB2312" w:hAnsi="仿宋_GB2312" w:eastAsia="仿宋_GB2312" w:cs="仿宋_GB2312"/>
          <w:sz w:val="32"/>
          <w:szCs w:val="32"/>
          <w:highlight w:val="none"/>
        </w:rPr>
      </w:pPr>
    </w:p>
    <w:p>
      <w:pPr>
        <w:keepNext w:val="0"/>
        <w:keepLines w:val="0"/>
        <w:pageBreakBefore w:val="0"/>
        <w:kinsoku/>
        <w:wordWrap/>
        <w:overflowPunct/>
        <w:topLinePunct w:val="0"/>
        <w:autoSpaceDE/>
        <w:autoSpaceDN/>
        <w:bidi w:val="0"/>
        <w:spacing w:line="572" w:lineRule="exact"/>
        <w:jc w:val="both"/>
        <w:rPr>
          <w:rFonts w:hint="eastAsia" w:ascii="仿宋_GB2312" w:hAnsi="仿宋_GB2312" w:eastAsia="仿宋_GB2312" w:cs="仿宋_GB2312"/>
          <w:sz w:val="32"/>
          <w:szCs w:val="32"/>
          <w:highlight w:val="none"/>
        </w:rPr>
      </w:pPr>
    </w:p>
    <w:p>
      <w:pPr>
        <w:keepNext w:val="0"/>
        <w:keepLines w:val="0"/>
        <w:pageBreakBefore w:val="0"/>
        <w:kinsoku/>
        <w:wordWrap/>
        <w:overflowPunct/>
        <w:topLinePunct w:val="0"/>
        <w:autoSpaceDE/>
        <w:autoSpaceDN/>
        <w:bidi w:val="0"/>
        <w:spacing w:line="572" w:lineRule="exact"/>
        <w:jc w:val="center"/>
        <w:rPr>
          <w:rFonts w:hint="eastAsia" w:ascii="黑体" w:hAnsi="黑体" w:eastAsia="黑体" w:cs="黑体"/>
          <w:sz w:val="32"/>
          <w:szCs w:val="32"/>
          <w:highlight w:val="none"/>
        </w:rPr>
      </w:pPr>
      <w:r>
        <w:rPr>
          <w:rFonts w:hint="eastAsia" w:ascii="黑体" w:hAnsi="黑体" w:eastAsia="黑体" w:cs="黑体"/>
          <w:sz w:val="32"/>
          <w:szCs w:val="32"/>
          <w:highlight w:val="none"/>
        </w:rPr>
        <w:t>第二部分  2019年度部门决算表</w:t>
      </w:r>
    </w:p>
    <w:p>
      <w:pPr>
        <w:keepNext w:val="0"/>
        <w:keepLines w:val="0"/>
        <w:pageBreakBefore w:val="0"/>
        <w:kinsoku/>
        <w:wordWrap/>
        <w:overflowPunct/>
        <w:topLinePunct w:val="0"/>
        <w:autoSpaceDE/>
        <w:autoSpaceDN/>
        <w:bidi w:val="0"/>
        <w:spacing w:line="572" w:lineRule="exact"/>
        <w:jc w:val="center"/>
        <w:rPr>
          <w:rFonts w:hint="eastAsia" w:ascii="楷体_GB2312" w:hAnsi="楷体_GB2312" w:eastAsia="楷体_GB2312" w:cs="楷体_GB2312"/>
          <w:sz w:val="32"/>
          <w:szCs w:val="32"/>
          <w:highlight w:val="none"/>
          <w:lang w:val="en-US" w:eastAsia="zh-CN"/>
        </w:rPr>
      </w:pPr>
      <w:r>
        <w:rPr>
          <w:rFonts w:hint="eastAsia" w:ascii="仿宋_GB2312" w:eastAsia="仿宋_GB2312"/>
          <w:sz w:val="32"/>
          <w:szCs w:val="32"/>
          <w:highlight w:val="none"/>
        </w:rPr>
        <w:t>（</w:t>
      </w:r>
      <w:r>
        <w:rPr>
          <w:rFonts w:hint="eastAsia" w:ascii="楷体_GB2312" w:hAnsi="楷体_GB2312" w:eastAsia="楷体_GB2312" w:cs="楷体_GB2312"/>
          <w:sz w:val="32"/>
          <w:szCs w:val="32"/>
          <w:highlight w:val="none"/>
        </w:rPr>
        <w:t>详见附件</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昆明市盘龙区住房和城乡建设局2019年</w:t>
      </w:r>
    </w:p>
    <w:p>
      <w:pPr>
        <w:keepNext w:val="0"/>
        <w:keepLines w:val="0"/>
        <w:pageBreakBefore w:val="0"/>
        <w:kinsoku/>
        <w:wordWrap/>
        <w:overflowPunct/>
        <w:topLinePunct w:val="0"/>
        <w:autoSpaceDE/>
        <w:autoSpaceDN/>
        <w:bidi w:val="0"/>
        <w:spacing w:line="572" w:lineRule="exact"/>
        <w:jc w:val="center"/>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val="en-US" w:eastAsia="zh-CN"/>
        </w:rPr>
        <w:t>决算表</w:t>
      </w:r>
      <w:r>
        <w:rPr>
          <w:rFonts w:hint="eastAsia" w:ascii="楷体_GB2312" w:hAnsi="楷体_GB2312" w:eastAsia="楷体_GB2312" w:cs="楷体_GB2312"/>
          <w:sz w:val="32"/>
          <w:szCs w:val="32"/>
          <w:highlight w:val="none"/>
        </w:rPr>
        <w:t>）</w:t>
      </w:r>
    </w:p>
    <w:p>
      <w:pPr>
        <w:keepNext w:val="0"/>
        <w:keepLines w:val="0"/>
        <w:pageBreakBefore w:val="0"/>
        <w:kinsoku/>
        <w:wordWrap/>
        <w:overflowPunct/>
        <w:topLinePunct w:val="0"/>
        <w:autoSpaceDE/>
        <w:autoSpaceDN/>
        <w:bidi w:val="0"/>
        <w:spacing w:line="572" w:lineRule="exact"/>
        <w:ind w:firstLine="640" w:firstLineChars="200"/>
        <w:jc w:val="center"/>
        <w:rPr>
          <w:rFonts w:ascii="仿宋_GB2312" w:eastAsia="仿宋_GB2312"/>
          <w:sz w:val="32"/>
          <w:szCs w:val="32"/>
          <w:highlight w:val="none"/>
        </w:rPr>
      </w:pPr>
    </w:p>
    <w:p>
      <w:pPr>
        <w:keepNext w:val="0"/>
        <w:keepLines w:val="0"/>
        <w:pageBreakBefore w:val="0"/>
        <w:kinsoku/>
        <w:wordWrap/>
        <w:overflowPunct/>
        <w:topLinePunct w:val="0"/>
        <w:autoSpaceDE/>
        <w:autoSpaceDN/>
        <w:bidi w:val="0"/>
        <w:spacing w:line="572" w:lineRule="exact"/>
        <w:jc w:val="center"/>
        <w:rPr>
          <w:rFonts w:ascii="黑体" w:hAnsi="黑体" w:eastAsia="黑体"/>
          <w:sz w:val="32"/>
          <w:szCs w:val="32"/>
          <w:highlight w:val="none"/>
        </w:rPr>
      </w:pPr>
      <w:r>
        <w:rPr>
          <w:rFonts w:hint="eastAsia" w:ascii="黑体" w:hAnsi="黑体" w:eastAsia="黑体"/>
          <w:sz w:val="32"/>
          <w:szCs w:val="32"/>
          <w:highlight w:val="none"/>
        </w:rPr>
        <w:t xml:space="preserve">   第三部分2019年度部门决算情况说明</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sz w:val="32"/>
          <w:szCs w:val="32"/>
          <w:highlight w:val="none"/>
        </w:rPr>
        <w:t>一、收入决算情况说明</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538"/>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2019年度收入合计20,770.08万元。其中：财政拨款收入20,529.08万元，占总收入的98.84%；上级补助收入0万元，占总收入的0%；事业收入0万元（含教育收费0万元），占总收入的0%；经营收入0万元，占总收入的0%；附属单位缴款收入0万元，占总收入的0%；其他收入241.00万元，占总收入的1.16%。与上年对比(上年财政拨款收入18,380.75万元)财政拨款收入增加2,148.33万元，增加的主要原因是本年申报项目较上年增加致使经费增加。</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二、支出决算情况说明</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538"/>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2019年度支出合计16,595.08万元。其中：基本支出3,122.17万元，占总支出的18.81％；项目支出13,472.91万元，占总支出的81.19％；上缴上级支出、经营支出、对附属单位补助支出共0万元，占总支出的0％。与上年对比（上年度支出合计19,348.39万元）支出合计减少2,753.31万元,支出减少的主要原因</w:t>
      </w:r>
      <w:r>
        <w:rPr>
          <w:rFonts w:hint="eastAsia" w:ascii="仿宋_GB2312" w:hAnsi="仿宋_GB2312" w:eastAsia="仿宋_GB2312" w:cs="仿宋_GB2312"/>
          <w:sz w:val="32"/>
          <w:szCs w:val="32"/>
          <w:highlight w:val="none"/>
          <w:lang w:eastAsia="zh-CN"/>
        </w:rPr>
        <w:t>是</w:t>
      </w:r>
      <w:r>
        <w:rPr>
          <w:rFonts w:hint="eastAsia" w:ascii="仿宋_GB2312" w:hAnsi="仿宋_GB2312" w:eastAsia="仿宋_GB2312" w:cs="仿宋_GB2312"/>
          <w:sz w:val="32"/>
          <w:szCs w:val="32"/>
          <w:highlight w:val="none"/>
        </w:rPr>
        <w:t>大部分项目属于延续性建设项目，款项拨付按工程进度拨付。</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（一）基本支出情况</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2019年度用于保障机关、下属事业单位等机构正常运转的日常支出3,122.17万元。与上年对比(上年日常支出3,345.85万元）支出减少223.68万元,支出减少主要原因是在本年度期间部门有人员退休，有借调外出人员且本着厉行节俭的态度，致使人员经费产生差异。包括基本工资、津贴补贴等人员经费支出2,854.82万元，占基本支出的91.43％；办公费、印刷费、水电费、办公设备购置等日常公用经费267.35万元，占基本支出的8.57％。</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（二）项目支出情况</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2019年度用于保障机关、下属事业单位等机构为完成特定的行政工作任务或事业发展目标，用于专项业务工作的经费支出13,472.91万元。与上年对比(上年项目支出16,002.54万元)经费支出减少2,529.63万元,减少的主要原因是项目具有延续性，款项拨付按工程进度拨付。具体项目开支及开展工作情况商品和服务支出229.68、对个人和家庭的补助支出100.70万元、资本性支出13,142.53万元。</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三、一般公共预算财政拨款支出决算情况说明</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（一）一般公共预算财政拨款支出决算总体情况</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2019年度一般公共预算财政拨款支出</w:t>
      </w:r>
      <w:r>
        <w:rPr>
          <w:rFonts w:hint="eastAsia" w:ascii="仿宋_GB2312" w:hAnsi="仿宋_GB2312" w:eastAsia="仿宋_GB2312" w:cs="仿宋_GB2312"/>
          <w:b w:val="0"/>
          <w:bCs w:val="0"/>
          <w:kern w:val="0"/>
          <w:sz w:val="32"/>
          <w:szCs w:val="32"/>
          <w:highlight w:val="none"/>
        </w:rPr>
        <w:t>8,575.31万元,占本年支出</w:t>
      </w:r>
      <w:r>
        <w:rPr>
          <w:rFonts w:hint="eastAsia" w:ascii="仿宋_GB2312" w:hAnsi="仿宋_GB2312" w:eastAsia="仿宋_GB2312" w:cs="仿宋_GB2312"/>
          <w:b w:val="0"/>
          <w:bCs w:val="0"/>
          <w:kern w:val="0"/>
          <w:sz w:val="32"/>
          <w:szCs w:val="32"/>
          <w:highlight w:val="none"/>
          <w:lang w:eastAsia="zh-CN"/>
        </w:rPr>
        <w:t>（</w:t>
      </w:r>
      <w:r>
        <w:rPr>
          <w:rFonts w:hint="eastAsia" w:ascii="仿宋_GB2312" w:hAnsi="仿宋_GB2312" w:eastAsia="仿宋_GB2312" w:cs="仿宋_GB2312"/>
          <w:b w:val="0"/>
          <w:bCs w:val="0"/>
          <w:kern w:val="0"/>
          <w:sz w:val="32"/>
          <w:szCs w:val="32"/>
          <w:highlight w:val="none"/>
          <w:lang w:val="en-US" w:eastAsia="zh-CN"/>
        </w:rPr>
        <w:t>16,595.07万元</w:t>
      </w:r>
      <w:r>
        <w:rPr>
          <w:rFonts w:hint="eastAsia" w:ascii="仿宋_GB2312" w:hAnsi="仿宋_GB2312" w:eastAsia="仿宋_GB2312" w:cs="仿宋_GB2312"/>
          <w:b w:val="0"/>
          <w:bCs w:val="0"/>
          <w:kern w:val="0"/>
          <w:sz w:val="32"/>
          <w:szCs w:val="32"/>
          <w:highlight w:val="none"/>
          <w:lang w:eastAsia="zh-CN"/>
        </w:rPr>
        <w:t>）</w:t>
      </w:r>
      <w:r>
        <w:rPr>
          <w:rFonts w:hint="eastAsia" w:ascii="仿宋_GB2312" w:hAnsi="仿宋_GB2312" w:eastAsia="仿宋_GB2312" w:cs="仿宋_GB2312"/>
          <w:b w:val="0"/>
          <w:bCs w:val="0"/>
          <w:kern w:val="0"/>
          <w:sz w:val="32"/>
          <w:szCs w:val="32"/>
          <w:highlight w:val="none"/>
        </w:rPr>
        <w:t>合计的</w:t>
      </w:r>
      <w:r>
        <w:rPr>
          <w:rFonts w:hint="eastAsia" w:ascii="仿宋_GB2312" w:hAnsi="仿宋_GB2312" w:eastAsia="仿宋_GB2312" w:cs="仿宋_GB2312"/>
          <w:b w:val="0"/>
          <w:bCs w:val="0"/>
          <w:sz w:val="32"/>
          <w:szCs w:val="32"/>
          <w:highlight w:val="none"/>
        </w:rPr>
        <w:t>51.67</w:t>
      </w:r>
      <w:r>
        <w:rPr>
          <w:rFonts w:hint="eastAsia" w:ascii="仿宋_GB2312" w:hAnsi="仿宋_GB2312" w:eastAsia="仿宋_GB2312" w:cs="仿宋_GB2312"/>
          <w:b w:val="0"/>
          <w:bCs w:val="0"/>
          <w:kern w:val="0"/>
          <w:sz w:val="32"/>
          <w:szCs w:val="32"/>
          <w:highlight w:val="none"/>
        </w:rPr>
        <w:t xml:space="preserve">%。与上年对比(上年支出9,836.74万元)减少1,261.43万元 </w:t>
      </w:r>
      <w:r>
        <w:rPr>
          <w:rFonts w:hint="eastAsia" w:ascii="仿宋_GB2312" w:hAnsi="仿宋_GB2312" w:eastAsia="仿宋_GB2312" w:cs="仿宋_GB2312"/>
          <w:b w:val="0"/>
          <w:bCs w:val="0"/>
          <w:sz w:val="32"/>
          <w:szCs w:val="32"/>
          <w:highlight w:val="none"/>
        </w:rPr>
        <w:t>,减少的主要</w:t>
      </w:r>
      <w:r>
        <w:rPr>
          <w:rFonts w:hint="eastAsia" w:ascii="仿宋_GB2312" w:hAnsi="仿宋_GB2312" w:eastAsia="仿宋_GB2312" w:cs="仿宋_GB2312"/>
          <w:b w:val="0"/>
          <w:bCs w:val="0"/>
          <w:kern w:val="0"/>
          <w:sz w:val="32"/>
          <w:szCs w:val="32"/>
          <w:highlight w:val="none"/>
        </w:rPr>
        <w:t>原因是本年较上年金额占比大的部分项目减少，致使支出减少。</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（二）一般公共预算财政拨款支出决算具体情况</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tab/>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kern w:val="0"/>
          <w:sz w:val="32"/>
          <w:szCs w:val="32"/>
          <w:highlight w:val="none"/>
        </w:rPr>
        <w:t>1</w:t>
      </w:r>
      <w:r>
        <w:rPr>
          <w:rFonts w:hint="eastAsia" w:ascii="仿宋_GB2312" w:hAnsi="仿宋_GB2312" w:eastAsia="仿宋_GB2312" w:cs="仿宋_GB2312"/>
          <w:b w:val="0"/>
          <w:bCs w:val="0"/>
          <w:kern w:val="0"/>
          <w:sz w:val="32"/>
          <w:szCs w:val="32"/>
          <w:highlight w:val="none"/>
          <w:lang w:eastAsia="zh-CN"/>
        </w:rPr>
        <w:t>、</w:t>
      </w:r>
      <w:r>
        <w:rPr>
          <w:rFonts w:hint="eastAsia" w:ascii="仿宋_GB2312" w:hAnsi="仿宋_GB2312" w:eastAsia="仿宋_GB2312" w:cs="仿宋_GB2312"/>
          <w:b w:val="0"/>
          <w:bCs w:val="0"/>
          <w:kern w:val="0"/>
          <w:sz w:val="32"/>
          <w:szCs w:val="32"/>
          <w:highlight w:val="none"/>
        </w:rPr>
        <w:t>一般公共服务（类）支出0万元，</w:t>
      </w:r>
      <w:r>
        <w:rPr>
          <w:rFonts w:hint="eastAsia" w:ascii="仿宋_GB2312" w:hAnsi="仿宋_GB2312" w:eastAsia="仿宋_GB2312" w:cs="仿宋_GB2312"/>
          <w:b w:val="0"/>
          <w:bCs w:val="0"/>
          <w:sz w:val="32"/>
          <w:szCs w:val="32"/>
          <w:highlight w:val="none"/>
        </w:rPr>
        <w:t>占一般公共预算财政拨款总支出的0%。</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kern w:val="0"/>
          <w:sz w:val="32"/>
          <w:szCs w:val="32"/>
          <w:highlight w:val="none"/>
        </w:rPr>
        <w:t>2</w:t>
      </w:r>
      <w:r>
        <w:rPr>
          <w:rFonts w:hint="eastAsia" w:ascii="仿宋_GB2312" w:hAnsi="仿宋_GB2312" w:eastAsia="仿宋_GB2312" w:cs="仿宋_GB2312"/>
          <w:b w:val="0"/>
          <w:bCs w:val="0"/>
          <w:kern w:val="0"/>
          <w:sz w:val="32"/>
          <w:szCs w:val="32"/>
          <w:highlight w:val="none"/>
          <w:lang w:eastAsia="zh-CN"/>
        </w:rPr>
        <w:t>、</w:t>
      </w:r>
      <w:r>
        <w:rPr>
          <w:rFonts w:hint="eastAsia" w:ascii="仿宋_GB2312" w:hAnsi="仿宋_GB2312" w:eastAsia="仿宋_GB2312" w:cs="仿宋_GB2312"/>
          <w:b w:val="0"/>
          <w:bCs w:val="0"/>
          <w:kern w:val="0"/>
          <w:sz w:val="32"/>
          <w:szCs w:val="32"/>
          <w:highlight w:val="none"/>
        </w:rPr>
        <w:t>外交（类）支出</w:t>
      </w:r>
      <w:r>
        <w:rPr>
          <w:rFonts w:hint="eastAsia" w:ascii="仿宋_GB2312" w:hAnsi="仿宋_GB2312" w:eastAsia="仿宋_GB2312" w:cs="仿宋_GB2312"/>
          <w:b w:val="0"/>
          <w:bCs w:val="0"/>
          <w:sz w:val="32"/>
          <w:szCs w:val="32"/>
          <w:highlight w:val="none"/>
        </w:rPr>
        <w:t>0</w:t>
      </w:r>
      <w:r>
        <w:rPr>
          <w:rFonts w:hint="eastAsia" w:ascii="仿宋_GB2312" w:hAnsi="仿宋_GB2312" w:eastAsia="仿宋_GB2312" w:cs="仿宋_GB2312"/>
          <w:b w:val="0"/>
          <w:bCs w:val="0"/>
          <w:kern w:val="0"/>
          <w:sz w:val="32"/>
          <w:szCs w:val="32"/>
          <w:highlight w:val="none"/>
        </w:rPr>
        <w:t>万元，</w:t>
      </w:r>
      <w:r>
        <w:rPr>
          <w:rFonts w:hint="eastAsia" w:ascii="仿宋_GB2312" w:hAnsi="仿宋_GB2312" w:eastAsia="仿宋_GB2312" w:cs="仿宋_GB2312"/>
          <w:b w:val="0"/>
          <w:bCs w:val="0"/>
          <w:sz w:val="32"/>
          <w:szCs w:val="32"/>
          <w:highlight w:val="none"/>
        </w:rPr>
        <w:t>占一般公共预算财政拨款总支出的0%。</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kern w:val="0"/>
          <w:sz w:val="32"/>
          <w:szCs w:val="32"/>
          <w:highlight w:val="none"/>
        </w:rPr>
        <w:t>3</w:t>
      </w:r>
      <w:r>
        <w:rPr>
          <w:rFonts w:hint="eastAsia" w:ascii="仿宋_GB2312" w:hAnsi="仿宋_GB2312" w:eastAsia="仿宋_GB2312" w:cs="仿宋_GB2312"/>
          <w:b w:val="0"/>
          <w:bCs w:val="0"/>
          <w:kern w:val="0"/>
          <w:sz w:val="32"/>
          <w:szCs w:val="32"/>
          <w:highlight w:val="none"/>
          <w:lang w:eastAsia="zh-CN"/>
        </w:rPr>
        <w:t>、</w:t>
      </w:r>
      <w:r>
        <w:rPr>
          <w:rFonts w:hint="eastAsia" w:ascii="仿宋_GB2312" w:hAnsi="仿宋_GB2312" w:eastAsia="仿宋_GB2312" w:cs="仿宋_GB2312"/>
          <w:b w:val="0"/>
          <w:bCs w:val="0"/>
          <w:kern w:val="0"/>
          <w:sz w:val="32"/>
          <w:szCs w:val="32"/>
          <w:highlight w:val="none"/>
        </w:rPr>
        <w:t>国防（类）支出</w:t>
      </w:r>
      <w:r>
        <w:rPr>
          <w:rFonts w:hint="eastAsia" w:ascii="仿宋_GB2312" w:hAnsi="仿宋_GB2312" w:eastAsia="仿宋_GB2312" w:cs="仿宋_GB2312"/>
          <w:b w:val="0"/>
          <w:bCs w:val="0"/>
          <w:sz w:val="32"/>
          <w:szCs w:val="32"/>
          <w:highlight w:val="none"/>
        </w:rPr>
        <w:t>2</w:t>
      </w:r>
      <w:r>
        <w:rPr>
          <w:rFonts w:hint="eastAsia" w:ascii="仿宋_GB2312" w:hAnsi="仿宋_GB2312" w:eastAsia="仿宋_GB2312" w:cs="仿宋_GB2312"/>
          <w:b w:val="0"/>
          <w:bCs w:val="0"/>
          <w:kern w:val="0"/>
          <w:sz w:val="32"/>
          <w:szCs w:val="32"/>
          <w:highlight w:val="none"/>
        </w:rPr>
        <w:t>万元，</w:t>
      </w:r>
      <w:r>
        <w:rPr>
          <w:rFonts w:hint="eastAsia" w:ascii="仿宋_GB2312" w:hAnsi="仿宋_GB2312" w:eastAsia="仿宋_GB2312" w:cs="仿宋_GB2312"/>
          <w:b w:val="0"/>
          <w:bCs w:val="0"/>
          <w:sz w:val="32"/>
          <w:szCs w:val="32"/>
          <w:highlight w:val="none"/>
        </w:rPr>
        <w:t>占一般公共预算财政拨款总支出的0.02%。</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kern w:val="0"/>
          <w:sz w:val="32"/>
          <w:szCs w:val="32"/>
          <w:highlight w:val="none"/>
        </w:rPr>
        <w:t>4</w:t>
      </w:r>
      <w:r>
        <w:rPr>
          <w:rFonts w:hint="eastAsia" w:ascii="仿宋_GB2312" w:hAnsi="仿宋_GB2312" w:eastAsia="仿宋_GB2312" w:cs="仿宋_GB2312"/>
          <w:b w:val="0"/>
          <w:bCs w:val="0"/>
          <w:kern w:val="0"/>
          <w:sz w:val="32"/>
          <w:szCs w:val="32"/>
          <w:highlight w:val="none"/>
          <w:lang w:eastAsia="zh-CN"/>
        </w:rPr>
        <w:t>、</w:t>
      </w:r>
      <w:r>
        <w:rPr>
          <w:rFonts w:hint="eastAsia" w:ascii="仿宋_GB2312" w:hAnsi="仿宋_GB2312" w:eastAsia="仿宋_GB2312" w:cs="仿宋_GB2312"/>
          <w:b w:val="0"/>
          <w:bCs w:val="0"/>
          <w:kern w:val="0"/>
          <w:sz w:val="32"/>
          <w:szCs w:val="32"/>
          <w:highlight w:val="none"/>
        </w:rPr>
        <w:t>公共安全（类）支出</w:t>
      </w:r>
      <w:r>
        <w:rPr>
          <w:rFonts w:hint="eastAsia" w:ascii="仿宋_GB2312" w:hAnsi="仿宋_GB2312" w:eastAsia="仿宋_GB2312" w:cs="仿宋_GB2312"/>
          <w:b w:val="0"/>
          <w:bCs w:val="0"/>
          <w:sz w:val="32"/>
          <w:szCs w:val="32"/>
          <w:highlight w:val="none"/>
        </w:rPr>
        <w:t>0</w:t>
      </w:r>
      <w:r>
        <w:rPr>
          <w:rFonts w:hint="eastAsia" w:ascii="仿宋_GB2312" w:hAnsi="仿宋_GB2312" w:eastAsia="仿宋_GB2312" w:cs="仿宋_GB2312"/>
          <w:b w:val="0"/>
          <w:bCs w:val="0"/>
          <w:kern w:val="0"/>
          <w:sz w:val="32"/>
          <w:szCs w:val="32"/>
          <w:highlight w:val="none"/>
        </w:rPr>
        <w:t>万元，</w:t>
      </w:r>
      <w:r>
        <w:rPr>
          <w:rFonts w:hint="eastAsia" w:ascii="仿宋_GB2312" w:hAnsi="仿宋_GB2312" w:eastAsia="仿宋_GB2312" w:cs="仿宋_GB2312"/>
          <w:b w:val="0"/>
          <w:bCs w:val="0"/>
          <w:sz w:val="32"/>
          <w:szCs w:val="32"/>
          <w:highlight w:val="none"/>
        </w:rPr>
        <w:t>占一般公共预算财政拨款总支出的0%。</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(一)一般公共预算财政拨款“三公”经费支出决算总体情况</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2019年度一般公共预算财政拨款“三公”经费支出预算为</w:t>
      </w:r>
      <w:r>
        <w:rPr>
          <w:rFonts w:hint="eastAsia" w:ascii="仿宋_GB2312" w:hAnsi="仿宋_GB2312" w:eastAsia="仿宋_GB2312" w:cs="仿宋_GB2312"/>
          <w:b w:val="0"/>
          <w:bCs w:val="0"/>
          <w:sz w:val="32"/>
          <w:szCs w:val="32"/>
          <w:highlight w:val="none"/>
          <w:lang w:val="en-US" w:eastAsia="zh-CN"/>
        </w:rPr>
        <w:t>4.4万</w:t>
      </w:r>
      <w:r>
        <w:rPr>
          <w:rFonts w:hint="eastAsia" w:ascii="仿宋_GB2312" w:hAnsi="仿宋_GB2312" w:eastAsia="仿宋_GB2312" w:cs="仿宋_GB2312"/>
          <w:b w:val="0"/>
          <w:bCs w:val="0"/>
          <w:sz w:val="32"/>
          <w:szCs w:val="32"/>
          <w:highlight w:val="none"/>
        </w:rPr>
        <w:t>元，支出决算为</w:t>
      </w:r>
      <w:r>
        <w:rPr>
          <w:rFonts w:hint="eastAsia" w:ascii="仿宋_GB2312" w:hAnsi="仿宋_GB2312" w:eastAsia="仿宋_GB2312" w:cs="仿宋_GB2312"/>
          <w:b w:val="0"/>
          <w:bCs w:val="0"/>
          <w:sz w:val="32"/>
          <w:szCs w:val="32"/>
          <w:highlight w:val="none"/>
          <w:lang w:val="en-US" w:eastAsia="zh-CN"/>
        </w:rPr>
        <w:t>4.4</w:t>
      </w:r>
      <w:r>
        <w:rPr>
          <w:rFonts w:hint="eastAsia" w:ascii="仿宋_GB2312" w:hAnsi="仿宋_GB2312" w:eastAsia="仿宋_GB2312" w:cs="仿宋_GB2312"/>
          <w:b w:val="0"/>
          <w:bCs w:val="0"/>
          <w:sz w:val="32"/>
          <w:szCs w:val="32"/>
          <w:highlight w:val="none"/>
        </w:rPr>
        <w:t>万元，完成预算的100%。其中：因公出国（境）费支出决算为0万元，完成预算的</w:t>
      </w:r>
      <w:r>
        <w:rPr>
          <w:rFonts w:hint="eastAsia" w:ascii="仿宋_GB2312" w:hAnsi="仿宋_GB2312" w:eastAsia="仿宋_GB2312" w:cs="仿宋_GB2312"/>
          <w:b w:val="0"/>
          <w:bCs w:val="0"/>
          <w:sz w:val="32"/>
          <w:szCs w:val="32"/>
          <w:highlight w:val="none"/>
          <w:lang w:val="en-US" w:eastAsia="zh-CN"/>
        </w:rPr>
        <w:t>100</w:t>
      </w:r>
      <w:r>
        <w:rPr>
          <w:rFonts w:hint="eastAsia" w:ascii="仿宋_GB2312" w:hAnsi="仿宋_GB2312" w:eastAsia="仿宋_GB2312" w:cs="仿宋_GB2312"/>
          <w:b w:val="0"/>
          <w:bCs w:val="0"/>
          <w:sz w:val="32"/>
          <w:szCs w:val="32"/>
          <w:highlight w:val="none"/>
        </w:rPr>
        <w:t>%；公务用车购置及运行费支出决算为</w:t>
      </w:r>
      <w:r>
        <w:rPr>
          <w:rFonts w:hint="eastAsia" w:ascii="仿宋_GB2312" w:hAnsi="仿宋_GB2312" w:eastAsia="仿宋_GB2312" w:cs="仿宋_GB2312"/>
          <w:b w:val="0"/>
          <w:bCs w:val="0"/>
          <w:sz w:val="32"/>
          <w:szCs w:val="32"/>
          <w:highlight w:val="none"/>
          <w:lang w:val="en-US" w:eastAsia="zh-CN"/>
        </w:rPr>
        <w:t>4.4</w:t>
      </w:r>
      <w:r>
        <w:rPr>
          <w:rFonts w:hint="eastAsia" w:ascii="仿宋_GB2312" w:hAnsi="仿宋_GB2312" w:eastAsia="仿宋_GB2312" w:cs="仿宋_GB2312"/>
          <w:b w:val="0"/>
          <w:bCs w:val="0"/>
          <w:sz w:val="32"/>
          <w:szCs w:val="32"/>
          <w:highlight w:val="none"/>
        </w:rPr>
        <w:t>万元，完成预算的100%；公务接待费支出决算为0万元，完成预算的100%。2019年度一般公共预算财政拨款“三公”经费支出决算无增减变化</w:t>
      </w:r>
      <w:r>
        <w:rPr>
          <w:rFonts w:hint="eastAsia" w:ascii="仿宋_GB2312" w:hAnsi="仿宋_GB2312" w:eastAsia="仿宋_GB2312" w:cs="仿宋_GB2312"/>
          <w:b w:val="0"/>
          <w:bCs w:val="0"/>
          <w:sz w:val="32"/>
          <w:szCs w:val="32"/>
          <w:highlight w:val="none"/>
          <w:lang w:eastAsia="zh-CN"/>
        </w:rPr>
        <w:t>。</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2019年度一般公共预算财政拨款“三公”经费支出决算数与2018年无增减变化，支出总额都为</w:t>
      </w:r>
      <w:r>
        <w:rPr>
          <w:rFonts w:hint="eastAsia" w:ascii="仿宋_GB2312" w:hAnsi="仿宋_GB2312" w:eastAsia="仿宋_GB2312" w:cs="仿宋_GB2312"/>
          <w:b w:val="0"/>
          <w:bCs w:val="0"/>
          <w:sz w:val="32"/>
          <w:szCs w:val="32"/>
          <w:highlight w:val="none"/>
          <w:lang w:val="en-US" w:eastAsia="zh-CN"/>
        </w:rPr>
        <w:t>4.4</w:t>
      </w:r>
      <w:r>
        <w:rPr>
          <w:rFonts w:hint="eastAsia" w:ascii="仿宋_GB2312" w:hAnsi="仿宋_GB2312" w:eastAsia="仿宋_GB2312" w:cs="仿宋_GB2312"/>
          <w:b w:val="0"/>
          <w:bCs w:val="0"/>
          <w:sz w:val="32"/>
          <w:szCs w:val="32"/>
          <w:highlight w:val="none"/>
        </w:rPr>
        <w:t>元。其中：因公出国（境）费支出决算都为0万元，无增减变化；公务用车购置及运行费支出决算</w:t>
      </w:r>
      <w:r>
        <w:rPr>
          <w:rFonts w:hint="eastAsia" w:ascii="仿宋_GB2312" w:hAnsi="仿宋_GB2312" w:eastAsia="仿宋_GB2312" w:cs="仿宋_GB2312"/>
          <w:b w:val="0"/>
          <w:bCs w:val="0"/>
          <w:sz w:val="32"/>
          <w:szCs w:val="32"/>
          <w:highlight w:val="none"/>
          <w:lang w:val="en-US" w:eastAsia="zh-CN"/>
        </w:rPr>
        <w:t>4.4</w:t>
      </w:r>
      <w:r>
        <w:rPr>
          <w:rFonts w:hint="eastAsia" w:ascii="仿宋_GB2312" w:hAnsi="仿宋_GB2312" w:eastAsia="仿宋_GB2312" w:cs="仿宋_GB2312"/>
          <w:b w:val="0"/>
          <w:bCs w:val="0"/>
          <w:sz w:val="32"/>
          <w:szCs w:val="32"/>
          <w:highlight w:val="none"/>
        </w:rPr>
        <w:t>万元，无增减变化；公务接待费支出决算0万元，无增减变化。2019年度一般公共预算财政拨款“三公”经费支出决算无增减变化。</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(二)一般公共预算财政拨款“三公”经费支出决算具体情况</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2019年度一般公共预算财政拨款“三公”经费支出决算中，因公出国（境）费支出0万元，占0%；公务用车购置及运行维护费支出</w:t>
      </w:r>
      <w:r>
        <w:rPr>
          <w:rFonts w:hint="eastAsia" w:ascii="仿宋_GB2312" w:hAnsi="仿宋_GB2312" w:eastAsia="仿宋_GB2312" w:cs="仿宋_GB2312"/>
          <w:b w:val="0"/>
          <w:bCs w:val="0"/>
          <w:sz w:val="32"/>
          <w:szCs w:val="32"/>
          <w:highlight w:val="none"/>
          <w:lang w:val="en-US" w:eastAsia="zh-CN"/>
        </w:rPr>
        <w:t>4.4</w:t>
      </w:r>
      <w:r>
        <w:rPr>
          <w:rFonts w:hint="eastAsia" w:ascii="仿宋_GB2312" w:hAnsi="仿宋_GB2312" w:eastAsia="仿宋_GB2312" w:cs="仿宋_GB2312"/>
          <w:b w:val="0"/>
          <w:bCs w:val="0"/>
          <w:sz w:val="32"/>
          <w:szCs w:val="32"/>
          <w:highlight w:val="none"/>
        </w:rPr>
        <w:t>万元，占100%；公务接待费支出0万元，占0%。具体情况如下：</w:t>
      </w:r>
    </w:p>
    <w:p>
      <w:pPr>
        <w:keepNext w:val="0"/>
        <w:keepLines w:val="0"/>
        <w:pageBreakBefore w:val="0"/>
        <w:widowControl/>
        <w:numPr>
          <w:ilvl w:val="0"/>
          <w:numId w:val="0"/>
        </w:numPr>
        <w:kinsoku/>
        <w:wordWrap/>
        <w:overflowPunct/>
        <w:topLinePunct w:val="0"/>
        <w:autoSpaceDE/>
        <w:autoSpaceDN/>
        <w:bidi w:val="0"/>
        <w:adjustRightInd/>
        <w:snapToGrid w:val="0"/>
        <w:spacing w:before="100" w:beforeLines="0" w:after="100" w:afterLines="0" w:line="572" w:lineRule="exact"/>
        <w:ind w:left="0" w:leftChars="0" w:right="0" w:rightChars="0" w:firstLine="640" w:firstLineChars="200"/>
        <w:jc w:val="left"/>
        <w:textAlignment w:val="auto"/>
        <w:outlineLvl w:val="9"/>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因公出国（境）费</w:t>
      </w:r>
      <w:r>
        <w:rPr>
          <w:rFonts w:hint="eastAsia" w:ascii="仿宋_GB2312" w:hAnsi="仿宋_GB2312" w:eastAsia="仿宋_GB2312" w:cs="仿宋_GB2312"/>
          <w:b w:val="0"/>
          <w:bCs w:val="0"/>
          <w:sz w:val="32"/>
          <w:szCs w:val="32"/>
          <w:highlight w:val="none"/>
        </w:rPr>
        <w:t>支出0万元。</w:t>
      </w:r>
    </w:p>
    <w:p>
      <w:pPr>
        <w:keepNext w:val="0"/>
        <w:keepLines w:val="0"/>
        <w:pageBreakBefore w:val="0"/>
        <w:widowControl/>
        <w:numPr>
          <w:ilvl w:val="0"/>
          <w:numId w:val="0"/>
        </w:numPr>
        <w:kinsoku/>
        <w:wordWrap/>
        <w:overflowPunct/>
        <w:topLinePunct w:val="0"/>
        <w:autoSpaceDE/>
        <w:autoSpaceDN/>
        <w:bidi w:val="0"/>
        <w:adjustRightInd/>
        <w:snapToGrid w:val="0"/>
        <w:spacing w:before="100" w:beforeLines="0" w:after="100" w:afterLines="0" w:line="572" w:lineRule="exact"/>
        <w:ind w:left="0" w:leftChars="0" w:right="0" w:rightChars="0" w:firstLine="640" w:firstLineChars="200"/>
        <w:jc w:val="left"/>
        <w:textAlignment w:val="auto"/>
        <w:outlineLvl w:val="9"/>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公务用车购置及运行维护费</w:t>
      </w:r>
      <w:r>
        <w:rPr>
          <w:rFonts w:hint="eastAsia" w:ascii="仿宋_GB2312" w:hAnsi="仿宋_GB2312" w:eastAsia="仿宋_GB2312" w:cs="仿宋_GB2312"/>
          <w:b w:val="0"/>
          <w:bCs w:val="0"/>
          <w:sz w:val="32"/>
          <w:szCs w:val="32"/>
          <w:highlight w:val="none"/>
        </w:rPr>
        <w:t>支出</w:t>
      </w:r>
      <w:r>
        <w:rPr>
          <w:rFonts w:hint="eastAsia" w:ascii="仿宋_GB2312" w:hAnsi="仿宋_GB2312" w:eastAsia="仿宋_GB2312" w:cs="仿宋_GB2312"/>
          <w:b w:val="0"/>
          <w:bCs w:val="0"/>
          <w:sz w:val="32"/>
          <w:szCs w:val="32"/>
          <w:highlight w:val="none"/>
          <w:lang w:val="en-US" w:eastAsia="zh-CN"/>
        </w:rPr>
        <w:t>4.4</w:t>
      </w:r>
      <w:r>
        <w:rPr>
          <w:rFonts w:hint="eastAsia" w:ascii="仿宋_GB2312" w:hAnsi="仿宋_GB2312" w:eastAsia="仿宋_GB2312" w:cs="仿宋_GB2312"/>
          <w:b w:val="0"/>
          <w:bCs w:val="0"/>
          <w:sz w:val="32"/>
          <w:szCs w:val="32"/>
          <w:highlight w:val="none"/>
        </w:rPr>
        <w:t>万元。其中：</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32"/>
          <w:highlight w:val="none"/>
        </w:rPr>
        <w:t>公务用车购置</w:t>
      </w:r>
      <w:r>
        <w:rPr>
          <w:rFonts w:hint="eastAsia" w:ascii="仿宋_GB2312" w:hAnsi="仿宋_GB2312" w:eastAsia="仿宋_GB2312" w:cs="仿宋_GB2312"/>
          <w:b w:val="0"/>
          <w:bCs w:val="0"/>
          <w:sz w:val="32"/>
          <w:szCs w:val="32"/>
          <w:highlight w:val="none"/>
        </w:rPr>
        <w:t>支出0万元，购置车辆0辆。</w:t>
      </w:r>
    </w:p>
    <w:p>
      <w:pPr>
        <w:keepNext w:val="0"/>
        <w:keepLines w:val="0"/>
        <w:pageBreakBefore w:val="0"/>
        <w:widowControl/>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32"/>
          <w:highlight w:val="none"/>
        </w:rPr>
        <w:t>公务用车运行维护支出</w:t>
      </w:r>
      <w:r>
        <w:rPr>
          <w:rFonts w:hint="eastAsia" w:ascii="仿宋_GB2312" w:hAnsi="仿宋_GB2312" w:eastAsia="仿宋_GB2312" w:cs="仿宋_GB2312"/>
          <w:b w:val="0"/>
          <w:bCs w:val="0"/>
          <w:sz w:val="32"/>
          <w:szCs w:val="32"/>
          <w:highlight w:val="none"/>
          <w:lang w:val="en-US" w:eastAsia="zh-CN"/>
        </w:rPr>
        <w:t>4.4</w:t>
      </w:r>
      <w:r>
        <w:rPr>
          <w:rFonts w:hint="eastAsia" w:ascii="仿宋_GB2312" w:hAnsi="仿宋_GB2312" w:eastAsia="仿宋_GB2312" w:cs="仿宋_GB2312"/>
          <w:b w:val="0"/>
          <w:bCs w:val="0"/>
          <w:sz w:val="32"/>
          <w:szCs w:val="32"/>
          <w:highlight w:val="none"/>
        </w:rPr>
        <w:t>万元，开支一般公共预算财政拨款的公务用车保有量为2辆。主要用于</w:t>
      </w:r>
      <w:r>
        <w:rPr>
          <w:rFonts w:hint="eastAsia" w:ascii="仿宋_GB2312" w:hAnsi="仿宋_GB2312" w:eastAsia="仿宋_GB2312" w:cs="仿宋_GB2312"/>
          <w:b w:val="0"/>
          <w:bCs w:val="0"/>
          <w:kern w:val="0"/>
          <w:sz w:val="32"/>
          <w:szCs w:val="32"/>
          <w:highlight w:val="none"/>
          <w:shd w:val="clear" w:color="080000" w:fill="FFFFFF"/>
        </w:rPr>
        <w:t>组织管理防空工程、通信警报和信息化建设，会同有关部门开展防空宣传教育，普及防空知识和技能，</w:t>
      </w:r>
      <w:r>
        <w:rPr>
          <w:rFonts w:hint="eastAsia" w:ascii="仿宋_GB2312" w:hAnsi="仿宋_GB2312" w:eastAsia="仿宋_GB2312" w:cs="仿宋_GB2312"/>
          <w:b w:val="0"/>
          <w:bCs w:val="0"/>
          <w:sz w:val="32"/>
          <w:szCs w:val="32"/>
          <w:highlight w:val="none"/>
        </w:rPr>
        <w:t>做好全区人防预警工作，管理全区人民警报预警体系，实施全区人民防空应急预案等工作所需车辆燃料费、维修费、过路过桥费、保险费等。</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32"/>
          <w:highlight w:val="none"/>
        </w:rPr>
        <w:t>3</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公务接待费</w:t>
      </w:r>
      <w:r>
        <w:rPr>
          <w:rFonts w:hint="eastAsia" w:ascii="仿宋_GB2312" w:hAnsi="仿宋_GB2312" w:eastAsia="仿宋_GB2312" w:cs="仿宋_GB2312"/>
          <w:b w:val="0"/>
          <w:bCs w:val="0"/>
          <w:sz w:val="32"/>
          <w:szCs w:val="32"/>
          <w:highlight w:val="none"/>
        </w:rPr>
        <w:t>支出0万元。</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黑体" w:hAnsi="黑体" w:eastAsia="黑体" w:cs="方正小标宋简体"/>
          <w:b/>
          <w:sz w:val="32"/>
          <w:szCs w:val="32"/>
          <w:highlight w:val="none"/>
        </w:rPr>
      </w:pP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黑体" w:hAnsi="黑体" w:eastAsia="黑体" w:cs="黑体"/>
          <w:sz w:val="32"/>
          <w:szCs w:val="32"/>
          <w:highlight w:val="none"/>
        </w:rPr>
      </w:pPr>
      <w:r>
        <w:rPr>
          <w:rFonts w:hint="eastAsia" w:ascii="黑体" w:hAnsi="黑体" w:eastAsia="黑体" w:cs="方正小标宋简体"/>
          <w:b/>
          <w:sz w:val="32"/>
          <w:szCs w:val="32"/>
          <w:highlight w:val="none"/>
        </w:rPr>
        <w:t xml:space="preserve">第四部分  </w:t>
      </w:r>
      <w:r>
        <w:rPr>
          <w:rFonts w:hint="eastAsia" w:ascii="黑体" w:hAnsi="黑体" w:eastAsia="黑体"/>
          <w:b/>
          <w:sz w:val="32"/>
          <w:szCs w:val="32"/>
          <w:highlight w:val="none"/>
        </w:rPr>
        <w:t>其他重要事项及相关口径情况说明</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b w:val="0"/>
          <w:bCs w:val="0"/>
          <w:i w:val="0"/>
          <w:iCs w:val="0"/>
          <w:sz w:val="32"/>
          <w:szCs w:val="32"/>
          <w:highlight w:val="none"/>
        </w:rPr>
      </w:pPr>
      <w:r>
        <w:rPr>
          <w:rFonts w:hint="eastAsia" w:ascii="仿宋_GB2312" w:hAnsi="仿宋_GB2312" w:eastAsia="仿宋_GB2312" w:cs="仿宋_GB2312"/>
          <w:b w:val="0"/>
          <w:bCs w:val="0"/>
          <w:i w:val="0"/>
          <w:iCs w:val="0"/>
          <w:sz w:val="32"/>
          <w:szCs w:val="32"/>
          <w:highlight w:val="none"/>
        </w:rPr>
        <w:t>一、机关运行经费支出情况</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rPr>
        <w:t>2019年机关运行经费支出13,639.56万元，与上年对比（上年支出16,351.88万元）减少2,712.32万元 ,减少的主要原因是</w:t>
      </w:r>
      <w:r>
        <w:rPr>
          <w:rFonts w:hint="eastAsia" w:ascii="仿宋_GB2312" w:hAnsi="仿宋_GB2312" w:eastAsia="仿宋_GB2312" w:cs="仿宋_GB2312"/>
          <w:kern w:val="0"/>
          <w:sz w:val="32"/>
          <w:szCs w:val="32"/>
          <w:highlight w:val="none"/>
        </w:rPr>
        <w:t>本年较上年金额占比大的部分项目减少，致使支出金额减少</w:t>
      </w:r>
      <w:r>
        <w:rPr>
          <w:rFonts w:hint="eastAsia" w:ascii="仿宋_GB2312" w:hAnsi="仿宋_GB2312" w:eastAsia="仿宋_GB2312" w:cs="仿宋_GB2312"/>
          <w:sz w:val="32"/>
          <w:szCs w:val="32"/>
          <w:highlight w:val="none"/>
        </w:rPr>
        <w:t>。部门机关运行经费主要用于办公费81.85万元、印刷费13万元、水费4.51万元、电费4.14万元、邮电费14.25万元、物业管理费19.41万元、差旅费17.71万元、维修（护）费15.93万元、租赁费4万元、培训费9.32万元、劳务费156.96万元、工会经费83.91万元、福利费12.90万元、公务用车运行维护费4.40万元、其他交通费用50.35万元其他商品和服务支出3.50万元;基础设施建设13,142.53万元。</w:t>
      </w:r>
    </w:p>
    <w:p>
      <w:pPr>
        <w:keepNext w:val="0"/>
        <w:keepLines w:val="0"/>
        <w:pageBreakBefore w:val="0"/>
        <w:widowControl/>
        <w:kinsoku/>
        <w:wordWrap/>
        <w:overflowPunct/>
        <w:topLinePunct w:val="0"/>
        <w:autoSpaceDE/>
        <w:autoSpaceDN/>
        <w:bidi w:val="0"/>
        <w:spacing w:line="572" w:lineRule="exact"/>
        <w:ind w:firstLine="640" w:firstLineChars="200"/>
        <w:rPr>
          <w:rFonts w:hint="eastAsia" w:ascii="楷体" w:hAnsi="楷体" w:eastAsia="楷体" w:cs="楷体"/>
          <w:b w:val="0"/>
          <w:bCs w:val="0"/>
          <w:kern w:val="0"/>
          <w:sz w:val="32"/>
          <w:szCs w:val="32"/>
          <w:highlight w:val="none"/>
        </w:rPr>
      </w:pPr>
      <w:r>
        <w:rPr>
          <w:rFonts w:hint="eastAsia" w:ascii="楷体" w:hAnsi="楷体" w:eastAsia="楷体" w:cs="楷体"/>
          <w:b w:val="0"/>
          <w:bCs w:val="0"/>
          <w:kern w:val="0"/>
          <w:sz w:val="32"/>
          <w:szCs w:val="32"/>
          <w:highlight w:val="none"/>
        </w:rPr>
        <w:t>二、国有资产占用情况</w:t>
      </w:r>
    </w:p>
    <w:p>
      <w:pPr>
        <w:keepNext w:val="0"/>
        <w:keepLines w:val="0"/>
        <w:pageBreakBefore w:val="0"/>
        <w:widowControl/>
        <w:kinsoku/>
        <w:wordWrap/>
        <w:overflowPunct/>
        <w:topLinePunct w:val="0"/>
        <w:autoSpaceDE/>
        <w:autoSpaceDN/>
        <w:bidi w:val="0"/>
        <w:spacing w:line="572" w:lineRule="exact"/>
        <w:ind w:firstLine="640" w:firstLineChars="200"/>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截至2019年12月31日，部门资产总额</w:t>
      </w:r>
      <w:r>
        <w:rPr>
          <w:rFonts w:hint="eastAsia" w:ascii="仿宋_GB2312" w:hAnsi="仿宋_GB2312" w:eastAsia="仿宋_GB2312" w:cs="仿宋_GB2312"/>
          <w:kern w:val="0"/>
          <w:sz w:val="32"/>
          <w:szCs w:val="32"/>
          <w:highlight w:val="none"/>
          <w:lang w:val="en-US" w:eastAsia="zh-CN"/>
        </w:rPr>
        <w:t>18</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val="en-US" w:eastAsia="zh-CN"/>
        </w:rPr>
        <w:t>168.35</w:t>
      </w:r>
      <w:r>
        <w:rPr>
          <w:rFonts w:hint="eastAsia" w:ascii="仿宋_GB2312" w:hAnsi="仿宋_GB2312" w:eastAsia="仿宋_GB2312" w:cs="仿宋_GB2312"/>
          <w:kern w:val="0"/>
          <w:sz w:val="32"/>
          <w:szCs w:val="32"/>
          <w:highlight w:val="none"/>
        </w:rPr>
        <w:t>万元，其中，流动资产</w:t>
      </w:r>
      <w:r>
        <w:rPr>
          <w:rFonts w:hint="eastAsia" w:ascii="仿宋_GB2312" w:hAnsi="仿宋_GB2312" w:eastAsia="仿宋_GB2312" w:cs="仿宋_GB2312"/>
          <w:kern w:val="0"/>
          <w:sz w:val="32"/>
          <w:szCs w:val="32"/>
          <w:highlight w:val="none"/>
          <w:lang w:val="en-US" w:eastAsia="zh-CN"/>
        </w:rPr>
        <w:t>16,175.54</w:t>
      </w:r>
      <w:r>
        <w:rPr>
          <w:rFonts w:hint="eastAsia" w:ascii="仿宋_GB2312" w:hAnsi="仿宋_GB2312" w:eastAsia="仿宋_GB2312" w:cs="仿宋_GB2312"/>
          <w:kern w:val="0"/>
          <w:sz w:val="32"/>
          <w:szCs w:val="32"/>
          <w:highlight w:val="none"/>
        </w:rPr>
        <w:t>万元，固定资产</w:t>
      </w:r>
      <w:r>
        <w:rPr>
          <w:rFonts w:hint="eastAsia" w:ascii="仿宋_GB2312" w:hAnsi="仿宋_GB2312" w:eastAsia="仿宋_GB2312" w:cs="仿宋_GB2312"/>
          <w:kern w:val="0"/>
          <w:sz w:val="32"/>
          <w:szCs w:val="32"/>
          <w:highlight w:val="none"/>
          <w:lang w:val="en-US" w:eastAsia="zh-CN"/>
        </w:rPr>
        <w:t>1,992.81</w:t>
      </w:r>
      <w:r>
        <w:rPr>
          <w:rFonts w:hint="eastAsia" w:ascii="仿宋_GB2312" w:hAnsi="仿宋_GB2312" w:eastAsia="仿宋_GB2312" w:cs="仿宋_GB2312"/>
          <w:kern w:val="0"/>
          <w:sz w:val="32"/>
          <w:szCs w:val="32"/>
          <w:highlight w:val="none"/>
        </w:rPr>
        <w:t>万元，</w:t>
      </w:r>
      <w:r>
        <w:rPr>
          <w:rFonts w:hint="eastAsia" w:ascii="仿宋_GB2312" w:hAnsi="仿宋_GB2312" w:eastAsia="仿宋_GB2312" w:cs="仿宋_GB2312"/>
          <w:kern w:val="0"/>
          <w:sz w:val="32"/>
          <w:szCs w:val="32"/>
          <w:highlight w:val="none"/>
          <w:lang w:eastAsia="zh-CN"/>
        </w:rPr>
        <w:t>其中：房屋构筑物</w:t>
      </w:r>
      <w:r>
        <w:rPr>
          <w:rFonts w:hint="eastAsia" w:ascii="仿宋_GB2312" w:hAnsi="仿宋_GB2312" w:eastAsia="仿宋_GB2312" w:cs="仿宋_GB2312"/>
          <w:kern w:val="0"/>
          <w:sz w:val="32"/>
          <w:szCs w:val="32"/>
          <w:highlight w:val="none"/>
          <w:lang w:val="en-US" w:eastAsia="zh-CN"/>
        </w:rPr>
        <w:t>1408.31万元，车辆584.50万元。</w:t>
      </w:r>
    </w:p>
    <w:tbl>
      <w:tblPr>
        <w:tblStyle w:val="7"/>
        <w:tblpPr w:leftFromText="180" w:rightFromText="180" w:topFromText="100" w:bottomFromText="100" w:vertAnchor="text" w:horzAnchor="page" w:tblpX="534" w:tblpY="490"/>
        <w:tblOverlap w:val="never"/>
        <w:tblW w:w="1077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15"/>
        <w:gridCol w:w="546"/>
        <w:gridCol w:w="1022"/>
        <w:gridCol w:w="993"/>
        <w:gridCol w:w="834"/>
        <w:gridCol w:w="570"/>
        <w:gridCol w:w="198"/>
        <w:gridCol w:w="667"/>
        <w:gridCol w:w="578"/>
        <w:gridCol w:w="396"/>
        <w:gridCol w:w="566"/>
        <w:gridCol w:w="688"/>
        <w:gridCol w:w="747"/>
        <w:gridCol w:w="512"/>
        <w:gridCol w:w="481"/>
        <w:gridCol w:w="137"/>
        <w:gridCol w:w="360"/>
        <w:gridCol w:w="142"/>
        <w:gridCol w:w="69"/>
        <w:gridCol w:w="407"/>
        <w:gridCol w:w="1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5" w:hRule="atLeast"/>
        </w:trPr>
        <w:tc>
          <w:tcPr>
            <w:tcW w:w="10221" w:type="dxa"/>
            <w:gridSpan w:val="19"/>
            <w:tcBorders>
              <w:top w:val="nil"/>
              <w:left w:val="nil"/>
              <w:bottom w:val="nil"/>
              <w:right w:val="nil"/>
            </w:tcBorders>
            <w:shd w:val="clear" w:color="auto" w:fill="FFFFFF"/>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both"/>
              <w:textAlignment w:val="center"/>
              <w:rPr>
                <w:rFonts w:hint="eastAsia" w:ascii="仿宋" w:hAnsi="仿宋" w:eastAsia="仿宋" w:cs="仿宋"/>
                <w:b/>
                <w:kern w:val="0"/>
                <w:sz w:val="28"/>
                <w:szCs w:val="28"/>
                <w:highlight w:val="none"/>
              </w:rPr>
            </w:pPr>
          </w:p>
          <w:p>
            <w:pPr>
              <w:keepNext w:val="0"/>
              <w:keepLines w:val="0"/>
              <w:pageBreakBefore w:val="0"/>
              <w:widowControl/>
              <w:kinsoku/>
              <w:wordWrap/>
              <w:overflowPunct/>
              <w:topLinePunct w:val="0"/>
              <w:autoSpaceDE/>
              <w:autoSpaceDN/>
              <w:bidi w:val="0"/>
              <w:spacing w:line="572" w:lineRule="exact"/>
              <w:jc w:val="center"/>
              <w:textAlignment w:val="center"/>
              <w:rPr>
                <w:rFonts w:hint="eastAsia" w:ascii="仿宋" w:hAnsi="仿宋" w:eastAsia="仿宋" w:cs="仿宋"/>
                <w:kern w:val="0"/>
                <w:sz w:val="28"/>
                <w:szCs w:val="28"/>
                <w:highlight w:val="none"/>
              </w:rPr>
            </w:pPr>
            <w:r>
              <w:rPr>
                <w:rFonts w:hint="eastAsia" w:ascii="仿宋" w:hAnsi="仿宋" w:eastAsia="仿宋" w:cs="仿宋"/>
                <w:b/>
                <w:kern w:val="0"/>
                <w:sz w:val="28"/>
                <w:szCs w:val="28"/>
                <w:highlight w:val="none"/>
              </w:rPr>
              <w:t>国有资产占有使用情况表</w:t>
            </w:r>
          </w:p>
        </w:tc>
        <w:tc>
          <w:tcPr>
            <w:tcW w:w="549"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32"/>
                <w:szCs w:val="32"/>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2" w:hRule="atLeast"/>
        </w:trPr>
        <w:tc>
          <w:tcPr>
            <w:tcW w:w="4680" w:type="dxa"/>
            <w:gridSpan w:val="6"/>
            <w:tcBorders>
              <w:top w:val="nil"/>
              <w:left w:val="nil"/>
              <w:bottom w:val="single" w:color="808080" w:sz="4" w:space="0"/>
              <w:right w:val="nil"/>
            </w:tcBorders>
            <w:shd w:val="clear" w:color="auto" w:fill="FFFFFF"/>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left"/>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 </w:t>
            </w:r>
          </w:p>
        </w:tc>
        <w:tc>
          <w:tcPr>
            <w:tcW w:w="865" w:type="dxa"/>
            <w:gridSpan w:val="2"/>
            <w:tcBorders>
              <w:top w:val="nil"/>
              <w:left w:val="nil"/>
              <w:bottom w:val="single" w:color="808080" w:sz="4" w:space="0"/>
              <w:right w:val="nil"/>
            </w:tcBorders>
            <w:shd w:val="clear" w:color="auto" w:fill="FFFFFF"/>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 </w:t>
            </w:r>
          </w:p>
        </w:tc>
        <w:tc>
          <w:tcPr>
            <w:tcW w:w="974" w:type="dxa"/>
            <w:gridSpan w:val="2"/>
            <w:tcBorders>
              <w:top w:val="nil"/>
              <w:left w:val="nil"/>
              <w:bottom w:val="single" w:color="808080" w:sz="4" w:space="0"/>
              <w:right w:val="nil"/>
            </w:tcBorders>
            <w:shd w:val="clear" w:color="auto" w:fill="FFFFFF"/>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 </w:t>
            </w:r>
          </w:p>
        </w:tc>
        <w:tc>
          <w:tcPr>
            <w:tcW w:w="566"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 </w:t>
            </w:r>
          </w:p>
        </w:tc>
        <w:tc>
          <w:tcPr>
            <w:tcW w:w="688"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 </w:t>
            </w:r>
          </w:p>
        </w:tc>
        <w:tc>
          <w:tcPr>
            <w:tcW w:w="747"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 </w:t>
            </w:r>
          </w:p>
        </w:tc>
        <w:tc>
          <w:tcPr>
            <w:tcW w:w="1701" w:type="dxa"/>
            <w:gridSpan w:val="6"/>
            <w:tcBorders>
              <w:top w:val="nil"/>
              <w:left w:val="nil"/>
              <w:bottom w:val="single" w:color="808080" w:sz="4" w:space="0"/>
              <w:right w:val="nil"/>
            </w:tcBorders>
            <w:shd w:val="clear" w:color="auto" w:fill="FFFFFF"/>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right"/>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单位：万元</w:t>
            </w:r>
          </w:p>
        </w:tc>
        <w:tc>
          <w:tcPr>
            <w:tcW w:w="549"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项目</w:t>
            </w:r>
          </w:p>
        </w:tc>
        <w:tc>
          <w:tcPr>
            <w:tcW w:w="54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行次</w:t>
            </w:r>
          </w:p>
        </w:tc>
        <w:tc>
          <w:tcPr>
            <w:tcW w:w="1022"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资产总额</w:t>
            </w:r>
          </w:p>
        </w:tc>
        <w:tc>
          <w:tcPr>
            <w:tcW w:w="993"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流动资产</w:t>
            </w:r>
          </w:p>
        </w:tc>
        <w:tc>
          <w:tcPr>
            <w:tcW w:w="3809" w:type="dxa"/>
            <w:gridSpan w:val="7"/>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固定资产</w:t>
            </w:r>
          </w:p>
        </w:tc>
        <w:tc>
          <w:tcPr>
            <w:tcW w:w="68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对外投资/有价证券</w:t>
            </w:r>
          </w:p>
        </w:tc>
        <w:tc>
          <w:tcPr>
            <w:tcW w:w="747"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在建工程</w:t>
            </w:r>
          </w:p>
        </w:tc>
        <w:tc>
          <w:tcPr>
            <w:tcW w:w="993" w:type="dxa"/>
            <w:gridSpan w:val="2"/>
            <w:vMerge w:val="restart"/>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无形资产</w:t>
            </w:r>
          </w:p>
        </w:tc>
        <w:tc>
          <w:tcPr>
            <w:tcW w:w="708" w:type="dxa"/>
            <w:gridSpan w:val="4"/>
            <w:vMerge w:val="restart"/>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其他资产</w:t>
            </w:r>
          </w:p>
        </w:tc>
        <w:tc>
          <w:tcPr>
            <w:tcW w:w="549"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54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102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834"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小计</w:t>
            </w:r>
          </w:p>
        </w:tc>
        <w:tc>
          <w:tcPr>
            <w:tcW w:w="768"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房屋构筑物</w:t>
            </w:r>
          </w:p>
        </w:tc>
        <w:tc>
          <w:tcPr>
            <w:tcW w:w="667"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车辆</w:t>
            </w:r>
          </w:p>
        </w:tc>
        <w:tc>
          <w:tcPr>
            <w:tcW w:w="57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单价200万以上大型设备</w:t>
            </w:r>
          </w:p>
        </w:tc>
        <w:tc>
          <w:tcPr>
            <w:tcW w:w="962"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其他固定资产</w:t>
            </w:r>
          </w:p>
        </w:tc>
        <w:tc>
          <w:tcPr>
            <w:tcW w:w="688"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993" w:type="dxa"/>
            <w:gridSpan w:val="2"/>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708" w:type="dxa"/>
            <w:gridSpan w:val="4"/>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549"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13"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54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1022"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99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834"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768" w:type="dxa"/>
            <w:gridSpan w:val="2"/>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667"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578"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962" w:type="dxa"/>
            <w:gridSpan w:val="2"/>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688"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747"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993" w:type="dxa"/>
            <w:gridSpan w:val="2"/>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708" w:type="dxa"/>
            <w:gridSpan w:val="4"/>
            <w:vMerge w:val="continue"/>
            <w:tcBorders>
              <w:top w:val="nil"/>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c>
          <w:tcPr>
            <w:tcW w:w="549"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栏次</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 </w:t>
            </w:r>
          </w:p>
        </w:tc>
        <w:tc>
          <w:tcPr>
            <w:tcW w:w="1022"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1</w:t>
            </w: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2</w:t>
            </w:r>
          </w:p>
        </w:tc>
        <w:tc>
          <w:tcPr>
            <w:tcW w:w="83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3</w:t>
            </w:r>
          </w:p>
        </w:tc>
        <w:tc>
          <w:tcPr>
            <w:tcW w:w="768"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4</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5</w:t>
            </w:r>
          </w:p>
        </w:tc>
        <w:tc>
          <w:tcPr>
            <w:tcW w:w="57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6</w:t>
            </w:r>
          </w:p>
        </w:tc>
        <w:tc>
          <w:tcPr>
            <w:tcW w:w="96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7</w:t>
            </w:r>
          </w:p>
        </w:tc>
        <w:tc>
          <w:tcPr>
            <w:tcW w:w="68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8</w:t>
            </w:r>
          </w:p>
        </w:tc>
        <w:tc>
          <w:tcPr>
            <w:tcW w:w="7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9</w:t>
            </w:r>
          </w:p>
        </w:tc>
        <w:tc>
          <w:tcPr>
            <w:tcW w:w="99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10</w:t>
            </w:r>
          </w:p>
        </w:tc>
        <w:tc>
          <w:tcPr>
            <w:tcW w:w="708"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11</w:t>
            </w:r>
          </w:p>
        </w:tc>
        <w:tc>
          <w:tcPr>
            <w:tcW w:w="549"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合计</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rPr>
              <w:t>1</w:t>
            </w:r>
          </w:p>
        </w:tc>
        <w:tc>
          <w:tcPr>
            <w:tcW w:w="1022"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lang w:eastAsia="zh-CN"/>
              </w:rPr>
            </w:pPr>
            <w:r>
              <w:rPr>
                <w:rFonts w:hint="eastAsia" w:ascii="楷体" w:hAnsi="楷体" w:eastAsia="楷体" w:cs="楷体"/>
                <w:kern w:val="0"/>
                <w:sz w:val="24"/>
                <w:szCs w:val="24"/>
                <w:highlight w:val="none"/>
                <w:lang w:val="en-US" w:eastAsia="zh-CN"/>
              </w:rPr>
              <w:t>18168.35</w:t>
            </w: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lang w:eastAsia="zh-CN"/>
              </w:rPr>
            </w:pPr>
            <w:r>
              <w:rPr>
                <w:rFonts w:hint="eastAsia" w:ascii="楷体" w:hAnsi="楷体" w:eastAsia="楷体" w:cs="楷体"/>
                <w:kern w:val="0"/>
                <w:sz w:val="24"/>
                <w:szCs w:val="24"/>
                <w:highlight w:val="none"/>
                <w:lang w:val="en-US" w:eastAsia="zh-CN"/>
              </w:rPr>
              <w:t>16175.54</w:t>
            </w:r>
          </w:p>
        </w:tc>
        <w:tc>
          <w:tcPr>
            <w:tcW w:w="83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lang w:val="en-US" w:eastAsia="zh-CN"/>
              </w:rPr>
              <w:t>1992.81</w:t>
            </w:r>
          </w:p>
        </w:tc>
        <w:tc>
          <w:tcPr>
            <w:tcW w:w="768"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lang w:eastAsia="zh-CN"/>
              </w:rPr>
            </w:pPr>
            <w:r>
              <w:rPr>
                <w:rFonts w:hint="eastAsia" w:ascii="楷体" w:hAnsi="楷体" w:eastAsia="楷体" w:cs="楷体"/>
                <w:kern w:val="0"/>
                <w:sz w:val="24"/>
                <w:szCs w:val="24"/>
                <w:highlight w:val="none"/>
                <w:lang w:val="en-US" w:eastAsia="zh-CN"/>
              </w:rPr>
              <w:t>1408.31</w:t>
            </w:r>
          </w:p>
        </w:tc>
        <w:tc>
          <w:tcPr>
            <w:tcW w:w="66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r>
              <w:rPr>
                <w:rFonts w:hint="eastAsia" w:ascii="楷体" w:hAnsi="楷体" w:eastAsia="楷体" w:cs="楷体"/>
                <w:kern w:val="0"/>
                <w:sz w:val="24"/>
                <w:szCs w:val="24"/>
                <w:highlight w:val="none"/>
                <w:lang w:val="en-US" w:eastAsia="zh-CN"/>
              </w:rPr>
              <w:t>584.50</w:t>
            </w:r>
          </w:p>
        </w:tc>
        <w:tc>
          <w:tcPr>
            <w:tcW w:w="57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p>
        </w:tc>
        <w:tc>
          <w:tcPr>
            <w:tcW w:w="96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p>
        </w:tc>
        <w:tc>
          <w:tcPr>
            <w:tcW w:w="68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p>
        </w:tc>
        <w:tc>
          <w:tcPr>
            <w:tcW w:w="74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p>
        </w:tc>
        <w:tc>
          <w:tcPr>
            <w:tcW w:w="99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p>
        </w:tc>
        <w:tc>
          <w:tcPr>
            <w:tcW w:w="708"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spacing w:line="572" w:lineRule="exact"/>
              <w:jc w:val="center"/>
              <w:textAlignment w:val="center"/>
              <w:rPr>
                <w:rFonts w:hint="eastAsia" w:ascii="楷体" w:hAnsi="楷体" w:eastAsia="楷体" w:cs="楷体"/>
                <w:kern w:val="0"/>
                <w:sz w:val="24"/>
                <w:szCs w:val="24"/>
                <w:highlight w:val="none"/>
              </w:rPr>
            </w:pPr>
          </w:p>
        </w:tc>
        <w:tc>
          <w:tcPr>
            <w:tcW w:w="549" w:type="dxa"/>
            <w:gridSpan w:val="2"/>
            <w:tcBorders>
              <w:top w:val="nil"/>
              <w:left w:val="nil"/>
              <w:bottom w:val="nil"/>
              <w:right w:val="nil"/>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24"/>
                <w:szCs w:val="24"/>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3"/>
          <w:wAfter w:w="618" w:type="dxa"/>
          <w:trHeight w:val="259" w:hRule="atLeast"/>
        </w:trPr>
        <w:tc>
          <w:tcPr>
            <w:tcW w:w="8520" w:type="dxa"/>
            <w:gridSpan w:val="13"/>
            <w:tcBorders>
              <w:top w:val="nil"/>
              <w:left w:val="nil"/>
              <w:bottom w:val="nil"/>
              <w:right w:val="nil"/>
            </w:tcBorders>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spacing w:line="572" w:lineRule="exact"/>
              <w:rPr>
                <w:rFonts w:hint="eastAsia" w:ascii="楷体" w:hAnsi="楷体" w:eastAsia="楷体" w:cs="楷体"/>
                <w:kern w:val="0"/>
                <w:sz w:val="32"/>
                <w:szCs w:val="32"/>
                <w:highlight w:val="none"/>
              </w:rPr>
            </w:pPr>
          </w:p>
        </w:tc>
        <w:tc>
          <w:tcPr>
            <w:tcW w:w="512" w:type="dxa"/>
            <w:tcBorders>
              <w:top w:val="nil"/>
              <w:left w:val="nil"/>
              <w:bottom w:val="nil"/>
              <w:right w:val="nil"/>
            </w:tcBorders>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spacing w:line="572" w:lineRule="exact"/>
              <w:rPr>
                <w:rFonts w:hint="eastAsia" w:ascii="楷体" w:hAnsi="楷体" w:eastAsia="楷体" w:cs="楷体"/>
                <w:kern w:val="0"/>
                <w:sz w:val="32"/>
                <w:szCs w:val="32"/>
                <w:highlight w:val="none"/>
              </w:rPr>
            </w:pPr>
          </w:p>
        </w:tc>
        <w:tc>
          <w:tcPr>
            <w:tcW w:w="978" w:type="dxa"/>
            <w:gridSpan w:val="3"/>
            <w:tcBorders>
              <w:top w:val="nil"/>
              <w:left w:val="nil"/>
              <w:bottom w:val="nil"/>
              <w:right w:val="nil"/>
            </w:tcBorders>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32"/>
                <w:szCs w:val="32"/>
                <w:highlight w:val="none"/>
              </w:rPr>
            </w:pPr>
          </w:p>
        </w:tc>
        <w:tc>
          <w:tcPr>
            <w:tcW w:w="142" w:type="dxa"/>
            <w:tcBorders>
              <w:top w:val="nil"/>
              <w:left w:val="nil"/>
              <w:bottom w:val="nil"/>
              <w:right w:val="nil"/>
            </w:tcBorders>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32"/>
                <w:szCs w:val="32"/>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spacing w:line="572" w:lineRule="exact"/>
              <w:rPr>
                <w:rFonts w:hint="eastAsia" w:ascii="楷体" w:hAnsi="楷体" w:eastAsia="楷体" w:cs="楷体"/>
                <w:kern w:val="0"/>
                <w:sz w:val="32"/>
                <w:szCs w:val="32"/>
                <w:highlight w:val="none"/>
              </w:rPr>
            </w:pPr>
            <w:r>
              <w:rPr>
                <w:rFonts w:hint="eastAsia" w:ascii="楷体" w:hAnsi="楷体" w:eastAsia="楷体" w:cs="楷体"/>
                <w:kern w:val="0"/>
                <w:sz w:val="32"/>
                <w:szCs w:val="32"/>
                <w:highlight w:val="none"/>
              </w:rPr>
              <w:t>填报说明：1.资产总额＝流动资产＋固定资产＋对外投资+有价证券＋在建工程＋无形资产＋其他资产</w:t>
            </w:r>
          </w:p>
          <w:p>
            <w:pPr>
              <w:keepNext w:val="0"/>
              <w:keepLines w:val="0"/>
              <w:pageBreakBefore w:val="0"/>
              <w:widowControl/>
              <w:kinsoku/>
              <w:wordWrap/>
              <w:overflowPunct/>
              <w:topLinePunct w:val="0"/>
              <w:autoSpaceDE/>
              <w:autoSpaceDN/>
              <w:bidi w:val="0"/>
              <w:spacing w:line="572" w:lineRule="exact"/>
              <w:ind w:firstLine="1600" w:firstLineChars="500"/>
              <w:rPr>
                <w:rFonts w:hint="eastAsia" w:ascii="楷体" w:hAnsi="楷体" w:eastAsia="楷体" w:cs="楷体"/>
                <w:kern w:val="0"/>
                <w:sz w:val="32"/>
                <w:szCs w:val="32"/>
                <w:highlight w:val="none"/>
              </w:rPr>
            </w:pPr>
            <w:r>
              <w:rPr>
                <w:rFonts w:hint="eastAsia" w:ascii="楷体" w:hAnsi="楷体" w:eastAsia="楷体" w:cs="楷体"/>
                <w:kern w:val="0"/>
                <w:sz w:val="32"/>
                <w:szCs w:val="32"/>
                <w:highlight w:val="none"/>
              </w:rPr>
              <w:t>2.固定资产＝房屋构筑物＋车辆＋单价200万元以上大型设备＋其他固定资产</w:t>
            </w:r>
          </w:p>
        </w:tc>
        <w:tc>
          <w:tcPr>
            <w:tcW w:w="978" w:type="dxa"/>
            <w:gridSpan w:val="4"/>
            <w:tcBorders>
              <w:top w:val="nil"/>
              <w:left w:val="nil"/>
              <w:bottom w:val="nil"/>
              <w:right w:val="nil"/>
            </w:tcBorders>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32"/>
                <w:szCs w:val="32"/>
                <w:highlight w:val="none"/>
              </w:rPr>
            </w:pPr>
            <w:r>
              <w:rPr>
                <w:rFonts w:hint="eastAsia" w:ascii="楷体" w:hAnsi="楷体" w:eastAsia="楷体" w:cs="楷体"/>
                <w:kern w:val="0"/>
                <w:sz w:val="32"/>
                <w:szCs w:val="32"/>
                <w:highlight w:val="none"/>
              </w:rPr>
              <w:t> </w:t>
            </w:r>
          </w:p>
        </w:tc>
        <w:tc>
          <w:tcPr>
            <w:tcW w:w="142" w:type="dxa"/>
            <w:vAlign w:val="center"/>
          </w:tcPr>
          <w:p>
            <w:pPr>
              <w:keepNext w:val="0"/>
              <w:keepLines w:val="0"/>
              <w:pageBreakBefore w:val="0"/>
              <w:widowControl/>
              <w:kinsoku/>
              <w:wordWrap/>
              <w:overflowPunct/>
              <w:topLinePunct w:val="0"/>
              <w:autoSpaceDE/>
              <w:autoSpaceDN/>
              <w:bidi w:val="0"/>
              <w:spacing w:line="572" w:lineRule="exact"/>
              <w:jc w:val="left"/>
              <w:rPr>
                <w:rFonts w:hint="eastAsia" w:ascii="楷体" w:hAnsi="楷体" w:eastAsia="楷体" w:cs="楷体"/>
                <w:kern w:val="0"/>
                <w:sz w:val="32"/>
                <w:szCs w:val="32"/>
                <w:highlight w:val="none"/>
              </w:rPr>
            </w:pPr>
          </w:p>
        </w:tc>
      </w:tr>
    </w:tbl>
    <w:p>
      <w:pPr>
        <w:keepNext w:val="0"/>
        <w:keepLines w:val="0"/>
        <w:pageBreakBefore w:val="0"/>
        <w:kinsoku/>
        <w:wordWrap/>
        <w:overflowPunct/>
        <w:topLinePunct w:val="0"/>
        <w:autoSpaceDE/>
        <w:autoSpaceDN/>
        <w:bidi w:val="0"/>
        <w:spacing w:line="572" w:lineRule="exact"/>
        <w:ind w:firstLine="640" w:firstLineChars="200"/>
        <w:jc w:val="left"/>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三、政府采购支出情况</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2019年度，部门政府采购支出总额105万元，其中：政府采购货物支出0万元；政府采购工程支出0万元；政府采购服务支出105万元,授予中小企业合同金额0万元，占政府采购支出总额的0%。</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四、部门绩效自评情况</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t>部门绩效自评情况详见附表2019年度昆明市盘龙区住房和城乡建设局部门决算表 （附表9—附表11）。</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五、其他重要事项情况说明</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昆明市盘龙区住房和城乡建设局无其他重要情况说明</w:t>
      </w:r>
      <w:r>
        <w:rPr>
          <w:rFonts w:hint="eastAsia" w:ascii="仿宋_GB2312" w:hAnsi="仿宋_GB2312" w:eastAsia="仿宋_GB2312" w:cs="仿宋_GB2312"/>
          <w:sz w:val="32"/>
          <w:szCs w:val="32"/>
          <w:highlight w:val="none"/>
        </w:rPr>
        <w:t>。</w:t>
      </w:r>
    </w:p>
    <w:p>
      <w:pPr>
        <w:keepNext w:val="0"/>
        <w:keepLines w:val="0"/>
        <w:pageBreakBefore w:val="0"/>
        <w:widowControl/>
        <w:kinsoku/>
        <w:wordWrap/>
        <w:overflowPunct/>
        <w:topLinePunct w:val="0"/>
        <w:autoSpaceDE/>
        <w:autoSpaceDN/>
        <w:bidi w:val="0"/>
        <w:snapToGrid w:val="0"/>
        <w:spacing w:before="100" w:beforeLines="0" w:after="100" w:afterLines="0" w:line="572" w:lineRule="exact"/>
        <w:ind w:firstLine="640" w:firstLineChars="200"/>
        <w:jc w:val="left"/>
        <w:rPr>
          <w:rFonts w:hint="eastAsia" w:ascii="楷体" w:hAnsi="楷体" w:eastAsia="楷体" w:cs="楷体"/>
          <w:b w:val="0"/>
          <w:bCs w:val="0"/>
          <w:sz w:val="32"/>
          <w:szCs w:val="32"/>
          <w:highlight w:val="none"/>
        </w:rPr>
      </w:pPr>
      <w:r>
        <w:rPr>
          <w:rFonts w:hint="eastAsia" w:ascii="楷体" w:hAnsi="楷体" w:eastAsia="楷体" w:cs="楷体"/>
          <w:b w:val="0"/>
          <w:bCs w:val="0"/>
          <w:sz w:val="32"/>
          <w:szCs w:val="32"/>
          <w:highlight w:val="none"/>
        </w:rPr>
        <w:t>六、相关口径说明</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rPr>
        <w:t>（一）基本支出中人员经费</w:t>
      </w:r>
      <w:r>
        <w:rPr>
          <w:rFonts w:hint="eastAsia" w:ascii="仿宋_GB2312" w:hAnsi="仿宋_GB2312" w:eastAsia="仿宋_GB2312" w:cs="仿宋_GB2312"/>
          <w:sz w:val="32"/>
          <w:szCs w:val="32"/>
          <w:highlight w:val="none"/>
        </w:rPr>
        <w:t>包括工资福利支出和对个人和家庭的补助，日常公用支出包括商品和服务支出、资本性支出等人员经费以外的支出。</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（二）机关运行经费指行政单位和参照公务员法管理的事业单位使用一般公共预算财政拨款安排的基本支出中的日常公用经费支出。</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sz w:val="32"/>
          <w:szCs w:val="32"/>
          <w:highlight w:val="none"/>
        </w:rPr>
      </w:pPr>
    </w:p>
    <w:p>
      <w:pPr>
        <w:keepNext w:val="0"/>
        <w:keepLines w:val="0"/>
        <w:pageBreakBefore w:val="0"/>
        <w:kinsoku/>
        <w:wordWrap/>
        <w:overflowPunct/>
        <w:topLinePunct w:val="0"/>
        <w:autoSpaceDE/>
        <w:autoSpaceDN/>
        <w:bidi w:val="0"/>
        <w:spacing w:line="572" w:lineRule="exact"/>
        <w:jc w:val="center"/>
        <w:rPr>
          <w:rFonts w:hint="eastAsia" w:ascii="仿宋_GB2312" w:hAnsi="仿宋_GB2312" w:eastAsia="仿宋_GB2312" w:cs="仿宋_GB2312"/>
          <w:sz w:val="32"/>
          <w:szCs w:val="32"/>
          <w:highlight w:val="none"/>
        </w:rPr>
      </w:pPr>
    </w:p>
    <w:p>
      <w:pPr>
        <w:keepNext w:val="0"/>
        <w:keepLines w:val="0"/>
        <w:pageBreakBefore w:val="0"/>
        <w:kinsoku/>
        <w:wordWrap/>
        <w:overflowPunct/>
        <w:topLinePunct w:val="0"/>
        <w:autoSpaceDE/>
        <w:autoSpaceDN/>
        <w:bidi w:val="0"/>
        <w:spacing w:line="572" w:lineRule="exact"/>
        <w:jc w:val="center"/>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第五部分  名词解释</w:t>
      </w:r>
    </w:p>
    <w:p>
      <w:pPr>
        <w:keepNext w:val="0"/>
        <w:keepLines w:val="0"/>
        <w:pageBreakBefore w:val="0"/>
        <w:kinsoku/>
        <w:wordWrap/>
        <w:overflowPunct/>
        <w:topLinePunct w:val="0"/>
        <w:autoSpaceDE/>
        <w:autoSpaceDN/>
        <w:bidi w:val="0"/>
        <w:spacing w:line="572" w:lineRule="exact"/>
        <w:jc w:val="center"/>
        <w:rPr>
          <w:rFonts w:hint="eastAsia" w:ascii="黑体" w:hAnsi="黑体" w:eastAsia="黑体" w:cs="方正小标宋简体"/>
          <w:sz w:val="32"/>
          <w:szCs w:val="32"/>
          <w:highlight w:val="none"/>
        </w:rPr>
      </w:pP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楷体" w:hAnsi="楷体" w:eastAsia="楷体" w:cs="楷体"/>
          <w:b w:val="0"/>
          <w:bCs/>
          <w:sz w:val="32"/>
          <w:szCs w:val="32"/>
          <w:highlight w:val="none"/>
        </w:rPr>
        <w:t>1</w:t>
      </w:r>
      <w:r>
        <w:rPr>
          <w:rFonts w:hint="eastAsia" w:ascii="楷体" w:hAnsi="楷体" w:eastAsia="楷体" w:cs="楷体"/>
          <w:b w:val="0"/>
          <w:bCs/>
          <w:sz w:val="32"/>
          <w:szCs w:val="32"/>
          <w:highlight w:val="none"/>
          <w:lang w:eastAsia="zh-CN"/>
        </w:rPr>
        <w:t>、</w:t>
      </w:r>
      <w:r>
        <w:rPr>
          <w:rFonts w:hint="eastAsia" w:ascii="楷体" w:hAnsi="楷体" w:eastAsia="楷体" w:cs="楷体"/>
          <w:b w:val="0"/>
          <w:bCs/>
          <w:sz w:val="32"/>
          <w:szCs w:val="32"/>
          <w:highlight w:val="none"/>
        </w:rPr>
        <w:t>一般公共预算收入：</w:t>
      </w:r>
      <w:r>
        <w:rPr>
          <w:rFonts w:hint="eastAsia" w:ascii="仿宋_GB2312" w:hAnsi="仿宋_GB2312" w:eastAsia="仿宋_GB2312" w:cs="仿宋_GB2312"/>
          <w:b w:val="0"/>
          <w:bCs/>
          <w:sz w:val="32"/>
          <w:szCs w:val="32"/>
          <w:highlight w:val="none"/>
        </w:rPr>
        <w:t>指政府为履行职能，按国家法律法规规定收取的纳入预算管理的各项税收及</w:t>
      </w:r>
      <w:r>
        <w:rPr>
          <w:rFonts w:hint="eastAsia" w:ascii="仿宋_GB2312" w:hAnsi="仿宋_GB2312" w:eastAsia="仿宋_GB2312" w:cs="仿宋_GB2312"/>
          <w:sz w:val="32"/>
          <w:szCs w:val="32"/>
          <w:highlight w:val="none"/>
        </w:rPr>
        <w:t>非税收入总和。《中华人民共和国预算法》第二十七条规定：一般公共预算收入包括各项</w:t>
      </w:r>
      <w:r>
        <w:rPr>
          <w:rFonts w:hint="eastAsia" w:ascii="仿宋_GB2312" w:hAnsi="仿宋_GB2312" w:eastAsia="仿宋_GB2312" w:cs="仿宋_GB2312"/>
          <w:b w:val="0"/>
          <w:bCs w:val="0"/>
          <w:sz w:val="32"/>
          <w:szCs w:val="32"/>
          <w:highlight w:val="none"/>
        </w:rPr>
        <w:t>税收收入、行政事业性收费收入、国有资源（资产）有偿使用收入、转移性收入和其他收入。</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楷体" w:hAnsi="楷体" w:eastAsia="楷体" w:cs="楷体"/>
          <w:b w:val="0"/>
          <w:bCs w:val="0"/>
          <w:sz w:val="32"/>
          <w:szCs w:val="32"/>
          <w:highlight w:val="none"/>
        </w:rPr>
        <w:t>2</w:t>
      </w:r>
      <w:r>
        <w:rPr>
          <w:rFonts w:hint="eastAsia" w:ascii="楷体" w:hAnsi="楷体" w:eastAsia="楷体" w:cs="楷体"/>
          <w:b w:val="0"/>
          <w:bCs w:val="0"/>
          <w:sz w:val="32"/>
          <w:szCs w:val="32"/>
          <w:highlight w:val="none"/>
          <w:lang w:eastAsia="zh-CN"/>
        </w:rPr>
        <w:t>、</w:t>
      </w:r>
      <w:r>
        <w:rPr>
          <w:rFonts w:hint="eastAsia" w:ascii="楷体" w:hAnsi="楷体" w:eastAsia="楷体" w:cs="楷体"/>
          <w:b w:val="0"/>
          <w:bCs w:val="0"/>
          <w:sz w:val="32"/>
          <w:szCs w:val="32"/>
          <w:highlight w:val="none"/>
        </w:rPr>
        <w:t>一般公共预算支出：</w:t>
      </w:r>
      <w:r>
        <w:rPr>
          <w:rFonts w:hint="eastAsia" w:ascii="仿宋_GB2312" w:hAnsi="仿宋_GB2312" w:eastAsia="仿宋_GB2312" w:cs="仿宋_GB2312"/>
          <w:b w:val="0"/>
          <w:bCs w:val="0"/>
          <w:sz w:val="32"/>
          <w:szCs w:val="32"/>
          <w:highlight w:val="none"/>
        </w:rPr>
        <w:t>指政府为履行职能需要，通过预算资金安排的用于维持政权运转及支持各项社会事业发展等方面的支出，支出类别分为“类”、“款”、“项”、“目”四个级次，具体划分由国家财政部门统一规定。《中华人民共和国预算法》第二十七条规定：一般公共预算支出按照其功能分类，包括一般公共服务支出，外交、公共安全、国防支出，农业、环境保护支出，教育、科技、文化、卫生、体育支出，社会保障及就业支出和其他支出。</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楷体" w:hAnsi="楷体" w:eastAsia="楷体" w:cs="楷体"/>
          <w:b w:val="0"/>
          <w:bCs w:val="0"/>
          <w:sz w:val="32"/>
          <w:szCs w:val="32"/>
          <w:highlight w:val="none"/>
        </w:rPr>
        <w:t>3</w:t>
      </w:r>
      <w:r>
        <w:rPr>
          <w:rFonts w:hint="eastAsia" w:ascii="楷体" w:hAnsi="楷体" w:eastAsia="楷体" w:cs="楷体"/>
          <w:b w:val="0"/>
          <w:bCs w:val="0"/>
          <w:sz w:val="32"/>
          <w:szCs w:val="32"/>
          <w:highlight w:val="none"/>
          <w:lang w:eastAsia="zh-CN"/>
        </w:rPr>
        <w:t>、</w:t>
      </w:r>
      <w:r>
        <w:rPr>
          <w:rFonts w:hint="eastAsia" w:ascii="楷体" w:hAnsi="楷体" w:eastAsia="楷体" w:cs="楷体"/>
          <w:b w:val="0"/>
          <w:bCs w:val="0"/>
          <w:sz w:val="32"/>
          <w:szCs w:val="32"/>
          <w:highlight w:val="none"/>
        </w:rPr>
        <w:t>政府性基金：</w:t>
      </w:r>
      <w:r>
        <w:rPr>
          <w:rFonts w:hint="eastAsia" w:ascii="仿宋_GB2312" w:hAnsi="仿宋_GB2312" w:eastAsia="仿宋_GB2312" w:cs="仿宋_GB2312"/>
          <w:b w:val="0"/>
          <w:bCs w:val="0"/>
          <w:sz w:val="32"/>
          <w:szCs w:val="32"/>
          <w:highlight w:val="none"/>
        </w:rPr>
        <w:t>指各级政府及其所属部门根据法律、行政法规的文件规定，为支持某项公共事业发展，按照国家规定程序批准，向公民、法人、其他组织无偿征收的具有专项用途的财政资金，包括各种基金、资金、附加和专项收费。</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楷体" w:hAnsi="楷体" w:eastAsia="楷体" w:cs="楷体"/>
          <w:b w:val="0"/>
          <w:bCs w:val="0"/>
          <w:sz w:val="32"/>
          <w:szCs w:val="32"/>
          <w:highlight w:val="none"/>
        </w:rPr>
        <w:t>4</w:t>
      </w:r>
      <w:r>
        <w:rPr>
          <w:rFonts w:hint="eastAsia" w:ascii="楷体" w:hAnsi="楷体" w:eastAsia="楷体" w:cs="楷体"/>
          <w:b w:val="0"/>
          <w:bCs w:val="0"/>
          <w:sz w:val="32"/>
          <w:szCs w:val="32"/>
          <w:highlight w:val="none"/>
          <w:lang w:eastAsia="zh-CN"/>
        </w:rPr>
        <w:t>、</w:t>
      </w:r>
      <w:r>
        <w:rPr>
          <w:rFonts w:hint="eastAsia" w:ascii="楷体" w:hAnsi="楷体" w:eastAsia="楷体" w:cs="楷体"/>
          <w:b w:val="0"/>
          <w:bCs w:val="0"/>
          <w:sz w:val="32"/>
          <w:szCs w:val="32"/>
          <w:highlight w:val="none"/>
        </w:rPr>
        <w:t>“三公”经费：</w:t>
      </w:r>
      <w:r>
        <w:rPr>
          <w:rFonts w:hint="eastAsia" w:ascii="仿宋_GB2312" w:hAnsi="仿宋_GB2312" w:eastAsia="仿宋_GB2312" w:cs="仿宋_GB2312"/>
          <w:b w:val="0"/>
          <w:bCs w:val="0"/>
          <w:sz w:val="32"/>
          <w:szCs w:val="32"/>
          <w:highlight w:val="none"/>
        </w:rPr>
        <w:t>指因公出国（境）经费、公务用车购置及运行维护费和公务接待费。其中：因公出国（境）经费是指行政单位、事业单位工作人员公务出国（境）的住宿费、旅费、伙食补助费、杂费、培训费等支出；公务用车购置及运行维护费指行政单位、事业单位公务用车购置费、公务用车租用费、燃料费、维修费、过桥过路费、保险费等支出；公务接待费指行政单位、事业单位按规定开支的各项公务接待（外宾接待）费用。</w:t>
      </w:r>
    </w:p>
    <w:p>
      <w:pPr>
        <w:keepNext w:val="0"/>
        <w:keepLines w:val="0"/>
        <w:pageBreakBefore w:val="0"/>
        <w:kinsoku/>
        <w:wordWrap/>
        <w:overflowPunct/>
        <w:topLinePunct w:val="0"/>
        <w:autoSpaceDE/>
        <w:autoSpaceDN/>
        <w:bidi w:val="0"/>
        <w:spacing w:line="572" w:lineRule="exact"/>
        <w:ind w:firstLine="640" w:firstLineChars="200"/>
        <w:jc w:val="left"/>
        <w:rPr>
          <w:rFonts w:hint="eastAsia" w:ascii="仿宋_GB2312" w:hAnsi="仿宋_GB2312" w:eastAsia="仿宋_GB2312" w:cs="仿宋_GB2312"/>
          <w:b w:val="0"/>
          <w:bCs w:val="0"/>
          <w:sz w:val="32"/>
          <w:szCs w:val="32"/>
          <w:highlight w:val="none"/>
        </w:rPr>
      </w:pPr>
      <w:r>
        <w:rPr>
          <w:rFonts w:hint="eastAsia" w:ascii="楷体" w:hAnsi="楷体" w:eastAsia="楷体" w:cs="楷体"/>
          <w:b w:val="0"/>
          <w:bCs w:val="0"/>
          <w:sz w:val="32"/>
          <w:szCs w:val="32"/>
          <w:highlight w:val="none"/>
        </w:rPr>
        <w:t>5</w:t>
      </w:r>
      <w:r>
        <w:rPr>
          <w:rFonts w:hint="eastAsia" w:ascii="楷体" w:hAnsi="楷体" w:eastAsia="楷体" w:cs="楷体"/>
          <w:b w:val="0"/>
          <w:bCs w:val="0"/>
          <w:sz w:val="32"/>
          <w:szCs w:val="32"/>
          <w:highlight w:val="none"/>
          <w:lang w:eastAsia="zh-CN"/>
        </w:rPr>
        <w:t>、</w:t>
      </w:r>
      <w:r>
        <w:rPr>
          <w:rFonts w:hint="eastAsia" w:ascii="楷体" w:hAnsi="楷体" w:eastAsia="楷体" w:cs="楷体"/>
          <w:b w:val="0"/>
          <w:bCs w:val="0"/>
          <w:sz w:val="32"/>
          <w:szCs w:val="32"/>
          <w:highlight w:val="none"/>
        </w:rPr>
        <w:t>政府采购：</w:t>
      </w:r>
      <w:r>
        <w:rPr>
          <w:rFonts w:hint="eastAsia" w:ascii="仿宋_GB2312" w:hAnsi="仿宋_GB2312" w:eastAsia="仿宋_GB2312" w:cs="仿宋_GB2312"/>
          <w:b w:val="0"/>
          <w:bCs w:val="0"/>
          <w:sz w:val="32"/>
          <w:szCs w:val="32"/>
          <w:highlight w:val="none"/>
        </w:rPr>
        <w:t>指各级政府及其所属机构为了开展日常政务活动或为公众提供公共服务的需要，在财政的监督下，以法定的方式、方法和程序，对货物、工程或服务的购买。政府采购不仅是指具体的采购过程，而且是采购政策、采购程序、采购过程及采购管理的总称，是一种对公共采购管理的制度。</w:t>
      </w:r>
    </w:p>
    <w:p>
      <w:pPr>
        <w:ind w:firstLine="600" w:firstLineChars="200"/>
        <w:jc w:val="left"/>
        <w:rPr>
          <w:rFonts w:ascii="仿宋_GB2312" w:hAnsi="黑体" w:eastAsia="仿宋_GB2312" w:cs="方正小标宋简体"/>
          <w:sz w:val="30"/>
          <w:szCs w:val="30"/>
        </w:rPr>
      </w:pPr>
      <w:bookmarkStart w:id="0" w:name="_GoBack"/>
      <w:bookmarkEnd w:id="0"/>
    </w:p>
    <w:p>
      <w:pPr>
        <w:rPr>
          <w:rFonts w:ascii="Arial" w:hAnsi="Arial" w:eastAsia="Arial" w:cs="Arial"/>
          <w:b/>
          <w:sz w:val="36"/>
        </w:rPr>
      </w:pPr>
      <w:r>
        <w:rPr>
          <w:rFonts w:ascii="Arial" w:hAnsi="Arial" w:eastAsia="Arial" w:cs="Arial"/>
          <w:b/>
          <w:sz w:val="36"/>
        </w:rPr>
        <w:t>监督索引号53010300163301111</w:t>
      </w:r>
    </w:p>
    <w:p/>
    <w:sectPr>
      <w:headerReference r:id="rId3" w:type="default"/>
      <w:footerReference r:id="rId4" w:type="default"/>
      <w:footerReference r:id="rId5" w:type="even"/>
      <w:pgSz w:w="11906" w:h="16838"/>
      <w:pgMar w:top="2098" w:right="1418" w:bottom="1588"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Style w:val="6"/>
                            </w:rPr>
                          </w:pPr>
                          <w:r>
                            <w:fldChar w:fldCharType="begin"/>
                          </w:r>
                          <w:r>
                            <w:rPr>
                              <w:rStyle w:val="6"/>
                            </w:rPr>
                            <w:instrText xml:space="preserve">PAGE  </w:instrText>
                          </w:r>
                          <w:r>
                            <w:fldChar w:fldCharType="separate"/>
                          </w:r>
                          <w:r>
                            <w:rPr>
                              <w:rStyle w:val="6"/>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Ps5vjrgEAAEsD&#10;AAAOAAAAAAAAAAEAIAAAAB4BAABkcnMvZTJvRG9jLnhtbFBLBQYAAAAABgAGAFkBAAA+BQAAAAA=&#10;">
              <v:fill on="f" focussize="0,0"/>
              <v:stroke on="f"/>
              <v:imagedata o:title=""/>
              <o:lock v:ext="edit" aspectratio="f"/>
              <v:textbox inset="0mm,0mm,0mm,0mm" style="mso-fit-shape-to-text:t;">
                <w:txbxContent>
                  <w:p>
                    <w:pPr>
                      <w:pStyle w:val="3"/>
                      <w:rPr>
                        <w:rStyle w:val="6"/>
                      </w:rPr>
                    </w:pPr>
                    <w:r>
                      <w:fldChar w:fldCharType="begin"/>
                    </w:r>
                    <w:r>
                      <w:rPr>
                        <w:rStyle w:val="6"/>
                      </w:rPr>
                      <w:instrText xml:space="preserve">PAGE  </w:instrText>
                    </w:r>
                    <w:r>
                      <w:fldChar w:fldCharType="separate"/>
                    </w:r>
                    <w:r>
                      <w:rPr>
                        <w:rStyle w:val="6"/>
                      </w:rP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6"/>
      </w:rPr>
    </w:pPr>
    <w:r>
      <w:fldChar w:fldCharType="begin"/>
    </w:r>
    <w:r>
      <w:rPr>
        <w:rStyle w:val="6"/>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singleLevel"/>
    <w:tmpl w:val="0000000A"/>
    <w:lvl w:ilvl="0" w:tentative="0">
      <w:start w:val="1"/>
      <w:numFmt w:val="chineseCounting"/>
      <w:suff w:val="space"/>
      <w:lvlText w:val="第%1部分"/>
      <w:lvlJc w:val="left"/>
      <w:pPr>
        <w:ind w:left="2557"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75410A"/>
    <w:rsid w:val="4D75410A"/>
    <w:rsid w:val="6BC21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0"/>
    <w:pPr>
      <w:spacing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2021-05-24T02:20:00Z</dcterms:created>
  <dc:creator>Administrator</dc:creator>
  <cp:lastModifiedBy>user</cp:lastModifiedBy>
  <dcterms:modified xsi:type="dcterms:W3CDTF">2021-05-24T02:28:57Z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y fmtid="{D5CDD505-2E9C-101B-9397-08002B2CF9AE}" pid="3" name="ICV">
    <vt:lpwstr>6E84EB055B154D5082B4F734AA83FE99</vt:lpwstr>
  </property>
</Properties>
</file>