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autoSpaceDE w:val="0"/>
        <w:autoSpaceDN w:val="0"/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盘龙区马家营城中村改造项目控制性详细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规划</w:t>
      </w:r>
    </w:p>
    <w:p>
      <w:pPr>
        <w:widowControl w:val="0"/>
        <w:autoSpaceDE w:val="0"/>
        <w:autoSpaceDN w:val="0"/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调整方案</w:t>
      </w:r>
    </w:p>
    <w:p>
      <w:pPr>
        <w:widowControl w:val="0"/>
        <w:autoSpaceDE w:val="0"/>
        <w:autoSpaceDN w:val="0"/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widowControl w:val="0"/>
        <w:autoSpaceDE w:val="0"/>
        <w:autoSpaceDN w:val="0"/>
        <w:spacing w:line="600" w:lineRule="exact"/>
        <w:ind w:firstLine="640" w:firstLineChars="200"/>
        <w:jc w:val="both"/>
        <w:rPr>
          <w:rFonts w:hint="eastAsia" w:ascii="仿宋_GB2312" w:hAnsi="仿宋_GB2312" w:eastAsia="仿宋_GB2312" w:cs="仿宋_GB2312"/>
          <w:spacing w:val="-17"/>
          <w:sz w:val="32"/>
          <w:szCs w:val="32"/>
        </w:rPr>
      </w:pPr>
      <w:bookmarkStart w:id="3" w:name="_GoBack"/>
      <w:bookmarkEnd w:id="3"/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一、基本情况</w:t>
      </w:r>
    </w:p>
    <w:p>
      <w:pPr>
        <w:widowControl w:val="0"/>
        <w:autoSpaceDE w:val="0"/>
        <w:autoSpaceDN w:val="0"/>
        <w:spacing w:line="560" w:lineRule="exact"/>
        <w:ind w:firstLine="572" w:firstLineChars="200"/>
        <w:rPr>
          <w:rFonts w:eastAsia="仿宋_GB2312" w:cs="Times New Roman"/>
          <w:sz w:val="32"/>
          <w:szCs w:val="32"/>
          <w:lang w:val="zh-CN"/>
        </w:rPr>
      </w:pPr>
      <w:r>
        <w:rPr>
          <w:rFonts w:hint="eastAsia" w:ascii="仿宋_GB2312" w:hAnsi="仿宋_GB2312" w:eastAsia="仿宋_GB2312" w:cs="仿宋_GB2312"/>
          <w:spacing w:val="-17"/>
          <w:sz w:val="32"/>
          <w:szCs w:val="32"/>
        </w:rPr>
        <w:t>马家营城中村项目位于金星片区，东至北京路，南至忠明路、蓝屿B区及金洲花园，</w:t>
      </w:r>
      <w:r>
        <w:rPr>
          <w:rFonts w:hint="eastAsia" w:ascii="仿宋_GB2312" w:hAnsi="仿宋_GB2312" w:eastAsia="仿宋_GB2312" w:cs="仿宋_GB2312"/>
          <w:sz w:val="32"/>
          <w:szCs w:val="32"/>
          <w:lang w:val="zh-CN"/>
        </w:rPr>
        <w:t>西至万华路</w:t>
      </w:r>
      <w:r>
        <w:rPr>
          <w:rFonts w:hint="eastAsia" w:ascii="仿宋_GB2312" w:hAnsi="仿宋_GB2312" w:eastAsia="仿宋_GB2312" w:cs="仿宋_GB2312"/>
          <w:spacing w:val="-17"/>
          <w:sz w:val="32"/>
          <w:szCs w:val="32"/>
        </w:rPr>
        <w:t>及</w:t>
      </w:r>
      <w:r>
        <w:rPr>
          <w:rFonts w:hint="eastAsia" w:ascii="仿宋_GB2312" w:hAnsi="仿宋_GB2312" w:eastAsia="仿宋_GB2312" w:cs="仿宋_GB2312"/>
          <w:sz w:val="32"/>
          <w:szCs w:val="32"/>
          <w:lang w:val="zh-CN"/>
        </w:rPr>
        <w:t>金星金利园小区</w:t>
      </w:r>
      <w:r>
        <w:rPr>
          <w:rFonts w:hint="eastAsia" w:ascii="仿宋_GB2312" w:hAnsi="仿宋_GB2312" w:eastAsia="仿宋_GB2312" w:cs="仿宋_GB2312"/>
          <w:spacing w:val="-17"/>
          <w:sz w:val="32"/>
          <w:szCs w:val="32"/>
        </w:rPr>
        <w:t>，北至鸿兴苑小区、</w:t>
      </w:r>
      <w:r>
        <w:rPr>
          <w:rFonts w:hint="eastAsia" w:ascii="仿宋_GB2312" w:hAnsi="仿宋_GB2312" w:eastAsia="仿宋_GB2312" w:cs="仿宋_GB2312"/>
          <w:sz w:val="32"/>
          <w:szCs w:val="32"/>
        </w:rPr>
        <w:t>北京路花苑</w:t>
      </w:r>
      <w:r>
        <w:rPr>
          <w:rFonts w:hint="eastAsia" w:ascii="仿宋_GB2312" w:hAnsi="仿宋_GB2312" w:eastAsia="仿宋_GB2312" w:cs="仿宋_GB2312"/>
          <w:spacing w:val="-17"/>
          <w:sz w:val="32"/>
          <w:szCs w:val="32"/>
        </w:rPr>
        <w:t>及</w:t>
      </w:r>
      <w:r>
        <w:rPr>
          <w:rFonts w:hint="eastAsia" w:ascii="仿宋_GB2312" w:hAnsi="仿宋_GB2312" w:eastAsia="仿宋_GB2312" w:cs="仿宋_GB2312"/>
          <w:sz w:val="32"/>
          <w:szCs w:val="32"/>
        </w:rPr>
        <w:t>财智心景</w:t>
      </w:r>
      <w:r>
        <w:rPr>
          <w:rFonts w:hint="eastAsia" w:ascii="仿宋_GB2312" w:hAnsi="仿宋_GB2312" w:eastAsia="仿宋_GB2312" w:cs="仿宋_GB2312"/>
          <w:spacing w:val="-17"/>
          <w:sz w:val="32"/>
          <w:szCs w:val="32"/>
        </w:rPr>
        <w:t>大厦。总用地面积</w:t>
      </w:r>
      <w:r>
        <w:rPr>
          <w:rFonts w:eastAsia="仿宋_GB2312" w:cs="Times New Roman"/>
          <w:spacing w:val="-17"/>
          <w:sz w:val="32"/>
          <w:szCs w:val="32"/>
        </w:rPr>
        <w:t>132.2亩</w:t>
      </w:r>
      <w:r>
        <w:rPr>
          <w:rFonts w:hint="eastAsia" w:eastAsia="仿宋_GB2312" w:cs="Times New Roman"/>
          <w:spacing w:val="-17"/>
          <w:sz w:val="32"/>
          <w:szCs w:val="32"/>
        </w:rPr>
        <w:t>。</w:t>
      </w:r>
      <w:r>
        <w:rPr>
          <w:rFonts w:eastAsia="仿宋_GB2312" w:cs="Times New Roman"/>
          <w:sz w:val="32"/>
          <w:szCs w:val="32"/>
          <w:lang w:val="zh-CN"/>
        </w:rPr>
        <w:t>该项目含6个建设地块，其中A3地块和A4地块为回迁房安置地块，此次控规调整范围为A2地块和A5地块。</w:t>
      </w:r>
    </w:p>
    <w:p>
      <w:pPr>
        <w:pStyle w:val="10"/>
        <w:widowControl w:val="0"/>
        <w:tabs>
          <w:tab w:val="left" w:pos="1783"/>
        </w:tabs>
        <w:autoSpaceDE w:val="0"/>
        <w:autoSpaceDN w:val="0"/>
        <w:spacing w:line="560" w:lineRule="exact"/>
        <w:ind w:firstLine="640"/>
        <w:rPr>
          <w:rFonts w:eastAsia="黑体" w:cs="Times New Roman"/>
          <w:sz w:val="32"/>
          <w:szCs w:val="32"/>
          <w:lang w:val="zh-CN"/>
        </w:rPr>
      </w:pPr>
      <w:r>
        <w:rPr>
          <w:rFonts w:hint="eastAsia" w:eastAsia="黑体" w:cs="Times New Roman"/>
          <w:sz w:val="32"/>
          <w:szCs w:val="32"/>
          <w:lang w:val="zh-CN"/>
        </w:rPr>
        <w:t>二、</w:t>
      </w:r>
      <w:r>
        <w:rPr>
          <w:rFonts w:eastAsia="黑体" w:cs="Times New Roman"/>
          <w:sz w:val="32"/>
          <w:szCs w:val="32"/>
          <w:lang w:val="zh-CN"/>
        </w:rPr>
        <w:t>调整内容</w:t>
      </w:r>
      <w:bookmarkStart w:id="0" w:name="_Toc4336372"/>
      <w:bookmarkStart w:id="1" w:name="_Toc519242537"/>
    </w:p>
    <w:p>
      <w:pPr>
        <w:pStyle w:val="10"/>
        <w:widowControl w:val="0"/>
        <w:tabs>
          <w:tab w:val="left" w:pos="1783"/>
        </w:tabs>
        <w:autoSpaceDE w:val="0"/>
        <w:autoSpaceDN w:val="0"/>
        <w:spacing w:line="560" w:lineRule="exact"/>
        <w:rPr>
          <w:rFonts w:eastAsia="黑体" w:cs="Times New Roman"/>
          <w:sz w:val="32"/>
          <w:szCs w:val="32"/>
          <w:lang w:val="zh-CN"/>
        </w:rPr>
      </w:pPr>
      <w:r>
        <w:rPr>
          <w:rFonts w:cs="Times New Roman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36830</wp:posOffset>
            </wp:positionV>
            <wp:extent cx="4679950" cy="2472690"/>
            <wp:effectExtent l="0" t="0" r="6350" b="3810"/>
            <wp:wrapTight wrapText="bothSides">
              <wp:wrapPolygon>
                <wp:start x="0" y="0"/>
                <wp:lineTo x="0" y="21467"/>
                <wp:lineTo x="21541" y="21467"/>
                <wp:lineTo x="21541" y="0"/>
                <wp:lineTo x="0" y="0"/>
              </wp:wrapPolygon>
            </wp:wrapTight>
            <wp:docPr id="2" name="图片 2" descr="马家营城中村控制性详细规划听证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马家营城中村控制性详细规划听证会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1" t="8241" r="53416" b="60203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0"/>
        <w:widowControl w:val="0"/>
        <w:tabs>
          <w:tab w:val="left" w:pos="1783"/>
        </w:tabs>
        <w:autoSpaceDE w:val="0"/>
        <w:autoSpaceDN w:val="0"/>
        <w:spacing w:line="560" w:lineRule="exact"/>
        <w:ind w:firstLine="640"/>
        <w:rPr>
          <w:rFonts w:eastAsia="黑体" w:cs="Times New Roman"/>
          <w:sz w:val="32"/>
          <w:szCs w:val="32"/>
          <w:lang w:val="zh-CN"/>
        </w:rPr>
      </w:pPr>
    </w:p>
    <w:p>
      <w:pPr>
        <w:pStyle w:val="10"/>
        <w:widowControl w:val="0"/>
        <w:tabs>
          <w:tab w:val="left" w:pos="1783"/>
        </w:tabs>
        <w:autoSpaceDE w:val="0"/>
        <w:autoSpaceDN w:val="0"/>
        <w:spacing w:line="560" w:lineRule="exact"/>
        <w:ind w:firstLine="640"/>
        <w:rPr>
          <w:rFonts w:eastAsia="黑体" w:cs="Times New Roman"/>
          <w:sz w:val="32"/>
          <w:szCs w:val="32"/>
          <w:lang w:val="zh-CN"/>
        </w:rPr>
      </w:pPr>
    </w:p>
    <w:p>
      <w:pPr>
        <w:pStyle w:val="10"/>
        <w:widowControl w:val="0"/>
        <w:tabs>
          <w:tab w:val="left" w:pos="1783"/>
        </w:tabs>
        <w:autoSpaceDE w:val="0"/>
        <w:autoSpaceDN w:val="0"/>
        <w:spacing w:line="560" w:lineRule="exact"/>
        <w:ind w:firstLine="640"/>
        <w:rPr>
          <w:rFonts w:eastAsia="黑体" w:cs="Times New Roman"/>
          <w:sz w:val="32"/>
          <w:szCs w:val="32"/>
          <w:lang w:val="zh-CN"/>
        </w:rPr>
      </w:pPr>
    </w:p>
    <w:p>
      <w:pPr>
        <w:pStyle w:val="10"/>
        <w:widowControl w:val="0"/>
        <w:tabs>
          <w:tab w:val="left" w:pos="1783"/>
        </w:tabs>
        <w:autoSpaceDE w:val="0"/>
        <w:autoSpaceDN w:val="0"/>
        <w:spacing w:line="560" w:lineRule="exact"/>
        <w:ind w:firstLine="640"/>
        <w:rPr>
          <w:rFonts w:eastAsia="黑体" w:cs="Times New Roman"/>
          <w:sz w:val="32"/>
          <w:szCs w:val="32"/>
          <w:lang w:val="zh-CN"/>
        </w:rPr>
      </w:pPr>
    </w:p>
    <w:p>
      <w:pPr>
        <w:pStyle w:val="10"/>
        <w:widowControl w:val="0"/>
        <w:tabs>
          <w:tab w:val="left" w:pos="1783"/>
        </w:tabs>
        <w:autoSpaceDE w:val="0"/>
        <w:autoSpaceDN w:val="0"/>
        <w:spacing w:line="560" w:lineRule="exact"/>
        <w:ind w:firstLine="640"/>
        <w:rPr>
          <w:rFonts w:eastAsia="黑体" w:cs="Times New Roman"/>
          <w:sz w:val="32"/>
          <w:szCs w:val="32"/>
          <w:lang w:val="zh-CN"/>
        </w:rPr>
      </w:pPr>
    </w:p>
    <w:p>
      <w:pPr>
        <w:pStyle w:val="10"/>
        <w:widowControl w:val="0"/>
        <w:tabs>
          <w:tab w:val="left" w:pos="1783"/>
        </w:tabs>
        <w:autoSpaceDE w:val="0"/>
        <w:autoSpaceDN w:val="0"/>
        <w:spacing w:line="560" w:lineRule="exact"/>
        <w:ind w:firstLine="640"/>
        <w:rPr>
          <w:rFonts w:eastAsia="黑体" w:cs="Times New Roman"/>
          <w:sz w:val="32"/>
          <w:szCs w:val="32"/>
          <w:lang w:val="zh-CN"/>
        </w:rPr>
      </w:pPr>
    </w:p>
    <w:p>
      <w:pPr>
        <w:pStyle w:val="10"/>
        <w:widowControl w:val="0"/>
        <w:tabs>
          <w:tab w:val="left" w:pos="1783"/>
        </w:tabs>
        <w:autoSpaceDE w:val="0"/>
        <w:autoSpaceDN w:val="0"/>
        <w:spacing w:line="560" w:lineRule="exact"/>
        <w:rPr>
          <w:rFonts w:eastAsia="黑体" w:cs="Times New Roman"/>
          <w:sz w:val="32"/>
          <w:szCs w:val="32"/>
          <w:lang w:val="zh-CN"/>
        </w:rPr>
      </w:pPr>
      <w:r>
        <w:rPr>
          <w:rFonts w:cs="Times New Roma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138430</wp:posOffset>
            </wp:positionV>
            <wp:extent cx="4679950" cy="2472690"/>
            <wp:effectExtent l="0" t="0" r="6350" b="3810"/>
            <wp:wrapNone/>
            <wp:docPr id="3" name="图片 3" descr="马家营城中村控制性详细规划听证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马家营城中村控制性详细规划听证会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5" t="43802" r="53172" b="24642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0"/>
        <w:widowControl w:val="0"/>
        <w:tabs>
          <w:tab w:val="left" w:pos="1783"/>
        </w:tabs>
        <w:autoSpaceDE w:val="0"/>
        <w:autoSpaceDN w:val="0"/>
        <w:spacing w:line="560" w:lineRule="exact"/>
        <w:ind w:firstLine="640"/>
        <w:rPr>
          <w:rFonts w:eastAsia="仿宋_GB2312" w:cs="Times New Roman"/>
          <w:sz w:val="32"/>
          <w:szCs w:val="32"/>
        </w:rPr>
      </w:pPr>
    </w:p>
    <w:p>
      <w:pPr>
        <w:pStyle w:val="10"/>
        <w:widowControl w:val="0"/>
        <w:tabs>
          <w:tab w:val="left" w:pos="1783"/>
        </w:tabs>
        <w:autoSpaceDE w:val="0"/>
        <w:autoSpaceDN w:val="0"/>
        <w:spacing w:line="560" w:lineRule="exact"/>
        <w:ind w:firstLine="640"/>
        <w:rPr>
          <w:rFonts w:eastAsia="仿宋_GB2312" w:cs="Times New Roman"/>
          <w:sz w:val="32"/>
          <w:szCs w:val="32"/>
        </w:rPr>
      </w:pPr>
    </w:p>
    <w:p>
      <w:pPr>
        <w:pStyle w:val="10"/>
        <w:widowControl w:val="0"/>
        <w:tabs>
          <w:tab w:val="left" w:pos="1783"/>
        </w:tabs>
        <w:autoSpaceDE w:val="0"/>
        <w:autoSpaceDN w:val="0"/>
        <w:spacing w:line="560" w:lineRule="exact"/>
        <w:ind w:firstLine="640"/>
        <w:rPr>
          <w:rFonts w:eastAsia="仿宋_GB2312" w:cs="Times New Roman"/>
          <w:sz w:val="32"/>
          <w:szCs w:val="32"/>
        </w:rPr>
      </w:pPr>
    </w:p>
    <w:p>
      <w:pPr>
        <w:pStyle w:val="10"/>
        <w:widowControl w:val="0"/>
        <w:tabs>
          <w:tab w:val="left" w:pos="1783"/>
        </w:tabs>
        <w:autoSpaceDE w:val="0"/>
        <w:autoSpaceDN w:val="0"/>
        <w:spacing w:line="560" w:lineRule="exact"/>
        <w:ind w:firstLine="640"/>
        <w:rPr>
          <w:rFonts w:eastAsia="仿宋_GB2312" w:cs="Times New Roman"/>
          <w:sz w:val="32"/>
          <w:szCs w:val="32"/>
        </w:rPr>
      </w:pPr>
    </w:p>
    <w:p>
      <w:pPr>
        <w:pStyle w:val="10"/>
        <w:widowControl w:val="0"/>
        <w:tabs>
          <w:tab w:val="left" w:pos="1783"/>
        </w:tabs>
        <w:autoSpaceDE w:val="0"/>
        <w:autoSpaceDN w:val="0"/>
        <w:spacing w:line="560" w:lineRule="exact"/>
        <w:ind w:firstLine="640"/>
        <w:rPr>
          <w:rFonts w:eastAsia="仿宋_GB2312" w:cs="Times New Roman"/>
          <w:sz w:val="32"/>
          <w:szCs w:val="32"/>
        </w:rPr>
      </w:pPr>
    </w:p>
    <w:p>
      <w:pPr>
        <w:pStyle w:val="3"/>
        <w:numPr>
          <w:ilvl w:val="0"/>
          <w:numId w:val="0"/>
        </w:numPr>
        <w:spacing w:line="560" w:lineRule="exact"/>
        <w:ind w:firstLine="643" w:firstLineChars="200"/>
        <w:rPr>
          <w:rFonts w:ascii="Times New Roman" w:hAnsi="Times New Roman" w:eastAsia="仿宋_GB2312" w:cs="Times New Roman"/>
          <w:spacing w:val="0"/>
          <w:kern w:val="2"/>
        </w:rPr>
      </w:pPr>
      <w:r>
        <w:rPr>
          <w:rFonts w:ascii="Times New Roman" w:hAnsi="Times New Roman" w:eastAsia="仿宋_GB2312" w:cs="Times New Roman"/>
          <w:spacing w:val="0"/>
          <w:kern w:val="2"/>
        </w:rPr>
        <w:t>调整具体情况</w:t>
      </w:r>
      <w:bookmarkEnd w:id="0"/>
      <w:bookmarkEnd w:id="1"/>
      <w:r>
        <w:rPr>
          <w:rFonts w:ascii="Times New Roman" w:hAnsi="Times New Roman" w:eastAsia="仿宋_GB2312" w:cs="Times New Roman"/>
          <w:spacing w:val="0"/>
          <w:kern w:val="2"/>
        </w:rPr>
        <w:t>：</w:t>
      </w:r>
    </w:p>
    <w:p>
      <w:pPr>
        <w:spacing w:line="560" w:lineRule="exact"/>
        <w:ind w:firstLine="640" w:firstLineChars="200"/>
        <w:rPr>
          <w:rFonts w:eastAsia="仿宋_GB2312" w:cs="Times New Roman"/>
          <w:sz w:val="32"/>
          <w:szCs w:val="32"/>
        </w:rPr>
      </w:pPr>
      <w:r>
        <w:rPr>
          <w:rFonts w:eastAsia="仿宋_GB2312" w:cs="Times New Roman"/>
          <w:sz w:val="32"/>
          <w:szCs w:val="32"/>
        </w:rPr>
        <w:t>1.A2住宅地块容积率由3.8调整为3.93；</w:t>
      </w:r>
    </w:p>
    <w:p>
      <w:pPr>
        <w:spacing w:line="560" w:lineRule="exact"/>
        <w:ind w:firstLine="640" w:firstLineChars="200"/>
        <w:rPr>
          <w:rFonts w:eastAsia="仿宋_GB2312" w:cs="Times New Roman"/>
          <w:sz w:val="32"/>
          <w:szCs w:val="32"/>
        </w:rPr>
      </w:pPr>
      <w:r>
        <w:rPr>
          <w:rFonts w:eastAsia="仿宋_GB2312" w:cs="Times New Roman"/>
          <w:sz w:val="32"/>
          <w:szCs w:val="32"/>
        </w:rPr>
        <w:t>2.A5商住混合地块容积率由5.73调整为5.86；商住比由25.88：74.12调整为33.5：66.5。</w:t>
      </w:r>
    </w:p>
    <w:p>
      <w:pPr>
        <w:spacing w:line="560" w:lineRule="exact"/>
        <w:ind w:firstLine="572" w:firstLineChars="200"/>
        <w:rPr>
          <w:rFonts w:eastAsia="仿宋_GB2312" w:cs="Times New Roman"/>
          <w:sz w:val="32"/>
          <w:szCs w:val="32"/>
        </w:rPr>
      </w:pPr>
      <w:r>
        <w:rPr>
          <w:rFonts w:eastAsia="仿宋" w:cs="Times New Roman"/>
          <w:spacing w:val="-17"/>
          <w:sz w:val="32"/>
          <w:szCs w:val="32"/>
        </w:rPr>
        <w:t>项目内各地块用地性质不做调整，其余指标无变化。</w:t>
      </w:r>
    </w:p>
    <w:p>
      <w:pPr>
        <w:spacing w:line="560" w:lineRule="exact"/>
        <w:ind w:firstLine="640" w:firstLineChars="200"/>
        <w:rPr>
          <w:rFonts w:eastAsia="仿宋_GB2312" w:cs="Times New Roman"/>
          <w:sz w:val="32"/>
          <w:szCs w:val="32"/>
        </w:rPr>
      </w:pPr>
      <w:r>
        <w:rPr>
          <w:rFonts w:eastAsia="仿宋_GB2312" w:cs="Times New Roman"/>
          <w:sz w:val="32"/>
          <w:szCs w:val="32"/>
        </w:rPr>
        <w:t>项目内综合容积率均为4.97。</w:t>
      </w:r>
    </w:p>
    <w:p>
      <w:pPr>
        <w:pStyle w:val="3"/>
        <w:numPr>
          <w:ilvl w:val="0"/>
          <w:numId w:val="0"/>
        </w:numPr>
        <w:spacing w:line="560" w:lineRule="exact"/>
        <w:ind w:firstLine="651" w:firstLineChars="200"/>
        <w:rPr>
          <w:rFonts w:ascii="Times New Roman" w:hAnsi="Times New Roman" w:eastAsia="仿宋_GB2312" w:cs="Times New Roman"/>
        </w:rPr>
      </w:pPr>
      <w:bookmarkStart w:id="2" w:name="_Toc4336373"/>
      <w:r>
        <w:rPr>
          <w:rFonts w:ascii="Times New Roman" w:hAnsi="Times New Roman" w:eastAsia="仿宋_GB2312" w:cs="Times New Roman"/>
        </w:rPr>
        <w:t>调整前后主要指标对比</w:t>
      </w:r>
      <w:bookmarkEnd w:id="2"/>
      <w:r>
        <w:rPr>
          <w:rFonts w:ascii="Times New Roman" w:hAnsi="Times New Roman" w:eastAsia="仿宋_GB2312" w:cs="Times New Roman"/>
        </w:rPr>
        <w:t>：</w:t>
      </w:r>
    </w:p>
    <w:tbl>
      <w:tblPr>
        <w:tblStyle w:val="8"/>
        <w:tblW w:w="8504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59"/>
        <w:gridCol w:w="1797"/>
        <w:gridCol w:w="1830"/>
        <w:gridCol w:w="1820"/>
        <w:gridCol w:w="1598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0" w:hRule="atLeast"/>
          <w:jc w:val="center"/>
        </w:trPr>
        <w:tc>
          <w:tcPr>
            <w:tcW w:w="14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 w:val="0"/>
              <w:spacing w:line="560" w:lineRule="exact"/>
              <w:jc w:val="center"/>
              <w:rPr>
                <w:rFonts w:eastAsia="黑体" w:cs="Times New Roman"/>
                <w:sz w:val="32"/>
                <w:szCs w:val="32"/>
              </w:rPr>
            </w:pPr>
            <w:r>
              <w:rPr>
                <w:rFonts w:eastAsia="黑体" w:cs="Times New Roman"/>
                <w:sz w:val="32"/>
                <w:szCs w:val="32"/>
              </w:rPr>
              <w:t>指标</w:t>
            </w:r>
          </w:p>
        </w:tc>
        <w:tc>
          <w:tcPr>
            <w:tcW w:w="362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 w:val="0"/>
              <w:spacing w:line="560" w:lineRule="exact"/>
              <w:jc w:val="center"/>
              <w:rPr>
                <w:rFonts w:eastAsia="黑体" w:cs="Times New Roman"/>
                <w:sz w:val="32"/>
                <w:szCs w:val="32"/>
              </w:rPr>
            </w:pPr>
            <w:r>
              <w:rPr>
                <w:rFonts w:eastAsia="黑体" w:cs="Times New Roman"/>
                <w:sz w:val="32"/>
                <w:szCs w:val="32"/>
              </w:rPr>
              <w:t>A2地块</w:t>
            </w:r>
          </w:p>
        </w:tc>
        <w:tc>
          <w:tcPr>
            <w:tcW w:w="3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 w:val="0"/>
              <w:spacing w:line="560" w:lineRule="exact"/>
              <w:jc w:val="center"/>
              <w:rPr>
                <w:rFonts w:eastAsia="黑体" w:cs="Times New Roman"/>
                <w:sz w:val="32"/>
                <w:szCs w:val="32"/>
              </w:rPr>
            </w:pPr>
            <w:r>
              <w:rPr>
                <w:rFonts w:eastAsia="黑体" w:cs="Times New Roman"/>
                <w:sz w:val="32"/>
                <w:szCs w:val="32"/>
              </w:rPr>
              <w:t>A5地块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5" w:hRule="atLeast"/>
          <w:jc w:val="center"/>
        </w:trPr>
        <w:tc>
          <w:tcPr>
            <w:tcW w:w="14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 w:val="0"/>
              <w:spacing w:line="560" w:lineRule="exact"/>
              <w:jc w:val="center"/>
              <w:rPr>
                <w:rFonts w:eastAsia="黑体" w:cs="Times New Roman"/>
                <w:sz w:val="32"/>
                <w:szCs w:val="32"/>
              </w:rPr>
            </w:pPr>
          </w:p>
        </w:tc>
        <w:tc>
          <w:tcPr>
            <w:tcW w:w="1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 w:val="0"/>
              <w:spacing w:line="560" w:lineRule="exact"/>
              <w:jc w:val="center"/>
              <w:rPr>
                <w:rFonts w:eastAsia="黑体" w:cs="Times New Roman"/>
                <w:sz w:val="32"/>
                <w:szCs w:val="32"/>
              </w:rPr>
            </w:pPr>
            <w:r>
              <w:rPr>
                <w:rFonts w:eastAsia="黑体" w:cs="Times New Roman"/>
                <w:sz w:val="32"/>
                <w:szCs w:val="32"/>
              </w:rPr>
              <w:t>调整前</w:t>
            </w:r>
          </w:p>
        </w:tc>
        <w:tc>
          <w:tcPr>
            <w:tcW w:w="1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 w:val="0"/>
              <w:spacing w:line="560" w:lineRule="exact"/>
              <w:jc w:val="center"/>
              <w:rPr>
                <w:rFonts w:eastAsia="黑体" w:cs="Times New Roman"/>
                <w:sz w:val="32"/>
                <w:szCs w:val="32"/>
              </w:rPr>
            </w:pPr>
            <w:r>
              <w:rPr>
                <w:rFonts w:eastAsia="黑体" w:cs="Times New Roman"/>
                <w:sz w:val="32"/>
                <w:szCs w:val="32"/>
              </w:rPr>
              <w:t>调整后</w:t>
            </w:r>
          </w:p>
        </w:tc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 w:val="0"/>
              <w:spacing w:line="560" w:lineRule="exact"/>
              <w:jc w:val="center"/>
              <w:rPr>
                <w:rFonts w:eastAsia="黑体" w:cs="Times New Roman"/>
                <w:sz w:val="32"/>
                <w:szCs w:val="32"/>
              </w:rPr>
            </w:pPr>
            <w:r>
              <w:rPr>
                <w:rFonts w:eastAsia="黑体" w:cs="Times New Roman"/>
                <w:sz w:val="32"/>
                <w:szCs w:val="32"/>
              </w:rPr>
              <w:t>调整前</w:t>
            </w:r>
          </w:p>
        </w:tc>
        <w:tc>
          <w:tcPr>
            <w:tcW w:w="15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 w:val="0"/>
              <w:spacing w:line="560" w:lineRule="exact"/>
              <w:jc w:val="center"/>
              <w:rPr>
                <w:rFonts w:eastAsia="黑体" w:cs="Times New Roman"/>
                <w:sz w:val="32"/>
                <w:szCs w:val="32"/>
              </w:rPr>
            </w:pPr>
            <w:r>
              <w:rPr>
                <w:rFonts w:eastAsia="黑体" w:cs="Times New Roman"/>
                <w:sz w:val="32"/>
                <w:szCs w:val="32"/>
              </w:rPr>
              <w:t>调整后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5" w:hRule="atLeast"/>
          <w:jc w:val="center"/>
        </w:trPr>
        <w:tc>
          <w:tcPr>
            <w:tcW w:w="14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 w:val="0"/>
              <w:spacing w:line="560" w:lineRule="exact"/>
              <w:jc w:val="center"/>
              <w:rPr>
                <w:rFonts w:eastAsia="黑体" w:cs="Times New Roman"/>
                <w:sz w:val="32"/>
                <w:szCs w:val="32"/>
              </w:rPr>
            </w:pPr>
            <w:r>
              <w:rPr>
                <w:rFonts w:eastAsia="黑体" w:cs="Times New Roman"/>
                <w:sz w:val="32"/>
                <w:szCs w:val="32"/>
              </w:rPr>
              <w:t>容积率</w:t>
            </w:r>
          </w:p>
        </w:tc>
        <w:tc>
          <w:tcPr>
            <w:tcW w:w="1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 w:val="0"/>
              <w:spacing w:line="560" w:lineRule="exact"/>
              <w:jc w:val="center"/>
              <w:rPr>
                <w:rFonts w:eastAsia="黑体" w:cs="Times New Roman"/>
                <w:sz w:val="32"/>
                <w:szCs w:val="32"/>
              </w:rPr>
            </w:pPr>
            <w:r>
              <w:rPr>
                <w:rFonts w:eastAsia="黑体" w:cs="Times New Roman"/>
                <w:sz w:val="32"/>
                <w:szCs w:val="32"/>
              </w:rPr>
              <w:t>3.8</w:t>
            </w:r>
          </w:p>
        </w:tc>
        <w:tc>
          <w:tcPr>
            <w:tcW w:w="1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 w:val="0"/>
              <w:spacing w:line="560" w:lineRule="exact"/>
              <w:jc w:val="center"/>
              <w:rPr>
                <w:rFonts w:eastAsia="黑体" w:cs="Times New Roman"/>
                <w:sz w:val="32"/>
                <w:szCs w:val="32"/>
              </w:rPr>
            </w:pPr>
            <w:r>
              <w:rPr>
                <w:rFonts w:eastAsia="黑体" w:cs="Times New Roman"/>
                <w:sz w:val="32"/>
                <w:szCs w:val="32"/>
              </w:rPr>
              <w:t>3.93</w:t>
            </w:r>
          </w:p>
        </w:tc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 w:val="0"/>
              <w:spacing w:line="560" w:lineRule="exact"/>
              <w:jc w:val="center"/>
              <w:rPr>
                <w:rFonts w:eastAsia="黑体" w:cs="Times New Roman"/>
                <w:sz w:val="32"/>
                <w:szCs w:val="32"/>
              </w:rPr>
            </w:pPr>
            <w:r>
              <w:rPr>
                <w:rFonts w:eastAsia="黑体" w:cs="Times New Roman"/>
                <w:sz w:val="32"/>
                <w:szCs w:val="32"/>
              </w:rPr>
              <w:t>5.73</w:t>
            </w:r>
          </w:p>
        </w:tc>
        <w:tc>
          <w:tcPr>
            <w:tcW w:w="15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 w:val="0"/>
              <w:spacing w:line="560" w:lineRule="exact"/>
              <w:jc w:val="center"/>
              <w:rPr>
                <w:rFonts w:eastAsia="黑体" w:cs="Times New Roman"/>
                <w:sz w:val="32"/>
                <w:szCs w:val="32"/>
              </w:rPr>
            </w:pPr>
            <w:r>
              <w:rPr>
                <w:rFonts w:eastAsia="黑体" w:cs="Times New Roman"/>
                <w:sz w:val="32"/>
                <w:szCs w:val="32"/>
              </w:rPr>
              <w:t>5.86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  <w:jc w:val="center"/>
        </w:trPr>
        <w:tc>
          <w:tcPr>
            <w:tcW w:w="14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 w:val="0"/>
              <w:spacing w:line="560" w:lineRule="exact"/>
              <w:jc w:val="center"/>
              <w:rPr>
                <w:rFonts w:eastAsia="黑体" w:cs="Times New Roman"/>
                <w:sz w:val="32"/>
                <w:szCs w:val="32"/>
              </w:rPr>
            </w:pPr>
            <w:r>
              <w:rPr>
                <w:rFonts w:eastAsia="黑体" w:cs="Times New Roman"/>
                <w:sz w:val="32"/>
                <w:szCs w:val="32"/>
              </w:rPr>
              <w:t>建筑密度</w:t>
            </w:r>
          </w:p>
        </w:tc>
        <w:tc>
          <w:tcPr>
            <w:tcW w:w="1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 w:val="0"/>
              <w:spacing w:line="560" w:lineRule="exact"/>
              <w:jc w:val="center"/>
              <w:rPr>
                <w:rFonts w:eastAsia="黑体" w:cs="Times New Roman"/>
                <w:sz w:val="32"/>
                <w:szCs w:val="32"/>
              </w:rPr>
            </w:pPr>
            <w:r>
              <w:rPr>
                <w:rFonts w:eastAsia="黑体" w:cs="Times New Roman"/>
                <w:sz w:val="32"/>
                <w:szCs w:val="32"/>
              </w:rPr>
              <w:t>25%</w:t>
            </w:r>
          </w:p>
        </w:tc>
        <w:tc>
          <w:tcPr>
            <w:tcW w:w="1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 w:val="0"/>
              <w:spacing w:line="560" w:lineRule="exact"/>
              <w:jc w:val="center"/>
              <w:rPr>
                <w:rFonts w:eastAsia="黑体" w:cs="Times New Roman"/>
                <w:sz w:val="32"/>
                <w:szCs w:val="32"/>
              </w:rPr>
            </w:pPr>
            <w:r>
              <w:rPr>
                <w:rFonts w:eastAsia="黑体" w:cs="Times New Roman"/>
                <w:sz w:val="32"/>
                <w:szCs w:val="32"/>
              </w:rPr>
              <w:t>25%</w:t>
            </w:r>
          </w:p>
        </w:tc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 w:val="0"/>
              <w:spacing w:line="560" w:lineRule="exact"/>
              <w:jc w:val="center"/>
              <w:rPr>
                <w:rFonts w:eastAsia="黑体" w:cs="Times New Roman"/>
                <w:sz w:val="32"/>
                <w:szCs w:val="32"/>
              </w:rPr>
            </w:pPr>
            <w:r>
              <w:rPr>
                <w:rFonts w:eastAsia="黑体" w:cs="Times New Roman"/>
                <w:sz w:val="32"/>
                <w:szCs w:val="32"/>
              </w:rPr>
              <w:t>28%</w:t>
            </w:r>
          </w:p>
        </w:tc>
        <w:tc>
          <w:tcPr>
            <w:tcW w:w="15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 w:val="0"/>
              <w:spacing w:line="560" w:lineRule="exact"/>
              <w:jc w:val="center"/>
              <w:rPr>
                <w:rFonts w:eastAsia="黑体" w:cs="Times New Roman"/>
                <w:sz w:val="32"/>
                <w:szCs w:val="32"/>
              </w:rPr>
            </w:pPr>
            <w:r>
              <w:rPr>
                <w:rFonts w:eastAsia="黑体" w:cs="Times New Roman"/>
                <w:sz w:val="32"/>
                <w:szCs w:val="32"/>
              </w:rPr>
              <w:t>28%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5" w:hRule="atLeast"/>
          <w:jc w:val="center"/>
        </w:trPr>
        <w:tc>
          <w:tcPr>
            <w:tcW w:w="14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 w:val="0"/>
              <w:spacing w:line="560" w:lineRule="exact"/>
              <w:jc w:val="center"/>
              <w:rPr>
                <w:rFonts w:eastAsia="黑体" w:cs="Times New Roman"/>
                <w:sz w:val="32"/>
                <w:szCs w:val="32"/>
              </w:rPr>
            </w:pPr>
            <w:r>
              <w:rPr>
                <w:rFonts w:eastAsia="黑体" w:cs="Times New Roman"/>
                <w:sz w:val="32"/>
                <w:szCs w:val="32"/>
              </w:rPr>
              <w:t>绿地率</w:t>
            </w:r>
          </w:p>
        </w:tc>
        <w:tc>
          <w:tcPr>
            <w:tcW w:w="1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 w:val="0"/>
              <w:spacing w:line="560" w:lineRule="exact"/>
              <w:jc w:val="center"/>
              <w:rPr>
                <w:rFonts w:eastAsia="黑体" w:cs="Times New Roman"/>
                <w:sz w:val="32"/>
                <w:szCs w:val="32"/>
              </w:rPr>
            </w:pPr>
            <w:r>
              <w:rPr>
                <w:rFonts w:eastAsia="黑体" w:cs="Times New Roman"/>
                <w:sz w:val="32"/>
                <w:szCs w:val="32"/>
              </w:rPr>
              <w:t>40%</w:t>
            </w:r>
          </w:p>
        </w:tc>
        <w:tc>
          <w:tcPr>
            <w:tcW w:w="1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 w:val="0"/>
              <w:spacing w:line="560" w:lineRule="exact"/>
              <w:jc w:val="center"/>
              <w:rPr>
                <w:rFonts w:eastAsia="黑体" w:cs="Times New Roman"/>
                <w:sz w:val="32"/>
                <w:szCs w:val="32"/>
              </w:rPr>
            </w:pPr>
            <w:r>
              <w:rPr>
                <w:rFonts w:eastAsia="黑体" w:cs="Times New Roman"/>
                <w:sz w:val="32"/>
                <w:szCs w:val="32"/>
              </w:rPr>
              <w:t>40%</w:t>
            </w:r>
          </w:p>
        </w:tc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 w:val="0"/>
              <w:spacing w:line="560" w:lineRule="exact"/>
              <w:jc w:val="center"/>
              <w:rPr>
                <w:rFonts w:eastAsia="黑体" w:cs="Times New Roman"/>
                <w:sz w:val="32"/>
                <w:szCs w:val="32"/>
              </w:rPr>
            </w:pPr>
            <w:r>
              <w:rPr>
                <w:rFonts w:eastAsia="黑体" w:cs="Times New Roman"/>
                <w:sz w:val="32"/>
                <w:szCs w:val="32"/>
              </w:rPr>
              <w:t>29%</w:t>
            </w:r>
          </w:p>
        </w:tc>
        <w:tc>
          <w:tcPr>
            <w:tcW w:w="15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 w:val="0"/>
              <w:spacing w:line="560" w:lineRule="exact"/>
              <w:jc w:val="center"/>
              <w:rPr>
                <w:rFonts w:eastAsia="黑体" w:cs="Times New Roman"/>
                <w:sz w:val="32"/>
                <w:szCs w:val="32"/>
              </w:rPr>
            </w:pPr>
            <w:r>
              <w:rPr>
                <w:rFonts w:eastAsia="黑体" w:cs="Times New Roman"/>
                <w:sz w:val="32"/>
                <w:szCs w:val="32"/>
              </w:rPr>
              <w:t>29%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5" w:hRule="atLeast"/>
          <w:jc w:val="center"/>
        </w:trPr>
        <w:tc>
          <w:tcPr>
            <w:tcW w:w="14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 w:val="0"/>
              <w:spacing w:line="560" w:lineRule="exact"/>
              <w:jc w:val="center"/>
              <w:rPr>
                <w:rFonts w:eastAsia="黑体" w:cs="Times New Roman"/>
                <w:sz w:val="32"/>
                <w:szCs w:val="32"/>
              </w:rPr>
            </w:pPr>
            <w:r>
              <w:rPr>
                <w:rFonts w:eastAsia="黑体" w:cs="Times New Roman"/>
                <w:sz w:val="32"/>
                <w:szCs w:val="32"/>
              </w:rPr>
              <w:t>商住比</w:t>
            </w:r>
          </w:p>
        </w:tc>
        <w:tc>
          <w:tcPr>
            <w:tcW w:w="1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 w:val="0"/>
              <w:spacing w:line="560" w:lineRule="exact"/>
              <w:jc w:val="center"/>
              <w:rPr>
                <w:rFonts w:eastAsia="黑体" w:cs="Times New Roman"/>
                <w:sz w:val="32"/>
                <w:szCs w:val="32"/>
              </w:rPr>
            </w:pPr>
            <w:r>
              <w:rPr>
                <w:rFonts w:eastAsia="黑体" w:cs="Times New Roman"/>
                <w:sz w:val="32"/>
                <w:szCs w:val="32"/>
              </w:rPr>
              <w:t>-</w:t>
            </w:r>
          </w:p>
        </w:tc>
        <w:tc>
          <w:tcPr>
            <w:tcW w:w="1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 w:val="0"/>
              <w:spacing w:line="560" w:lineRule="exact"/>
              <w:jc w:val="center"/>
              <w:rPr>
                <w:rFonts w:eastAsia="黑体" w:cs="Times New Roman"/>
                <w:sz w:val="32"/>
                <w:szCs w:val="32"/>
              </w:rPr>
            </w:pPr>
            <w:r>
              <w:rPr>
                <w:rFonts w:eastAsia="黑体" w:cs="Times New Roman"/>
                <w:sz w:val="32"/>
                <w:szCs w:val="32"/>
              </w:rPr>
              <w:t>-</w:t>
            </w:r>
          </w:p>
        </w:tc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 w:val="0"/>
              <w:spacing w:line="560" w:lineRule="exact"/>
              <w:jc w:val="center"/>
              <w:rPr>
                <w:rFonts w:eastAsia="黑体" w:cs="Times New Roman"/>
                <w:sz w:val="32"/>
                <w:szCs w:val="32"/>
              </w:rPr>
            </w:pPr>
            <w:r>
              <w:rPr>
                <w:rFonts w:eastAsia="黑体" w:cs="Times New Roman"/>
                <w:sz w:val="32"/>
                <w:szCs w:val="32"/>
              </w:rPr>
              <w:t>R≤22.58%</w:t>
            </w:r>
          </w:p>
        </w:tc>
        <w:tc>
          <w:tcPr>
            <w:tcW w:w="15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 w:val="0"/>
              <w:spacing w:line="560" w:lineRule="exact"/>
              <w:jc w:val="center"/>
              <w:rPr>
                <w:rFonts w:eastAsia="黑体" w:cs="Times New Roman"/>
                <w:sz w:val="32"/>
                <w:szCs w:val="32"/>
              </w:rPr>
            </w:pPr>
            <w:r>
              <w:rPr>
                <w:rFonts w:eastAsia="黑体" w:cs="Times New Roman"/>
                <w:sz w:val="32"/>
                <w:szCs w:val="32"/>
              </w:rPr>
              <w:t>R≤33.50%</w:t>
            </w:r>
          </w:p>
        </w:tc>
      </w:tr>
    </w:tbl>
    <w:p>
      <w:pPr>
        <w:widowControl w:val="0"/>
        <w:spacing w:line="560" w:lineRule="exact"/>
        <w:ind w:firstLine="640" w:firstLineChars="200"/>
        <w:rPr>
          <w:rFonts w:eastAsia="黑体" w:cs="Times New Roman"/>
          <w:sz w:val="32"/>
          <w:szCs w:val="32"/>
          <w:lang w:val="zh-CN"/>
        </w:rPr>
      </w:pPr>
    </w:p>
    <w:p>
      <w:pPr>
        <w:widowControl w:val="0"/>
        <w:spacing w:line="560" w:lineRule="exact"/>
        <w:ind w:firstLine="643" w:firstLineChars="200"/>
        <w:rPr>
          <w:rFonts w:eastAsia="仿宋_GB2312" w:cs="Times New Roman"/>
          <w:b/>
          <w:bCs/>
          <w:sz w:val="32"/>
          <w:szCs w:val="32"/>
        </w:rPr>
      </w:pPr>
      <w:r>
        <w:rPr>
          <w:rFonts w:hint="eastAsia" w:eastAsia="黑体" w:cs="Times New Roman"/>
          <w:b/>
          <w:bCs/>
          <w:sz w:val="32"/>
          <w:szCs w:val="32"/>
          <w:lang w:val="zh-CN"/>
        </w:rPr>
        <w:t>三、</w:t>
      </w:r>
      <w:r>
        <w:rPr>
          <w:rFonts w:eastAsia="黑体" w:cs="Times New Roman"/>
          <w:b/>
          <w:bCs/>
          <w:sz w:val="32"/>
          <w:szCs w:val="32"/>
          <w:lang w:val="zh-CN"/>
        </w:rPr>
        <w:t>调整依据</w:t>
      </w:r>
    </w:p>
    <w:p>
      <w:pPr>
        <w:widowControl w:val="0"/>
        <w:autoSpaceDE w:val="0"/>
        <w:autoSpaceDN w:val="0"/>
        <w:spacing w:line="560" w:lineRule="exact"/>
        <w:ind w:firstLine="640" w:firstLineChars="200"/>
        <w:rPr>
          <w:rFonts w:eastAsia="仿宋_GB2312" w:cs="Times New Roman"/>
          <w:sz w:val="32"/>
          <w:szCs w:val="32"/>
          <w:lang w:val="zh-CN"/>
        </w:rPr>
      </w:pPr>
      <w:r>
        <w:rPr>
          <w:rFonts w:eastAsia="仿宋_GB2312" w:cs="Times New Roman"/>
          <w:sz w:val="32"/>
          <w:szCs w:val="32"/>
          <w:lang w:val="zh-CN"/>
        </w:rPr>
        <w:t>2021年3月22日取得市政府同意启动《盘龙区马家营城中村改造项目控制性详细规划调整方案》工作批复，控规调整范围为A2、A5地块。</w:t>
      </w:r>
    </w:p>
    <w:p>
      <w:pPr>
        <w:widowControl w:val="0"/>
        <w:autoSpaceDE w:val="0"/>
        <w:autoSpaceDN w:val="0"/>
        <w:spacing w:line="560" w:lineRule="exact"/>
        <w:ind w:firstLine="640" w:firstLineChars="200"/>
        <w:rPr>
          <w:rFonts w:eastAsia="仿宋_GB2312" w:cs="Times New Roman"/>
          <w:sz w:val="32"/>
          <w:szCs w:val="32"/>
          <w:lang w:val="zh-CN"/>
        </w:rPr>
      </w:pPr>
      <w:r>
        <w:rPr>
          <w:rFonts w:eastAsia="仿宋_GB2312" w:cs="Times New Roman"/>
          <w:sz w:val="32"/>
          <w:szCs w:val="32"/>
          <w:lang w:val="zh-CN"/>
        </w:rPr>
        <w:t>项目于</w:t>
      </w:r>
      <w:r>
        <w:rPr>
          <w:rFonts w:eastAsia="仿宋_GB2312" w:cs="Times New Roman"/>
          <w:sz w:val="32"/>
          <w:szCs w:val="32"/>
        </w:rPr>
        <w:t>2021</w:t>
      </w:r>
      <w:r>
        <w:rPr>
          <w:rFonts w:eastAsia="仿宋_GB2312" w:cs="Times New Roman"/>
          <w:sz w:val="32"/>
          <w:szCs w:val="32"/>
          <w:lang w:val="zh-CN"/>
        </w:rPr>
        <w:t>年</w:t>
      </w:r>
      <w:r>
        <w:rPr>
          <w:rFonts w:eastAsia="仿宋_GB2312" w:cs="Times New Roman"/>
          <w:sz w:val="32"/>
          <w:szCs w:val="32"/>
        </w:rPr>
        <w:t>1</w:t>
      </w:r>
      <w:r>
        <w:rPr>
          <w:rFonts w:eastAsia="仿宋_GB2312" w:cs="Times New Roman"/>
          <w:sz w:val="32"/>
          <w:szCs w:val="32"/>
          <w:lang w:val="zh-CN"/>
        </w:rPr>
        <w:t>月</w:t>
      </w:r>
      <w:r>
        <w:rPr>
          <w:rFonts w:eastAsia="仿宋_GB2312" w:cs="Times New Roman"/>
          <w:sz w:val="32"/>
          <w:szCs w:val="32"/>
        </w:rPr>
        <w:t>26</w:t>
      </w:r>
      <w:r>
        <w:rPr>
          <w:rFonts w:eastAsia="仿宋_GB2312" w:cs="Times New Roman"/>
          <w:sz w:val="32"/>
          <w:szCs w:val="32"/>
          <w:lang w:val="zh-CN"/>
        </w:rPr>
        <w:t>日通过了控规修改必要性论证及控规修改方案专家评审会评审，取得了专家评审意见。</w:t>
      </w:r>
    </w:p>
    <w:p>
      <w:pPr>
        <w:widowControl w:val="0"/>
        <w:spacing w:line="560" w:lineRule="exact"/>
        <w:ind w:firstLine="643" w:firstLineChars="200"/>
        <w:rPr>
          <w:rFonts w:eastAsia="黑体" w:cs="Times New Roman"/>
          <w:b/>
          <w:bCs/>
          <w:sz w:val="32"/>
          <w:szCs w:val="32"/>
        </w:rPr>
      </w:pPr>
      <w:r>
        <w:rPr>
          <w:rFonts w:hint="eastAsia" w:eastAsia="黑体" w:cs="Times New Roman"/>
          <w:b/>
          <w:bCs/>
          <w:sz w:val="32"/>
          <w:szCs w:val="32"/>
          <w:lang w:eastAsia="zh-CN"/>
        </w:rPr>
        <w:t>四、</w:t>
      </w:r>
      <w:r>
        <w:rPr>
          <w:rFonts w:eastAsia="黑体" w:cs="Times New Roman"/>
          <w:b/>
          <w:bCs/>
          <w:sz w:val="32"/>
          <w:szCs w:val="32"/>
        </w:rPr>
        <w:t>其他材料</w:t>
      </w:r>
    </w:p>
    <w:p>
      <w:pPr>
        <w:widowControl w:val="0"/>
        <w:autoSpaceDE w:val="0"/>
        <w:autoSpaceDN w:val="0"/>
        <w:spacing w:line="560" w:lineRule="exact"/>
        <w:ind w:firstLine="420" w:firstLineChars="200"/>
        <w:rPr>
          <w:rFonts w:eastAsia="仿宋_GB2312" w:cs="Times New Roman"/>
          <w:b/>
          <w:bCs/>
          <w:sz w:val="32"/>
          <w:szCs w:val="32"/>
        </w:rPr>
      </w:pPr>
      <w:r>
        <w:rPr>
          <w:rFonts w:cs="Times New Roma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446405</wp:posOffset>
            </wp:positionV>
            <wp:extent cx="5655945" cy="3980815"/>
            <wp:effectExtent l="0" t="0" r="1905" b="635"/>
            <wp:wrapTight wrapText="bothSides">
              <wp:wrapPolygon>
                <wp:start x="0" y="0"/>
                <wp:lineTo x="0" y="21500"/>
                <wp:lineTo x="21535" y="21500"/>
                <wp:lineTo x="21535" y="0"/>
                <wp:lineTo x="0" y="0"/>
              </wp:wrapPolygon>
            </wp:wrapTight>
            <wp:docPr id="38914" name="Picture 1" descr="C:\Users\Administrator\Desktop\未标题-1.jpg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1" descr="C:\Users\Administrator\Desktop\未标题-1.jpg未标题-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5945" cy="3980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仿宋_GB2312" w:cs="Times New Roman"/>
          <w:b/>
          <w:bCs/>
          <w:sz w:val="32"/>
          <w:szCs w:val="32"/>
          <w:lang w:val="zh-CN"/>
        </w:rPr>
        <w:t>专家评审意</w:t>
      </w:r>
      <w:r>
        <w:rPr>
          <w:rFonts w:eastAsia="仿宋_GB2312" w:cs="Times New Roman"/>
          <w:b/>
          <w:bCs/>
          <w:sz w:val="32"/>
          <w:szCs w:val="32"/>
        </w:rPr>
        <w:t>见：</w:t>
      </w:r>
    </w:p>
    <w:p>
      <w:pPr>
        <w:spacing w:line="560" w:lineRule="exact"/>
        <w:ind w:firstLine="640" w:firstLineChars="200"/>
        <w:rPr>
          <w:rFonts w:eastAsia="仿宋_GB2312" w:cs="Times New Roman"/>
          <w:sz w:val="32"/>
          <w:szCs w:val="32"/>
        </w:rPr>
      </w:pPr>
    </w:p>
    <w:sectPr>
      <w:footerReference r:id="rId3" w:type="default"/>
      <w:pgSz w:w="11906" w:h="16838"/>
      <w:pgMar w:top="1587" w:right="1417" w:bottom="158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0000000000000000000"/>
    <w:charset w:val="00"/>
    <w:family w:val="swiss"/>
    <w:pitch w:val="default"/>
    <w:sig w:usb0="00000000" w:usb1="00000000" w:usb2="00000009" w:usb3="00000000" w:csb0="000001FF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??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023545"/>
    <w:multiLevelType w:val="multilevel"/>
    <w:tmpl w:val="7C023545"/>
    <w:lvl w:ilvl="0" w:tentative="0">
      <w:start w:val="1"/>
      <w:numFmt w:val="decimal"/>
      <w:pStyle w:val="3"/>
      <w:lvlText w:val="%1、"/>
      <w:lvlJc w:val="left"/>
      <w:pPr>
        <w:ind w:left="1270" w:hanging="420"/>
      </w:pPr>
      <w:rPr>
        <w:rFonts w:hint="eastAsia"/>
      </w:rPr>
    </w:lvl>
    <w:lvl w:ilvl="1" w:tentative="0">
      <w:start w:val="4"/>
      <w:numFmt w:val="japaneseCounting"/>
      <w:lvlText w:val="%2、"/>
      <w:lvlJc w:val="left"/>
      <w:pPr>
        <w:ind w:left="1990" w:hanging="7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2110" w:hanging="420"/>
      </w:pPr>
    </w:lvl>
    <w:lvl w:ilvl="3" w:tentative="0">
      <w:start w:val="1"/>
      <w:numFmt w:val="decimal"/>
      <w:lvlText w:val="%4."/>
      <w:lvlJc w:val="left"/>
      <w:pPr>
        <w:ind w:left="2530" w:hanging="420"/>
      </w:pPr>
    </w:lvl>
    <w:lvl w:ilvl="4" w:tentative="0">
      <w:start w:val="1"/>
      <w:numFmt w:val="lowerLetter"/>
      <w:lvlText w:val="%5)"/>
      <w:lvlJc w:val="left"/>
      <w:pPr>
        <w:ind w:left="2950" w:hanging="420"/>
      </w:pPr>
    </w:lvl>
    <w:lvl w:ilvl="5" w:tentative="0">
      <w:start w:val="1"/>
      <w:numFmt w:val="lowerRoman"/>
      <w:lvlText w:val="%6."/>
      <w:lvlJc w:val="right"/>
      <w:pPr>
        <w:ind w:left="3370" w:hanging="420"/>
      </w:pPr>
    </w:lvl>
    <w:lvl w:ilvl="6" w:tentative="0">
      <w:start w:val="1"/>
      <w:numFmt w:val="decimal"/>
      <w:lvlText w:val="%7."/>
      <w:lvlJc w:val="left"/>
      <w:pPr>
        <w:ind w:left="3790" w:hanging="420"/>
      </w:pPr>
    </w:lvl>
    <w:lvl w:ilvl="7" w:tentative="0">
      <w:start w:val="1"/>
      <w:numFmt w:val="lowerLetter"/>
      <w:lvlText w:val="%8)"/>
      <w:lvlJc w:val="left"/>
      <w:pPr>
        <w:ind w:left="4210" w:hanging="420"/>
      </w:pPr>
    </w:lvl>
    <w:lvl w:ilvl="8" w:tentative="0">
      <w:start w:val="1"/>
      <w:numFmt w:val="lowerRoman"/>
      <w:lvlText w:val="%9."/>
      <w:lvlJc w:val="right"/>
      <w:pPr>
        <w:ind w:left="463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466"/>
    <w:rsid w:val="00035E4E"/>
    <w:rsid w:val="000377BF"/>
    <w:rsid w:val="002A462A"/>
    <w:rsid w:val="002F6ABB"/>
    <w:rsid w:val="00362003"/>
    <w:rsid w:val="004C3C28"/>
    <w:rsid w:val="005B3399"/>
    <w:rsid w:val="0062754B"/>
    <w:rsid w:val="006B1B8B"/>
    <w:rsid w:val="007467E5"/>
    <w:rsid w:val="00786E25"/>
    <w:rsid w:val="007906D9"/>
    <w:rsid w:val="00916882"/>
    <w:rsid w:val="00957261"/>
    <w:rsid w:val="00A7751C"/>
    <w:rsid w:val="00AA49EC"/>
    <w:rsid w:val="00AD3397"/>
    <w:rsid w:val="00B424B7"/>
    <w:rsid w:val="00B829D9"/>
    <w:rsid w:val="00BE1B40"/>
    <w:rsid w:val="00C52CC7"/>
    <w:rsid w:val="00C71A87"/>
    <w:rsid w:val="00CB1281"/>
    <w:rsid w:val="00CC578C"/>
    <w:rsid w:val="00D10786"/>
    <w:rsid w:val="00D56466"/>
    <w:rsid w:val="00E30AE7"/>
    <w:rsid w:val="00EE1C2D"/>
    <w:rsid w:val="00FD0E81"/>
    <w:rsid w:val="00FE7A17"/>
    <w:rsid w:val="01D914D3"/>
    <w:rsid w:val="02DB5D4C"/>
    <w:rsid w:val="04055427"/>
    <w:rsid w:val="05C82368"/>
    <w:rsid w:val="073C283E"/>
    <w:rsid w:val="07BA2D58"/>
    <w:rsid w:val="097F6D61"/>
    <w:rsid w:val="0BE54D3F"/>
    <w:rsid w:val="0C2C2FE1"/>
    <w:rsid w:val="0D794A20"/>
    <w:rsid w:val="0E0632C3"/>
    <w:rsid w:val="1CF03B90"/>
    <w:rsid w:val="1EF80E62"/>
    <w:rsid w:val="21B304DC"/>
    <w:rsid w:val="22D6084C"/>
    <w:rsid w:val="239D12F0"/>
    <w:rsid w:val="23B05AD8"/>
    <w:rsid w:val="26433BF0"/>
    <w:rsid w:val="28287339"/>
    <w:rsid w:val="293D602F"/>
    <w:rsid w:val="29D60022"/>
    <w:rsid w:val="2A4C7DF0"/>
    <w:rsid w:val="2B29426F"/>
    <w:rsid w:val="2D347AF7"/>
    <w:rsid w:val="2EC23E71"/>
    <w:rsid w:val="303E65B8"/>
    <w:rsid w:val="31201D26"/>
    <w:rsid w:val="391E594A"/>
    <w:rsid w:val="39355F05"/>
    <w:rsid w:val="3D341092"/>
    <w:rsid w:val="3E4F2A0C"/>
    <w:rsid w:val="40F13B71"/>
    <w:rsid w:val="441F2CB0"/>
    <w:rsid w:val="452A6396"/>
    <w:rsid w:val="463F5CB9"/>
    <w:rsid w:val="47A00BB9"/>
    <w:rsid w:val="49950D67"/>
    <w:rsid w:val="4A331042"/>
    <w:rsid w:val="4A5227AC"/>
    <w:rsid w:val="4D732CF6"/>
    <w:rsid w:val="4D88656A"/>
    <w:rsid w:val="4D954C96"/>
    <w:rsid w:val="5ABF0EDA"/>
    <w:rsid w:val="5C1D2F23"/>
    <w:rsid w:val="63B55D85"/>
    <w:rsid w:val="653561BF"/>
    <w:rsid w:val="67603BCF"/>
    <w:rsid w:val="68687778"/>
    <w:rsid w:val="69C70671"/>
    <w:rsid w:val="69CD098F"/>
    <w:rsid w:val="69E23580"/>
    <w:rsid w:val="6DA75D90"/>
    <w:rsid w:val="7164421E"/>
    <w:rsid w:val="76377504"/>
    <w:rsid w:val="7A2D2380"/>
    <w:rsid w:val="7AB622AC"/>
    <w:rsid w:val="7B151C50"/>
    <w:rsid w:val="7D8C3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ascii="Times New Roman" w:hAnsi="Times New Roman" w:eastAsia="宋体" w:cs="宋体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widowControl w:val="0"/>
      <w:numPr>
        <w:ilvl w:val="0"/>
        <w:numId w:val="1"/>
      </w:numPr>
      <w:adjustRightInd w:val="0"/>
      <w:snapToGrid w:val="0"/>
      <w:spacing w:before="0" w:after="0" w:line="360" w:lineRule="auto"/>
      <w:jc w:val="left"/>
      <w:outlineLvl w:val="1"/>
    </w:pPr>
    <w:rPr>
      <w:rFonts w:asciiTheme="majorHAnsi" w:hAnsiTheme="majorHAnsi" w:eastAsiaTheme="majorEastAsia" w:cstheme="majorBidi"/>
      <w:spacing w:val="2"/>
      <w:sz w:val="32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ascii="宋体" w:hAnsi="宋体"/>
      <w:color w:val="000000"/>
      <w:kern w:val="0"/>
      <w:sz w:val="24"/>
      <w:szCs w:val="24"/>
    </w:rPr>
  </w:style>
  <w:style w:type="paragraph" w:styleId="7">
    <w:name w:val="Title"/>
    <w:basedOn w:val="1"/>
    <w:next w:val="1"/>
    <w:qFormat/>
    <w:uiPriority w:val="0"/>
    <w:pPr>
      <w:spacing w:line="640" w:lineRule="exact"/>
      <w:jc w:val="center"/>
      <w:outlineLvl w:val="0"/>
    </w:pPr>
    <w:rPr>
      <w:rFonts w:ascii="Cambria" w:hAnsi="Cambria" w:eastAsia="方正小标宋简体"/>
      <w:b/>
      <w:bCs/>
      <w:sz w:val="36"/>
      <w:szCs w:val="32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Char"/>
    <w:basedOn w:val="9"/>
    <w:link w:val="5"/>
    <w:qFormat/>
    <w:uiPriority w:val="0"/>
    <w:rPr>
      <w:rFonts w:cs="宋体"/>
      <w:kern w:val="2"/>
      <w:sz w:val="18"/>
      <w:szCs w:val="18"/>
    </w:rPr>
  </w:style>
  <w:style w:type="character" w:customStyle="1" w:styleId="12">
    <w:name w:val="页脚 Char"/>
    <w:basedOn w:val="9"/>
    <w:link w:val="4"/>
    <w:qFormat/>
    <w:uiPriority w:val="0"/>
    <w:rPr>
      <w:rFonts w:cs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10</Pages>
  <Words>547</Words>
  <Characters>3123</Characters>
  <Lines>26</Lines>
  <Paragraphs>7</Paragraphs>
  <TotalTime>4</TotalTime>
  <ScaleCrop>false</ScaleCrop>
  <LinksUpToDate>false</LinksUpToDate>
  <CharactersWithSpaces>3663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2021-08-20T09:48:00Z</dcterms:created>
  <dc:creator>dell</dc:creator>
  <cp:lastModifiedBy>Administrator</cp:lastModifiedBy>
  <cp:lastPrinted>2021-08-25T01:11:00Z</cp:lastPrinted>
  <dcterms:modified xsi:type="dcterms:W3CDTF">2021-09-10T01:38:06Z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</Properties>
</file>