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黑体"/>
          <w:bCs/>
          <w:sz w:val="52"/>
          <w:szCs w:val="52"/>
        </w:rPr>
      </w:pPr>
      <w:r>
        <w:rPr>
          <w:rFonts w:hint="eastAsia" w:ascii="黑体" w:hAnsi="黑体" w:eastAsia="黑体" w:cs="黑体"/>
          <w:bCs/>
          <w:sz w:val="52"/>
          <w:szCs w:val="52"/>
        </w:rPr>
        <w:t>新大楼移民资产使用费专项经费项目支出绩效自评报告</w:t>
      </w:r>
    </w:p>
    <w:p>
      <w:pPr>
        <w:jc w:val="center"/>
        <w:rPr>
          <w:rFonts w:ascii="黑体" w:hAnsi="黑体" w:eastAsia="黑体"/>
          <w:bCs/>
          <w:sz w:val="52"/>
          <w:szCs w:val="52"/>
        </w:rPr>
      </w:pPr>
      <w:r>
        <w:rPr>
          <w:rFonts w:hint="eastAsia" w:ascii="黑体" w:hAnsi="黑体" w:eastAsia="黑体" w:cs="黑体"/>
          <w:bCs/>
          <w:sz w:val="52"/>
          <w:szCs w:val="52"/>
        </w:rPr>
        <w:t>（ 2020年度）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2337435</wp:posOffset>
                </wp:positionH>
                <wp:positionV relativeFrom="paragraph">
                  <wp:posOffset>231140</wp:posOffset>
                </wp:positionV>
                <wp:extent cx="1873885" cy="0"/>
                <wp:effectExtent l="0" t="0" r="12700" b="19050"/>
                <wp:wrapNone/>
                <wp:docPr id="5" name="直接箭头连接符 5"/>
                <wp:cNvGraphicFramePr/>
                <a:graphic xmlns:a="http://schemas.openxmlformats.org/drawingml/2006/main">
                  <a:graphicData uri="http://schemas.microsoft.com/office/word/2010/wordprocessingShape">
                    <wps:wsp>
                      <wps:cNvCnPr>
                        <a:cxnSpLocks noChangeShapeType="1"/>
                      </wps:cNvCnPr>
                      <wps:spPr bwMode="auto">
                        <a:xfrm>
                          <a:off x="0" y="0"/>
                          <a:ext cx="1873758"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84.05pt;margin-top:18.2pt;height:0pt;width:147.55pt;z-index:251659264;mso-width-relative:page;mso-height-relative:page;" filled="f" stroked="t" coordsize="21600,21600" o:gfxdata="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BtXYVn1wAAAAkBAAAPAAAAAAAAAAEAIAAAACIAAABkcnMvZG93bnJldi54bWxQSwEC&#10;FAAUAAAACACHTuJAhSMK9PUBAAC+AwAADgAAAAAAAAABACAAAAAmAQAAZHJzL2Uyb0RvYy54bWxQ&#10;SwUGAAAAAAYABgBZAQAAjQ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部门名称（公章）：盘龙区政务服务管理局</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9525" t="12065" r="9525" b="6985"/>
                <wp:wrapNone/>
                <wp:docPr id="4" name="直接箭头连接符 4"/>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DxhF2DXAAAACQEAAA8AAAAAAAAAAQAgAAAAIgAAAGRycy9kb3ducmV2LnhtbFBLAQIU&#10;ABQAAAAIAIdO4kCVgI3h9AEAAL4DAAAOAAAAAAAAAAEAIAAAACYBAABkcnMvZTJvRG9jLnhtbFBL&#10;BQYAAAAABgAGAFkBAACM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项目单位：盘龙区政务服务管理局</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9525" t="9525" r="9525" b="9525"/>
                <wp:wrapNone/>
                <wp:docPr id="3" name="直接箭头连接符 3"/>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0IL+71wAAAAkBAAAPAAAAAAAAAAEAIAAAACIAAABkcnMvZG93bnJldi54bWxQSwEC&#10;FAAUAAAACACHTuJAHjKls/UBAAC+AwAADgAAAAAAAAABACAAAAAmAQAAZHJzL2Uyb0RvYy54bWxQ&#10;SwUGAAAAAAYABgBZAQAAjQ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主管部门：盘龙区政务服务管理局</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9525" t="9525" r="9525" b="9525"/>
                <wp:wrapNone/>
                <wp:docPr id="2" name="直接箭头连接符 2"/>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LQgv7vXAAAACQEAAA8AAAAAAAAAAQAgAAAAIgAAAGRycy9kb3ducmV2LnhtbFBLAQIU&#10;ABQAAAAIAIdO4kAwDtbr9AEAAL4DAAAOAAAAAAAAAAEAIAAAACYBAABkcnMvZTJvRG9jLnhtbFBL&#10;BQYAAAAABgAGAFkBAACM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项目名称：新大楼移民资产使用费</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9525" t="9525" r="9525" b="9525"/>
                <wp:wrapNone/>
                <wp:docPr id="1" name="直接箭头连接符 1"/>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tCC/u9cAAAAJAQAADwAAAAAAAAABACAAAAAiAAAAZHJzL2Rvd25yZXYueG1sUEsBAhQA&#10;FAAAAAgAh07iQEJKQwPzAQAAvgMAAA4AAAAAAAAAAQAgAAAAJgEAAGRycy9lMm9Eb2MueG1sUEsF&#10;BgAAAAAGAAYAWQEAAIs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b/>
          <w:bCs/>
          <w:sz w:val="28"/>
          <w:szCs w:val="28"/>
        </w:rPr>
        <w:t xml:space="preserve"> </w:t>
      </w:r>
      <w:r>
        <w:rPr>
          <w:rFonts w:hint="eastAsia" w:ascii="Times New Roman" w:hAnsi="Times New Roman" w:eastAsia="黑体"/>
          <w:b/>
          <w:bCs/>
          <w:sz w:val="28"/>
          <w:szCs w:val="28"/>
        </w:rPr>
        <w:t>2021年5月25日</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rPr>
        <w:t>21</w:t>
      </w:r>
      <w:r>
        <w:rPr>
          <w:rFonts w:hint="eastAsia" w:ascii="Times New Roman" w:hAnsi="Times New Roman" w:eastAsia="黑体" w:cs="黑体"/>
          <w:b/>
          <w:bCs/>
          <w:sz w:val="28"/>
          <w:szCs w:val="28"/>
        </w:rPr>
        <w:t>年</w:t>
      </w:r>
      <w:r>
        <w:rPr>
          <w:rFonts w:hint="eastAsia" w:ascii="Times New Roman" w:hAnsi="Times New Roman" w:eastAsia="黑体"/>
          <w:b/>
          <w:bCs/>
          <w:sz w:val="28"/>
          <w:szCs w:val="28"/>
        </w:rPr>
        <w:t>5</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pgSz w:w="11906" w:h="16838"/>
          <w:pgMar w:top="1440" w:right="1800" w:bottom="1440" w:left="1800" w:header="851" w:footer="992" w:gutter="0"/>
          <w:cols w:space="425" w:num="1"/>
          <w:titlePg/>
          <w:docGrid w:type="lines" w:linePitch="312" w:charSpace="0"/>
        </w:sectPr>
      </w:pPr>
    </w:p>
    <w:p>
      <w:pPr>
        <w:spacing w:line="360" w:lineRule="auto"/>
        <w:rPr>
          <w:rFonts w:ascii="Times New Roman" w:hAnsi="Times New Roman" w:eastAsia="黑体"/>
          <w:color w:val="000000"/>
          <w:sz w:val="24"/>
          <w:szCs w:val="24"/>
          <w:u w:color="000000"/>
          <w:lang w:val="zh-TW" w:eastAsia="zh-TW"/>
        </w:rPr>
      </w:pPr>
      <w:r>
        <w:rPr>
          <w:rFonts w:hint="eastAsia" w:ascii="Times New Roman" w:hAnsi="Times New Roman" w:eastAsia="黑体" w:cs="黑体"/>
          <w:color w:val="000000"/>
          <w:sz w:val="24"/>
          <w:szCs w:val="24"/>
          <w:u w:color="000000"/>
          <w:lang w:val="zh-TW" w:eastAsia="zh-TW"/>
        </w:rPr>
        <w:t>评价小组成员：</w:t>
      </w:r>
    </w:p>
    <w:tbl>
      <w:tblPr>
        <w:tblStyle w:val="5"/>
        <w:tblpPr w:leftFromText="180" w:rightFromText="180" w:vertAnchor="text" w:horzAnchor="margin" w:tblpXSpec="center" w:tblpY="108"/>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9"/>
        <w:gridCol w:w="1156"/>
        <w:gridCol w:w="1626"/>
        <w:gridCol w:w="2693"/>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9"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评价小组</w:t>
            </w: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机构职位</w:t>
            </w:r>
          </w:p>
        </w:tc>
        <w:tc>
          <w:tcPr>
            <w:tcW w:w="1156"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姓名</w:t>
            </w:r>
          </w:p>
        </w:tc>
        <w:tc>
          <w:tcPr>
            <w:tcW w:w="1626"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职务/职称</w:t>
            </w:r>
          </w:p>
        </w:tc>
        <w:tc>
          <w:tcPr>
            <w:tcW w:w="2693"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所属</w:t>
            </w: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单位/处室</w:t>
            </w:r>
          </w:p>
        </w:tc>
        <w:tc>
          <w:tcPr>
            <w:tcW w:w="2268"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1579"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组  长</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周  英</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局长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1579" w:type="dxa"/>
            <w:vAlign w:val="center"/>
          </w:tcPr>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副组长</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陈  勇</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副局长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ascii="Times New Roman" w:hAnsi="Times New Roman"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1579" w:type="dxa"/>
            <w:vAlign w:val="center"/>
          </w:tcPr>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副组长</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陈  媛</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副局长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ascii="Times New Roman" w:hAnsi="Times New Roman"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1579" w:type="dxa"/>
            <w:vAlign w:val="center"/>
          </w:tcPr>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副组长</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许正文</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副局长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ascii="Times New Roman" w:hAnsi="Times New Roman"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1579"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副组长</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吴海燕</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副局长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ascii="Times New Roman" w:hAnsi="Times New Roman"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1579"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  员</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胡  旭</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办公室主任</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ascii="Times New Roman" w:hAnsi="Times New Roman"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579"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  员</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高  雄</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信息科科长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hint="eastAsia" w:ascii="Times New Roman" w:hAnsi="Times New Roman"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1579" w:type="dxa"/>
            <w:vAlign w:val="center"/>
          </w:tcPr>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w:t>
            </w:r>
            <w:bookmarkStart w:id="0" w:name="_GoBack"/>
            <w:bookmarkEnd w:id="0"/>
            <w:r>
              <w:rPr>
                <w:rFonts w:hint="eastAsia" w:ascii="Times New Roman" w:hAnsi="Times New Roman" w:eastAsia="黑体" w:cs="黑体"/>
                <w:color w:val="000000"/>
                <w:sz w:val="24"/>
                <w:szCs w:val="24"/>
                <w:u w:color="000000"/>
                <w:lang w:val="zh-TW"/>
              </w:rPr>
              <w:t xml:space="preserve">  员</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孔祥龙</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审改科科长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hint="eastAsia" w:ascii="Times New Roman" w:hAnsi="Times New Roman"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1579" w:type="dxa"/>
            <w:vAlign w:val="center"/>
          </w:tcPr>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  员</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范茂康</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窗口科科长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hint="eastAsia" w:ascii="Times New Roman" w:hAnsi="Times New Roman"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579" w:type="dxa"/>
            <w:vAlign w:val="center"/>
          </w:tcPr>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  员</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安  龙</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审批科科长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hint="eastAsia" w:ascii="Times New Roman" w:hAnsi="Times New Roman"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1579" w:type="dxa"/>
            <w:vAlign w:val="center"/>
          </w:tcPr>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  员</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吴皓荒</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公管科科长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hint="eastAsia" w:ascii="Times New Roman" w:hAnsi="Times New Roman"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9322" w:type="dxa"/>
            <w:gridSpan w:val="5"/>
          </w:tcPr>
          <w:p>
            <w:pPr>
              <w:spacing w:line="360" w:lineRule="auto"/>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报告撰写人（签字）：</w:t>
            </w:r>
          </w:p>
          <w:p>
            <w:pPr>
              <w:wordWrap w:val="0"/>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9322" w:type="dxa"/>
            <w:gridSpan w:val="5"/>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评价工作负责人（签字）：</w:t>
            </w:r>
          </w:p>
          <w:p>
            <w:pPr>
              <w:spacing w:line="360" w:lineRule="auto"/>
              <w:jc w:val="center"/>
              <w:rPr>
                <w:rFonts w:ascii="Times New Roman" w:hAnsi="Times New Roman" w:eastAsia="黑体" w:cs="黑体"/>
                <w:color w:val="000000"/>
                <w:sz w:val="24"/>
                <w:szCs w:val="24"/>
                <w:u w:color="000000"/>
                <w:lang w:val="zh-TW"/>
              </w:rPr>
            </w:pPr>
          </w:p>
          <w:p>
            <w:pPr>
              <w:spacing w:line="360" w:lineRule="auto"/>
              <w:jc w:val="center"/>
              <w:rPr>
                <w:rFonts w:ascii="Times New Roman" w:hAnsi="Times New Roman" w:eastAsia="黑体" w:cs="黑体"/>
                <w:color w:val="000000"/>
                <w:sz w:val="24"/>
                <w:szCs w:val="24"/>
                <w:u w:color="000000"/>
                <w:lang w:val="zh-TW"/>
              </w:rPr>
            </w:pPr>
          </w:p>
          <w:p>
            <w:pPr>
              <w:wordWrap w:val="0"/>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年  月  日</w:t>
            </w:r>
          </w:p>
        </w:tc>
      </w:tr>
    </w:tbl>
    <w:p>
      <w:pPr>
        <w:pStyle w:val="10"/>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spacing w:line="440" w:lineRule="exact"/>
        <w:jc w:val="center"/>
        <w:rPr>
          <w:rFonts w:asciiTheme="minorEastAsia" w:hAnsiTheme="minorEastAsia" w:eastAsiaTheme="minorEastAsia"/>
          <w:sz w:val="44"/>
          <w:szCs w:val="44"/>
        </w:rPr>
      </w:pPr>
      <w:r>
        <w:rPr>
          <w:rFonts w:hint="eastAsia" w:asciiTheme="minorEastAsia" w:hAnsiTheme="minorEastAsia" w:eastAsiaTheme="minorEastAsia"/>
          <w:sz w:val="44"/>
          <w:szCs w:val="44"/>
        </w:rPr>
        <w:t>新大楼移民资产使用费专项经费项目支出绩效自评报告</w:t>
      </w:r>
    </w:p>
    <w:p>
      <w:pPr>
        <w:spacing w:line="440" w:lineRule="exact"/>
        <w:jc w:val="center"/>
        <w:rPr>
          <w:rFonts w:asciiTheme="minorEastAsia" w:hAnsiTheme="minorEastAsia" w:eastAsiaTheme="minorEastAsia"/>
          <w:sz w:val="44"/>
          <w:szCs w:val="44"/>
        </w:rPr>
      </w:pP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黑体" w:hAnsi="黑体" w:eastAsia="黑体"/>
          <w:sz w:val="32"/>
          <w:szCs w:val="32"/>
        </w:rPr>
      </w:pPr>
      <w:r>
        <w:rPr>
          <w:rFonts w:hint="eastAsia" w:ascii="黑体" w:hAnsi="黑体" w:eastAsia="黑体"/>
          <w:sz w:val="32"/>
          <w:szCs w:val="32"/>
        </w:rPr>
        <w:t>一、项目基本情况</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黑体" w:eastAsia="黑体"/>
          <w:sz w:val="32"/>
          <w:szCs w:val="32"/>
        </w:rPr>
      </w:pPr>
      <w:r>
        <w:rPr>
          <w:rFonts w:hint="eastAsia" w:ascii="楷体" w:hAnsi="楷体" w:eastAsia="楷体"/>
          <w:sz w:val="32"/>
          <w:szCs w:val="32"/>
        </w:rPr>
        <w:t>（一）项目概况</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根据盘政办复［2016］26号关于同意区政务局购买区新政务中心有关事项的批复（红头）、盘发改投资［2016］132号关于对盘龙区政务服务中心改造项目设计方案的批复、盘龙区人民政府常务会15-80会议纪要、盘政办复［2016］32号 关于同意区发改局盘龙区松华坝水库库区和移民安置区扶持资金试点项目实施有关事项的批复。用于支付2020年区政务服务中心大楼移民资产使用费，每年支付一次，拨付给盘龙区水务局，于2020年6月底前完成绩效目标支付金额160万元。</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楷体" w:hAnsi="楷体" w:eastAsia="楷体"/>
          <w:sz w:val="32"/>
          <w:szCs w:val="32"/>
        </w:rPr>
      </w:pPr>
      <w:r>
        <w:rPr>
          <w:rFonts w:hint="eastAsia" w:ascii="楷体" w:hAnsi="楷体" w:eastAsia="楷体"/>
          <w:sz w:val="32"/>
          <w:szCs w:val="32"/>
        </w:rPr>
        <w:t>（二）绩效目标</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用于支付2020年区政务服务中心大楼移民资产使用费，每年支付一次，拨付给盘龙区水务局，于2020年6月底前完成绩效目标支付金额160万元。严格按预算执行质量、预算执行进度、厉行节约的要求，做到了清晰、细化。相关管理制度合法、合规、完整，得到有效执行，结合预算资金安排、年初工作计划来提高预算绩效管理，提高资金使用效率。</w:t>
      </w:r>
    </w:p>
    <w:p>
      <w:pPr>
        <w:keepNext w:val="0"/>
        <w:keepLines w:val="0"/>
        <w:pageBreakBefore w:val="0"/>
        <w:widowControl w:val="0"/>
        <w:kinsoku/>
        <w:wordWrap/>
        <w:overflowPunct/>
        <w:topLinePunct/>
        <w:autoSpaceDE/>
        <w:autoSpaceDN/>
        <w:bidi w:val="0"/>
        <w:adjustRightInd/>
        <w:snapToGrid/>
        <w:spacing w:line="440" w:lineRule="exact"/>
        <w:ind w:firstLine="643" w:firstLineChars="200"/>
        <w:textAlignment w:val="auto"/>
        <w:rPr>
          <w:rFonts w:ascii="黑体" w:hAnsi="黑体" w:eastAsia="黑体"/>
          <w:b/>
          <w:sz w:val="32"/>
          <w:szCs w:val="32"/>
        </w:rPr>
      </w:pPr>
      <w:r>
        <w:rPr>
          <w:rFonts w:hint="eastAsia" w:ascii="黑体" w:hAnsi="黑体" w:eastAsia="黑体"/>
          <w:b/>
          <w:sz w:val="32"/>
          <w:szCs w:val="32"/>
        </w:rPr>
        <w:t>二、绩效评价工作情况</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楷体" w:hAnsi="楷体" w:eastAsia="楷体"/>
          <w:sz w:val="32"/>
          <w:szCs w:val="32"/>
        </w:rPr>
      </w:pPr>
      <w:r>
        <w:rPr>
          <w:rFonts w:hint="eastAsia" w:ascii="楷体" w:hAnsi="楷体" w:eastAsia="楷体"/>
          <w:sz w:val="32"/>
          <w:szCs w:val="32"/>
        </w:rPr>
        <w:t>（一）绩效评价目的</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通过绩效自评工作，发现在管理上、工作效率上、工作能力上存在的问题并及时整改。不断完善队伍管理，提高工作效率。用更低的成本为社会提供更优质的和更高效的公众服务。</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楷体" w:hAnsi="楷体" w:eastAsia="楷体"/>
          <w:sz w:val="32"/>
          <w:szCs w:val="32"/>
        </w:rPr>
      </w:pPr>
      <w:r>
        <w:rPr>
          <w:rFonts w:hint="eastAsia" w:ascii="楷体" w:hAnsi="楷体" w:eastAsia="楷体"/>
          <w:sz w:val="32"/>
          <w:szCs w:val="32"/>
        </w:rPr>
        <w:t>（二）绩效评价工作方案制定过程</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1、前期准备</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区政务局绩效自评小组，由党政主要领导任组长，各业务科室相关负责人任组员。</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2、组织实施</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绩效评价基础数据由各科室收集，将项目支出后的实际状况与申报的绩效目标对比，从项目的经济性、效率性、有效性和可持续性等方面进行量化、具体分析。</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3.绩效评价指标体系</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区政务局2020年新大楼移民资产使用费项目支出绩效自评分100.00分，自评结果为优秀，达成了预期的绩效目标，切实做到了用实、用好财政资金。</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楷体" w:hAnsi="楷体" w:eastAsia="楷体"/>
          <w:sz w:val="32"/>
          <w:szCs w:val="32"/>
        </w:rPr>
      </w:pPr>
      <w:r>
        <w:rPr>
          <w:rFonts w:hint="eastAsia" w:ascii="楷体" w:hAnsi="楷体" w:eastAsia="楷体"/>
          <w:sz w:val="32"/>
          <w:szCs w:val="32"/>
        </w:rPr>
        <w:t>（三）绩效评价原则、评价方法</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1、设立的整体绩效目标依据充分、合理、明确，符合国家法律法规、国民经济和社会发展总规划，结合实际需开展的工作，设立绩效目标，目标设定客观实际，严格按预算执行质量、预算执行进度、厉行节约的要求，做到了清晰、细化。相关管理制度合法、合规、完整，得到有效执行，结合预算资金安排、年初工作计划来提高预算绩效管理，提高资金使用效率。</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2、2020年以来，在区委、区政府的领导下，在各进驻窗口单位和分中心的积极配合下，盘龙区政务服务管理局以习近平新时代中国特色社会主义思想为指导，深入学习贯彻习近平总书记在党的十九大和十九届二中、三中、四中、五中全会上的重要讲话精神和全会精神，紧紧围绕全区“十四五”发展规划定位，高度重视、上下一心，围绕意识形态工作、创新政务服务、优化营商环境等方面下功夫，倾力打造群众和企业满意的政务服务平台。</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3、区政务局按规定内容、规定时限对与预算、执行、决算、监督、绩效等管理相关的预决算信息进行了公开，各项支出基础数据信息和会计信息资料具有真实性、完整性、准确性。</w:t>
      </w:r>
    </w:p>
    <w:p>
      <w:pPr>
        <w:keepNext w:val="0"/>
        <w:keepLines w:val="0"/>
        <w:pageBreakBefore w:val="0"/>
        <w:widowControl w:val="0"/>
        <w:kinsoku/>
        <w:wordWrap/>
        <w:overflowPunct/>
        <w:topLinePunct/>
        <w:autoSpaceDE/>
        <w:autoSpaceDN/>
        <w:bidi w:val="0"/>
        <w:adjustRightInd/>
        <w:snapToGrid/>
        <w:spacing w:line="440" w:lineRule="exact"/>
        <w:ind w:firstLine="643" w:firstLineChars="200"/>
        <w:textAlignment w:val="auto"/>
        <w:rPr>
          <w:rFonts w:ascii="仿宋_GB2312" w:hAnsi="楷体" w:eastAsia="仿宋_GB2312"/>
          <w:sz w:val="32"/>
          <w:szCs w:val="32"/>
        </w:rPr>
      </w:pPr>
      <w:r>
        <w:rPr>
          <w:rFonts w:hint="eastAsia" w:ascii="黑体" w:hAnsi="黑体" w:eastAsia="黑体"/>
          <w:b/>
          <w:sz w:val="32"/>
          <w:szCs w:val="32"/>
        </w:rPr>
        <w:t>三、主要经验及做法、存在的问题和建议</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（一）强化领导，建立健全绩效自评组织体系。</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黑体" w:hAnsi="黑体" w:eastAsia="黑体"/>
          <w:b/>
          <w:sz w:val="32"/>
          <w:szCs w:val="32"/>
        </w:rPr>
      </w:pPr>
      <w:r>
        <w:rPr>
          <w:rFonts w:hint="eastAsia" w:ascii="仿宋_GB2312" w:hAnsi="楷体" w:eastAsia="仿宋_GB2312"/>
          <w:sz w:val="32"/>
          <w:szCs w:val="32"/>
        </w:rPr>
        <w:t>（二）结合实际，确定自评范围及考评指标，在充分发挥历年开展目标考核经验的基础上结合实际，研究确定年度绩效考核范围和考评指标。</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黑体" w:hAnsi="黑体" w:eastAsia="黑体"/>
          <w:b/>
          <w:sz w:val="32"/>
          <w:szCs w:val="32"/>
        </w:rPr>
      </w:pPr>
      <w:r>
        <w:rPr>
          <w:rFonts w:hint="eastAsia" w:ascii="仿宋_GB2312" w:hAnsi="楷体" w:eastAsia="仿宋_GB2312"/>
          <w:sz w:val="32"/>
          <w:szCs w:val="32"/>
        </w:rPr>
        <w:t>（三）措施到位，扎实推进绩效自评工作。落实责任，明确目标，强化工作结果。</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黑体" w:hAnsi="黑体" w:eastAsia="黑体"/>
          <w:b/>
          <w:sz w:val="32"/>
          <w:szCs w:val="32"/>
        </w:rPr>
      </w:pPr>
      <w:r>
        <w:rPr>
          <w:rFonts w:hint="eastAsia" w:ascii="仿宋_GB2312" w:hAnsi="楷体" w:eastAsia="仿宋_GB2312"/>
          <w:sz w:val="32"/>
          <w:szCs w:val="32"/>
        </w:rPr>
        <w:t>（四）细化各业务科室考评指标，让各科室更明确自己的工作任务。制定指标做到全面、合理、公正，坚持定性与定量相结合，以定量为主，80%以上的指标进行量化。</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黑体" w:hAnsi="黑体" w:eastAsia="黑体"/>
          <w:b/>
          <w:sz w:val="32"/>
          <w:szCs w:val="32"/>
        </w:rPr>
      </w:pPr>
      <w:r>
        <w:rPr>
          <w:rFonts w:hint="eastAsia" w:ascii="仿宋_GB2312" w:hAnsi="楷体" w:eastAsia="仿宋_GB2312"/>
          <w:sz w:val="32"/>
          <w:szCs w:val="32"/>
        </w:rPr>
        <w:t>（五）在绩效目标管理上存在的问题，做到及时整改。不断完善管理，提高预算支出绩效。</w:t>
      </w:r>
    </w:p>
    <w:p>
      <w:pPr>
        <w:spacing w:line="440" w:lineRule="exact"/>
        <w:jc w:val="left"/>
        <w:rPr>
          <w:rFonts w:ascii="方正小标宋_GBK" w:eastAsia="方正小标宋_GBK"/>
          <w:sz w:val="32"/>
          <w:szCs w:val="32"/>
        </w:rPr>
      </w:pPr>
    </w:p>
    <w:p>
      <w:pPr>
        <w:spacing w:line="440" w:lineRule="exact"/>
        <w:jc w:val="center"/>
        <w:rPr>
          <w:rFonts w:ascii="方正小标宋_GBK" w:eastAsia="方正小标宋_GBK"/>
          <w:sz w:val="32"/>
          <w:szCs w:val="32"/>
        </w:rPr>
      </w:pPr>
    </w:p>
    <w:p>
      <w:pPr>
        <w:spacing w:line="440" w:lineRule="exact"/>
        <w:jc w:val="center"/>
        <w:rPr>
          <w:rFonts w:ascii="方正小标宋_GBK" w:eastAsia="方正小标宋_GBK"/>
          <w:sz w:val="32"/>
          <w:szCs w:val="32"/>
        </w:rPr>
      </w:pPr>
    </w:p>
    <w:p>
      <w:pPr>
        <w:spacing w:line="440" w:lineRule="exact"/>
        <w:jc w:val="center"/>
        <w:rPr>
          <w:rFonts w:ascii="方正小标宋_GBK" w:eastAsia="方正小标宋_GBK"/>
          <w:sz w:val="32"/>
          <w:szCs w:val="32"/>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hint="eastAsia" w:ascii="仿宋" w:hAnsi="仿宋" w:eastAsia="仿宋"/>
          <w:sz w:val="28"/>
          <w:szCs w:val="28"/>
        </w:rPr>
      </w:pPr>
      <w:r>
        <w:rPr>
          <w:rFonts w:hint="eastAsia" w:ascii="仿宋" w:hAnsi="仿宋" w:eastAsia="仿宋"/>
          <w:sz w:val="28"/>
          <w:szCs w:val="28"/>
        </w:rPr>
        <w:t xml:space="preserve">                               昆明市盘龙区政务服务管理局</w:t>
      </w:r>
    </w:p>
    <w:p>
      <w:pPr>
        <w:spacing w:line="440" w:lineRule="exact"/>
        <w:jc w:val="center"/>
        <w:rPr>
          <w:rFonts w:ascii="仿宋" w:hAnsi="仿宋" w:eastAsia="仿宋"/>
          <w:sz w:val="28"/>
          <w:szCs w:val="28"/>
        </w:rPr>
      </w:pPr>
      <w:r>
        <w:rPr>
          <w:rFonts w:hint="eastAsia" w:ascii="仿宋" w:hAnsi="仿宋" w:eastAsia="仿宋"/>
          <w:sz w:val="28"/>
          <w:szCs w:val="28"/>
        </w:rPr>
        <w:t xml:space="preserve">                               2021年5月25日</w:t>
      </w:r>
    </w:p>
    <w:p>
      <w:pPr>
        <w:spacing w:line="440" w:lineRule="exact"/>
        <w:jc w:val="center"/>
        <w:rPr>
          <w:rFonts w:ascii="仿宋" w:hAnsi="仿宋" w:eastAsia="仿宋"/>
          <w:sz w:val="28"/>
          <w:szCs w:val="28"/>
        </w:rPr>
      </w:pPr>
    </w:p>
    <w:p>
      <w:pPr>
        <w:spacing w:line="520" w:lineRule="exac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00004FF" w:usb2="00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小标宋_GBK">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FC2"/>
    <w:rsid w:val="000D48CD"/>
    <w:rsid w:val="001550B2"/>
    <w:rsid w:val="0016678C"/>
    <w:rsid w:val="001809EB"/>
    <w:rsid w:val="001A01A1"/>
    <w:rsid w:val="00216A77"/>
    <w:rsid w:val="00235F16"/>
    <w:rsid w:val="00433077"/>
    <w:rsid w:val="00485991"/>
    <w:rsid w:val="005073D4"/>
    <w:rsid w:val="005342A9"/>
    <w:rsid w:val="005E3954"/>
    <w:rsid w:val="006901FD"/>
    <w:rsid w:val="0069189F"/>
    <w:rsid w:val="006B6FC2"/>
    <w:rsid w:val="00742465"/>
    <w:rsid w:val="00750A6A"/>
    <w:rsid w:val="00765941"/>
    <w:rsid w:val="00831954"/>
    <w:rsid w:val="00835594"/>
    <w:rsid w:val="00923DC9"/>
    <w:rsid w:val="00993BFC"/>
    <w:rsid w:val="009B364B"/>
    <w:rsid w:val="009F52C7"/>
    <w:rsid w:val="00A455D3"/>
    <w:rsid w:val="00A61B2D"/>
    <w:rsid w:val="00B80E0E"/>
    <w:rsid w:val="00BE4459"/>
    <w:rsid w:val="00E14315"/>
    <w:rsid w:val="00F15F78"/>
    <w:rsid w:val="00FD4E8F"/>
    <w:rsid w:val="31D62647"/>
    <w:rsid w:val="69FC6E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uiPriority w:val="99"/>
    <w:rPr>
      <w:sz w:val="18"/>
      <w:szCs w:val="18"/>
    </w:rPr>
  </w:style>
  <w:style w:type="character" w:customStyle="1" w:styleId="8">
    <w:name w:val="页脚 Char"/>
    <w:basedOn w:val="6"/>
    <w:link w:val="3"/>
    <w:uiPriority w:val="99"/>
    <w:rPr>
      <w:sz w:val="18"/>
      <w:szCs w:val="18"/>
    </w:rPr>
  </w:style>
  <w:style w:type="paragraph" w:customStyle="1" w:styleId="9">
    <w:name w:val="TOC 标题1"/>
    <w:basedOn w:val="2"/>
    <w:next w:val="1"/>
    <w:uiPriority w:val="99"/>
    <w:pPr>
      <w:widowControl/>
      <w:spacing w:before="480" w:after="0" w:line="276" w:lineRule="auto"/>
      <w:jc w:val="left"/>
      <w:outlineLvl w:val="9"/>
    </w:pPr>
    <w:rPr>
      <w:rFonts w:ascii="Cambria" w:hAnsi="Cambria" w:cs="Cambria"/>
      <w:color w:val="365F91"/>
      <w:kern w:val="0"/>
      <w:sz w:val="28"/>
      <w:szCs w:val="28"/>
      <w:lang w:val="zh-CN" w:eastAsia="zh-CN"/>
    </w:rPr>
  </w:style>
  <w:style w:type="paragraph" w:customStyle="1" w:styleId="10">
    <w:name w:val="正文 A"/>
    <w:uiPriority w:val="99"/>
    <w:pPr>
      <w:spacing w:after="200" w:line="276" w:lineRule="auto"/>
    </w:pPr>
    <w:rPr>
      <w:rFonts w:ascii="Calibri" w:hAnsi="Calibri" w:eastAsia="宋体" w:cs="Calibri"/>
      <w:color w:val="000000"/>
      <w:kern w:val="0"/>
      <w:sz w:val="22"/>
      <w:szCs w:val="22"/>
      <w:u w:color="000000"/>
      <w:lang w:val="en-US" w:eastAsia="zh-CN" w:bidi="ar-SA"/>
    </w:rPr>
  </w:style>
  <w:style w:type="character" w:customStyle="1" w:styleId="11">
    <w:name w:val="标题 1 Char"/>
    <w:basedOn w:val="6"/>
    <w:link w:val="2"/>
    <w:uiPriority w:val="9"/>
    <w:rPr>
      <w:rFonts w:ascii="Calibri" w:hAnsi="Calibri" w:eastAsia="宋体" w:cs="Times New Roman"/>
      <w:b/>
      <w:bCs/>
      <w:kern w:val="44"/>
      <w:sz w:val="44"/>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320</Words>
  <Characters>1824</Characters>
  <Lines>15</Lines>
  <Paragraphs>4</Paragraphs>
  <TotalTime>15</TotalTime>
  <ScaleCrop>false</ScaleCrop>
  <LinksUpToDate>false</LinksUpToDate>
  <CharactersWithSpaces>2140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2021-05-24T02:51:00Z</dcterms:created>
  <dc:creator>jsp</dc:creator>
  <cp:lastModifiedBy>余丽娜</cp:lastModifiedBy>
  <cp:lastPrinted>2021-05-28T01:56:00Z</cp:lastPrinted>
  <dcterms:modified xsi:type="dcterms:W3CDTF">2021-09-22T02:48:53Z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7DAAB5706214403F96E8A305FB72178E</vt:lpwstr>
  </property>
</Properties>
</file>