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hAnsi="Calibri" w:eastAsia="方正小标宋_GBK" w:cs="Times New Roman"/>
          <w:sz w:val="28"/>
          <w:szCs w:val="28"/>
        </w:rPr>
      </w:pPr>
    </w:p>
    <w:p>
      <w:pPr>
        <w:spacing w:before="120" w:after="120" w:line="480" w:lineRule="auto"/>
        <w:jc w:val="center"/>
        <w:rPr>
          <w:rFonts w:ascii="Times New Roman" w:hAnsi="Times New Roman" w:eastAsia="黑体" w:cs="Times New Roman"/>
          <w:b/>
          <w:bCs/>
          <w:sz w:val="52"/>
          <w:szCs w:val="52"/>
        </w:rPr>
      </w:pP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白邑寺老干活动中心公园综合管理专项经费项目支出绩效自评报告</w:t>
      </w: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（2020年度）</w:t>
      </w:r>
    </w:p>
    <w:p>
      <w:pPr>
        <w:spacing w:before="120" w:after="120" w:line="480" w:lineRule="auto"/>
        <w:jc w:val="center"/>
        <w:rPr>
          <w:rFonts w:ascii="Times New Roman" w:hAnsi="Times New Roman" w:eastAsia="黑体" w:cs="Times New Roman"/>
          <w:b/>
          <w:bCs/>
          <w:sz w:val="52"/>
          <w:szCs w:val="52"/>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黑体" w:cs="Times New Roman"/>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直接箭头连接符 5" o:spid="_x0000_s1026" o:spt="32" type="#_x0000_t32" style="position:absolute;left:0pt;margin-left:186.75pt;margin-top:15.45pt;height:0pt;width:196.5pt;z-index:2516602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">
            <v:path arrowok="t"/>
            <v:fill on="f" focussize="0,0"/>
            <v:stroke/>
            <v:imagedata o:title=""/>
            <o:lock v:ext="edit"/>
          </v:shape>
        </w:pict>
      </w:r>
      <w:r>
        <w:rPr>
          <w:rFonts w:hint="eastAsia" w:ascii="Times New Roman" w:hAnsi="Times New Roman" w:eastAsia="黑体" w:cs="黑体"/>
          <w:b/>
          <w:bCs/>
          <w:sz w:val="28"/>
          <w:szCs w:val="28"/>
        </w:rPr>
        <w:t>部门名称（公章）：昆明市盘龙区机关事务管理服务中心</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w:pict>
          <v:shape id="直接箭头连接符 3" o:spid="_x0000_s1029" o:spt="32" type="#_x0000_t32" style="position:absolute;left:0pt;margin-left:135pt;margin-top:14.25pt;height:0pt;width:196.5pt;z-index:2516613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ncrFRT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b/>
          <w:bCs/>
          <w:sz w:val="28"/>
          <w:szCs w:val="28"/>
        </w:rPr>
        <w:t>主管部门：昆明市盘龙区机关事务管理服务中心</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w:pict>
          <v:shape id="直接箭头连接符 2" o:spid="_x0000_s1028" o:spt="32" type="#_x0000_t32" style="position:absolute;left:0pt;margin-left:135pt;margin-top:14.25pt;height:0pt;width:196.5pt;z-index:25166233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">
            <v:path arrowok="t"/>
            <v:fill on="f" focussize="0,0"/>
            <v:stroke/>
            <v:imagedata o:title=""/>
            <o:lock v:ext="edit"/>
          </v:shape>
        </w:pict>
      </w:r>
      <w:r>
        <w:rPr>
          <w:rFonts w:hint="eastAsia" w:ascii="Times New Roman" w:hAnsi="Times New Roman" w:eastAsia="黑体" w:cs="黑体"/>
          <w:b/>
          <w:bCs/>
          <w:sz w:val="28"/>
          <w:szCs w:val="28"/>
        </w:rPr>
        <w:t>项目名称：白邑寺老干活动中心公园综合管理专项经费</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w:pict>
          <v:shape id="直接箭头连接符 1" o:spid="_x0000_s1027" o:spt="32" type="#_x0000_t32" style="position:absolute;left:0pt;margin-left:135pt;margin-top:14.25pt;height:0pt;width:196.5pt;z-index:25166336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gBxFRj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b/>
          <w:bCs/>
          <w:sz w:val="28"/>
          <w:szCs w:val="28"/>
        </w:rPr>
        <w:t>绩效自评日期：</w:t>
      </w:r>
      <w:r>
        <w:rPr>
          <w:rFonts w:hint="eastAsia" w:ascii="Times New Roman" w:hAnsi="Times New Roman" w:eastAsia="黑体" w:cs="Times New Roman"/>
          <w:b/>
          <w:bCs/>
          <w:sz w:val="28"/>
          <w:szCs w:val="28"/>
        </w:rPr>
        <w:t>2021年5月</w:t>
      </w:r>
      <w:r>
        <w:rPr>
          <w:rFonts w:hint="eastAsia" w:ascii="Times New Roman" w:hAnsi="Times New Roman" w:eastAsia="黑体" w:cs="Times New Roman"/>
          <w:b/>
          <w:bCs/>
          <w:sz w:val="28"/>
          <w:szCs w:val="28"/>
          <w:lang w:val="en-US" w:eastAsia="zh-CN"/>
        </w:rPr>
        <w:t>2</w:t>
      </w:r>
      <w:r>
        <w:rPr>
          <w:rFonts w:hint="eastAsia" w:ascii="Times New Roman" w:hAnsi="Times New Roman" w:eastAsia="黑体" w:cs="Times New Roman"/>
          <w:b/>
          <w:bCs/>
          <w:sz w:val="28"/>
          <w:szCs w:val="28"/>
        </w:rPr>
        <w:t>4日</w:t>
      </w: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p>
    <w:p>
      <w:pPr>
        <w:jc w:val="center"/>
        <w:rPr>
          <w:rFonts w:ascii="仿宋" w:hAnsi="仿宋" w:eastAsia="仿宋" w:cs="黑体"/>
          <w:b/>
          <w:bCs/>
          <w:sz w:val="32"/>
          <w:szCs w:val="32"/>
        </w:rPr>
      </w:pPr>
      <w:r>
        <w:rPr>
          <w:rFonts w:ascii="仿宋" w:hAnsi="仿宋" w:eastAsia="仿宋"/>
          <w:b/>
          <w:bCs/>
          <w:sz w:val="32"/>
          <w:szCs w:val="32"/>
        </w:rPr>
        <w:t>20</w:t>
      </w:r>
      <w:r>
        <w:rPr>
          <w:rFonts w:hint="eastAsia" w:ascii="仿宋" w:hAnsi="仿宋" w:eastAsia="仿宋"/>
          <w:b/>
          <w:bCs/>
          <w:sz w:val="32"/>
          <w:szCs w:val="32"/>
        </w:rPr>
        <w:t>21</w:t>
      </w:r>
      <w:r>
        <w:rPr>
          <w:rFonts w:hint="eastAsia" w:ascii="仿宋" w:hAnsi="仿宋" w:eastAsia="仿宋" w:cs="黑体"/>
          <w:b/>
          <w:bCs/>
          <w:sz w:val="32"/>
          <w:szCs w:val="32"/>
        </w:rPr>
        <w:t>年</w:t>
      </w:r>
      <w:r>
        <w:rPr>
          <w:rFonts w:hint="eastAsia" w:ascii="仿宋" w:hAnsi="仿宋" w:eastAsia="仿宋"/>
          <w:b/>
          <w:bCs/>
          <w:sz w:val="32"/>
          <w:szCs w:val="32"/>
        </w:rPr>
        <w:t>5</w:t>
      </w:r>
      <w:r>
        <w:rPr>
          <w:rFonts w:hint="eastAsia" w:ascii="仿宋" w:hAnsi="仿宋" w:eastAsia="仿宋" w:cs="黑体"/>
          <w:b/>
          <w:bCs/>
          <w:sz w:val="32"/>
          <w:szCs w:val="32"/>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spacing w:line="360" w:lineRule="auto"/>
        <w:ind w:left="420" w:leftChars="200"/>
        <w:rPr>
          <w:rFonts w:ascii="Times New Roman" w:hAnsi="Times New Roman" w:eastAsia="黑体" w:cs="黑体"/>
          <w:color w:val="000000"/>
          <w:sz w:val="24"/>
          <w:szCs w:val="24"/>
          <w:u w:color="000000"/>
          <w:lang w:val="zh-TW" w:eastAsia="zh-TW"/>
        </w:rPr>
      </w:pPr>
    </w:p>
    <w:p>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753"/>
        <w:gridCol w:w="1488"/>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488"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9" w:hRule="atLeast"/>
        </w:trPr>
        <w:tc>
          <w:tcPr>
            <w:tcW w:w="1620" w:type="dxa"/>
            <w:vAlign w:val="center"/>
          </w:tcPr>
          <w:p>
            <w:pPr>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组长</w:t>
            </w:r>
          </w:p>
        </w:tc>
        <w:tc>
          <w:tcPr>
            <w:tcW w:w="1620" w:type="dxa"/>
            <w:vAlign w:val="center"/>
          </w:tcPr>
          <w:p>
            <w:pPr>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肖伟</w:t>
            </w:r>
          </w:p>
        </w:tc>
        <w:tc>
          <w:tcPr>
            <w:tcW w:w="1753" w:type="dxa"/>
            <w:vAlign w:val="center"/>
          </w:tcPr>
          <w:p>
            <w:pPr>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副主任</w:t>
            </w:r>
          </w:p>
        </w:tc>
        <w:tc>
          <w:tcPr>
            <w:tcW w:w="1488" w:type="dxa"/>
            <w:vAlign w:val="center"/>
          </w:tcPr>
          <w:p>
            <w:pPr>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rPr>
              <w:t>政府办</w:t>
            </w:r>
          </w:p>
        </w:tc>
        <w:tc>
          <w:tcPr>
            <w:tcW w:w="1621" w:type="dxa"/>
          </w:tcPr>
          <w:p>
            <w:pPr>
              <w:rPr>
                <w:rFonts w:hint="eastAsia"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1620"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闫鑫</w:t>
            </w:r>
          </w:p>
        </w:tc>
        <w:tc>
          <w:tcPr>
            <w:tcW w:w="1753"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机关事务管理服务中心</w:t>
            </w:r>
          </w:p>
        </w:tc>
        <w:tc>
          <w:tcPr>
            <w:tcW w:w="1621" w:type="dxa"/>
          </w:tcPr>
          <w:p>
            <w:pPr>
              <w:spacing w:line="360" w:lineRule="auto"/>
              <w:rPr>
                <w:rFonts w:hint="eastAsia"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1620"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杨艳</w:t>
            </w:r>
          </w:p>
        </w:tc>
        <w:tc>
          <w:tcPr>
            <w:tcW w:w="1753"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机关事务管理服务中心</w:t>
            </w:r>
          </w:p>
        </w:tc>
        <w:tc>
          <w:tcPr>
            <w:tcW w:w="1621" w:type="dxa"/>
          </w:tcPr>
          <w:p>
            <w:pPr>
              <w:spacing w:line="360" w:lineRule="auto"/>
              <w:rPr>
                <w:rFonts w:hint="eastAsia"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trPr>
        <w:tc>
          <w:tcPr>
            <w:tcW w:w="1620"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lang w:val="zh-TW"/>
              </w:rPr>
              <w:t>和娟</w:t>
            </w:r>
          </w:p>
        </w:tc>
        <w:tc>
          <w:tcPr>
            <w:tcW w:w="1753" w:type="dxa"/>
          </w:tcPr>
          <w:p>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主任</w:t>
            </w:r>
          </w:p>
        </w:tc>
        <w:tc>
          <w:tcPr>
            <w:tcW w:w="1488" w:type="dxa"/>
          </w:tcPr>
          <w:p>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办公室</w:t>
            </w:r>
          </w:p>
        </w:tc>
        <w:tc>
          <w:tcPr>
            <w:tcW w:w="1621" w:type="dxa"/>
          </w:tcPr>
          <w:p>
            <w:pPr>
              <w:spacing w:line="360" w:lineRule="auto"/>
              <w:rPr>
                <w:rFonts w:hint="eastAsia"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trPr>
        <w:tc>
          <w:tcPr>
            <w:tcW w:w="1620"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董文富</w:t>
            </w:r>
          </w:p>
        </w:tc>
        <w:tc>
          <w:tcPr>
            <w:tcW w:w="1753" w:type="dxa"/>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科长</w:t>
            </w:r>
          </w:p>
        </w:tc>
        <w:tc>
          <w:tcPr>
            <w:tcW w:w="1488" w:type="dxa"/>
          </w:tcPr>
          <w:p>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房产基建科</w:t>
            </w:r>
          </w:p>
        </w:tc>
        <w:tc>
          <w:tcPr>
            <w:tcW w:w="1621" w:type="dxa"/>
          </w:tcPr>
          <w:p>
            <w:pPr>
              <w:spacing w:line="360" w:lineRule="auto"/>
              <w:rPr>
                <w:rFonts w:hint="eastAsia"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trPr>
        <w:tc>
          <w:tcPr>
            <w:tcW w:w="1620" w:type="dxa"/>
            <w:vAlign w:val="center"/>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杜云新</w:t>
            </w:r>
          </w:p>
        </w:tc>
        <w:tc>
          <w:tcPr>
            <w:tcW w:w="1753" w:type="dxa"/>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科长</w:t>
            </w:r>
          </w:p>
        </w:tc>
        <w:tc>
          <w:tcPr>
            <w:tcW w:w="1488" w:type="dxa"/>
          </w:tcPr>
          <w:p>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保卫科</w:t>
            </w:r>
          </w:p>
        </w:tc>
        <w:tc>
          <w:tcPr>
            <w:tcW w:w="1621" w:type="dxa"/>
          </w:tcPr>
          <w:p>
            <w:pPr>
              <w:spacing w:line="360" w:lineRule="auto"/>
              <w:rPr>
                <w:rFonts w:hint="eastAsia"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pStyle w:val="7"/>
        <w:rPr>
          <w:rStyle w:val="12"/>
          <w:color w:val="auto"/>
          <w:u w:val="none"/>
        </w:rPr>
      </w:pPr>
    </w:p>
    <w:p>
      <w:pPr>
        <w:pStyle w:val="7"/>
        <w:rPr>
          <w:rStyle w:val="12"/>
          <w:color w:val="auto"/>
          <w:u w:val="none"/>
        </w:rPr>
      </w:pPr>
    </w:p>
    <w:p>
      <w:pPr>
        <w:pStyle w:val="7"/>
        <w:rPr>
          <w:rStyle w:val="12"/>
          <w:color w:val="auto"/>
          <w:u w:val="none"/>
        </w:rPr>
      </w:pPr>
    </w:p>
    <w:p>
      <w:pPr>
        <w:pStyle w:val="7"/>
        <w:rPr>
          <w:rStyle w:val="12"/>
          <w:color w:val="auto"/>
          <w:u w:val="none"/>
        </w:rPr>
      </w:pPr>
    </w:p>
    <w:p>
      <w:pPr>
        <w:pStyle w:val="7"/>
        <w:spacing w:line="440" w:lineRule="exact"/>
        <w:rPr>
          <w:rStyle w:val="12"/>
          <w:rFonts w:ascii="黑体" w:hAnsi="黑体" w:cs="黑体"/>
          <w:color w:val="auto"/>
          <w:sz w:val="44"/>
          <w:szCs w:val="44"/>
          <w:u w:val="none"/>
        </w:rPr>
      </w:pPr>
      <w:r>
        <w:rPr>
          <w:rStyle w:val="12"/>
          <w:rFonts w:hint="eastAsia" w:ascii="黑体" w:hAnsi="黑体" w:cs="黑体"/>
          <w:color w:val="auto"/>
          <w:sz w:val="44"/>
          <w:szCs w:val="44"/>
          <w:u w:val="none"/>
        </w:rPr>
        <w:t>目录</w:t>
      </w:r>
    </w:p>
    <w:p>
      <w:pPr>
        <w:spacing w:line="440" w:lineRule="exact"/>
        <w:rPr>
          <w:rFonts w:ascii="黑体" w:hAnsi="黑体" w:eastAsia="黑体" w:cs="黑体"/>
          <w:sz w:val="28"/>
          <w:szCs w:val="28"/>
        </w:rPr>
      </w:pPr>
    </w:p>
    <w:p>
      <w:pPr>
        <w:pStyle w:val="7"/>
        <w:spacing w:line="440" w:lineRule="exact"/>
        <w:rPr>
          <w:rStyle w:val="12"/>
          <w:rFonts w:ascii="黑体" w:hAnsi="黑体" w:cs="黑体"/>
          <w:color w:val="auto"/>
          <w:sz w:val="28"/>
          <w:szCs w:val="28"/>
          <w:u w:val="none"/>
        </w:rPr>
      </w:pPr>
      <w:r>
        <w:rPr>
          <w:rStyle w:val="12"/>
          <w:rFonts w:hint="eastAsia" w:ascii="黑体" w:hAnsi="黑体" w:cs="黑体"/>
          <w:color w:val="auto"/>
          <w:sz w:val="28"/>
          <w:szCs w:val="28"/>
          <w:u w:val="none"/>
        </w:rPr>
        <w:t>摘要</w:t>
      </w:r>
    </w:p>
    <w:p>
      <w:pPr>
        <w:pStyle w:val="7"/>
        <w:tabs>
          <w:tab w:val="right" w:leader="dot" w:pos="8306"/>
          <w:tab w:val="clear" w:pos="8296"/>
        </w:tabs>
        <w:spacing w:line="440" w:lineRule="exact"/>
        <w:rPr>
          <w:rFonts w:ascii="黑体" w:hAnsi="黑体" w:cs="黑体"/>
          <w:sz w:val="28"/>
          <w:szCs w:val="28"/>
        </w:rPr>
      </w:pPr>
      <w:r>
        <w:rPr>
          <w:rStyle w:val="12"/>
          <w:rFonts w:hint="eastAsia"/>
        </w:rPr>
        <w:fldChar w:fldCharType="begin"/>
      </w:r>
      <w:r>
        <w:rPr>
          <w:rStyle w:val="12"/>
          <w:rFonts w:hint="eastAsia" w:ascii="黑体" w:hAnsi="黑体" w:cs="黑体"/>
          <w:sz w:val="28"/>
          <w:szCs w:val="28"/>
        </w:rPr>
        <w:instrText xml:space="preserve">TOC \o "1-2" \h \z \u</w:instrText>
      </w:r>
      <w:r>
        <w:rPr>
          <w:rStyle w:val="12"/>
          <w:rFonts w:hint="eastAsia"/>
        </w:rPr>
        <w:fldChar w:fldCharType="separate"/>
      </w:r>
      <w:r>
        <w:fldChar w:fldCharType="begin"/>
      </w:r>
      <w:r>
        <w:instrText xml:space="preserve"> HYPERLINK \l "_Toc21999" </w:instrText>
      </w:r>
      <w:r>
        <w:fldChar w:fldCharType="separate"/>
      </w:r>
      <w:r>
        <w:rPr>
          <w:rFonts w:hint="eastAsia" w:ascii="黑体" w:hAnsi="黑体" w:cs="黑体"/>
          <w:kern w:val="44"/>
          <w:sz w:val="28"/>
          <w:szCs w:val="28"/>
        </w:rPr>
        <w:t>一、项目概况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_Toc21999 </w:instrText>
      </w:r>
      <w:r>
        <w:rPr>
          <w:rFonts w:hint="eastAsia" w:ascii="黑体" w:hAnsi="黑体" w:cs="黑体"/>
          <w:sz w:val="28"/>
          <w:szCs w:val="28"/>
        </w:rPr>
        <w:fldChar w:fldCharType="separate"/>
      </w:r>
      <w:r>
        <w:rPr>
          <w:rFonts w:hint="eastAsia" w:ascii="黑体" w:hAnsi="黑体" w:cs="黑体"/>
          <w:sz w:val="28"/>
          <w:szCs w:val="28"/>
        </w:rPr>
        <w:t>4</w:t>
      </w:r>
      <w:r>
        <w:rPr>
          <w:rFonts w:hint="eastAsia" w:ascii="黑体" w:hAnsi="黑体" w:cs="黑体"/>
          <w:sz w:val="28"/>
          <w:szCs w:val="28"/>
        </w:rPr>
        <w:fldChar w:fldCharType="end"/>
      </w:r>
      <w:r>
        <w:rPr>
          <w:rFonts w:hint="eastAsia" w:ascii="黑体" w:hAnsi="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"_Toc27318" </w:instrText>
      </w:r>
      <w:r>
        <w:fldChar w:fldCharType="separate"/>
      </w:r>
      <w:r>
        <w:rPr>
          <w:rFonts w:hint="eastAsia" w:ascii="黑体" w:hAnsi="黑体" w:eastAsia="黑体" w:cs="黑体"/>
          <w:sz w:val="28"/>
          <w:szCs w:val="28"/>
        </w:rPr>
        <w:t>（一）项目立项背景及目的</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_Toc27318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"_Toc8460" </w:instrText>
      </w:r>
      <w:r>
        <w:fldChar w:fldCharType="separate"/>
      </w:r>
      <w:r>
        <w:rPr>
          <w:rFonts w:hint="eastAsia" w:ascii="黑体" w:hAnsi="黑体" w:eastAsia="黑体" w:cs="黑体"/>
          <w:sz w:val="28"/>
          <w:szCs w:val="28"/>
        </w:rPr>
        <w:t>（二）预算收支情况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_Toc8460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"_Toc11128" </w:instrText>
      </w:r>
      <w:r>
        <w:fldChar w:fldCharType="separate"/>
      </w:r>
      <w:r>
        <w:rPr>
          <w:rFonts w:hint="eastAsia" w:ascii="黑体" w:hAnsi="黑体" w:cs="黑体"/>
          <w:kern w:val="44"/>
          <w:sz w:val="28"/>
          <w:szCs w:val="28"/>
        </w:rPr>
        <w:t>二、评价结论</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_Toc11128 </w:instrText>
      </w:r>
      <w:r>
        <w:rPr>
          <w:rFonts w:hint="eastAsia" w:ascii="黑体" w:hAnsi="黑体" w:cs="黑体"/>
          <w:sz w:val="28"/>
          <w:szCs w:val="28"/>
        </w:rPr>
        <w:fldChar w:fldCharType="separate"/>
      </w:r>
      <w:r>
        <w:rPr>
          <w:rFonts w:hint="eastAsia" w:ascii="黑体" w:hAnsi="黑体" w:cs="黑体"/>
          <w:sz w:val="28"/>
          <w:szCs w:val="28"/>
        </w:rPr>
        <w:t>5</w:t>
      </w:r>
      <w:r>
        <w:rPr>
          <w:rFonts w:hint="eastAsia" w:ascii="黑体" w:hAnsi="黑体" w:cs="黑体"/>
          <w:sz w:val="28"/>
          <w:szCs w:val="28"/>
        </w:rPr>
        <w:fldChar w:fldCharType="end"/>
      </w:r>
      <w:r>
        <w:rPr>
          <w:rFonts w:hint="eastAsia" w:ascii="黑体" w:hAnsi="黑体" w:cs="黑体"/>
          <w:sz w:val="28"/>
          <w:szCs w:val="28"/>
        </w:rPr>
        <w:fldChar w:fldCharType="end"/>
      </w:r>
    </w:p>
    <w:p>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"_Toc8608" </w:instrText>
      </w:r>
      <w:r>
        <w:fldChar w:fldCharType="separate"/>
      </w:r>
      <w:r>
        <w:rPr>
          <w:rFonts w:hint="eastAsia" w:ascii="黑体" w:hAnsi="黑体" w:cs="黑体"/>
          <w:kern w:val="44"/>
          <w:sz w:val="28"/>
          <w:szCs w:val="28"/>
        </w:rPr>
        <w:t>三、经验、问题和建议</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_Toc8608 </w:instrText>
      </w:r>
      <w:r>
        <w:rPr>
          <w:rFonts w:hint="eastAsia" w:ascii="黑体" w:hAnsi="黑体" w:cs="黑体"/>
          <w:sz w:val="28"/>
          <w:szCs w:val="28"/>
        </w:rPr>
        <w:fldChar w:fldCharType="separate"/>
      </w:r>
      <w:r>
        <w:rPr>
          <w:rFonts w:hint="eastAsia" w:ascii="黑体" w:hAnsi="黑体" w:cs="黑体"/>
          <w:sz w:val="28"/>
          <w:szCs w:val="28"/>
        </w:rPr>
        <w:t>5</w:t>
      </w:r>
      <w:r>
        <w:rPr>
          <w:rFonts w:hint="eastAsia" w:ascii="黑体" w:hAnsi="黑体" w:cs="黑体"/>
          <w:sz w:val="28"/>
          <w:szCs w:val="28"/>
        </w:rPr>
        <w:fldChar w:fldCharType="end"/>
      </w:r>
      <w:r>
        <w:rPr>
          <w:rFonts w:hint="eastAsia" w:ascii="黑体" w:hAnsi="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"_Toc26064" </w:instrText>
      </w:r>
      <w:r>
        <w:fldChar w:fldCharType="separate"/>
      </w:r>
      <w:r>
        <w:rPr>
          <w:rFonts w:hint="eastAsia" w:ascii="黑体" w:hAnsi="黑体" w:eastAsia="黑体" w:cs="黑体"/>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_Toc26064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"_Toc12407" </w:instrText>
      </w:r>
      <w:r>
        <w:fldChar w:fldCharType="separate"/>
      </w:r>
      <w:r>
        <w:rPr>
          <w:rFonts w:hint="eastAsia" w:ascii="黑体" w:hAnsi="黑体" w:eastAsia="黑体" w:cs="黑体"/>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_Toc12407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"_Toc10578" </w:instrText>
      </w:r>
      <w:r>
        <w:fldChar w:fldCharType="separate"/>
      </w:r>
      <w:r>
        <w:rPr>
          <w:rFonts w:hint="eastAsia" w:ascii="黑体" w:hAnsi="黑体" w:eastAsia="黑体" w:cs="黑体"/>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_Toc10578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7"/>
        <w:spacing w:line="440" w:lineRule="exact"/>
        <w:rPr>
          <w:rStyle w:val="12"/>
          <w:rFonts w:ascii="黑体" w:hAnsi="黑体" w:cs="黑体"/>
          <w:color w:val="auto"/>
          <w:sz w:val="28"/>
          <w:szCs w:val="28"/>
          <w:u w:val="none"/>
        </w:rPr>
      </w:pPr>
      <w:r>
        <w:rPr>
          <w:rStyle w:val="12"/>
          <w:rFonts w:hint="eastAsia" w:ascii="黑体" w:hAnsi="黑体" w:cs="黑体"/>
          <w:color w:val="auto"/>
          <w:sz w:val="28"/>
          <w:szCs w:val="28"/>
          <w:u w:val="none"/>
        </w:rPr>
        <w:t>正文</w:t>
      </w:r>
    </w:p>
    <w:p>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"_Toc6396" </w:instrText>
      </w:r>
      <w:r>
        <w:fldChar w:fldCharType="separate"/>
      </w:r>
      <w:r>
        <w:rPr>
          <w:rFonts w:hint="eastAsia" w:ascii="黑体" w:hAnsi="黑体" w:cs="黑体"/>
          <w:kern w:val="44"/>
          <w:sz w:val="28"/>
          <w:szCs w:val="28"/>
        </w:rPr>
        <w:t>一、项目基本情况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_Toc6396 </w:instrText>
      </w:r>
      <w:r>
        <w:rPr>
          <w:rFonts w:hint="eastAsia" w:ascii="黑体" w:hAnsi="黑体" w:cs="黑体"/>
          <w:sz w:val="28"/>
          <w:szCs w:val="28"/>
        </w:rPr>
        <w:fldChar w:fldCharType="separate"/>
      </w:r>
      <w:r>
        <w:rPr>
          <w:rFonts w:hint="eastAsia" w:ascii="黑体" w:hAnsi="黑体" w:cs="黑体"/>
          <w:sz w:val="28"/>
          <w:szCs w:val="28"/>
        </w:rPr>
        <w:t>7</w:t>
      </w:r>
      <w:r>
        <w:rPr>
          <w:rFonts w:hint="eastAsia" w:ascii="黑体" w:hAnsi="黑体" w:cs="黑体"/>
          <w:sz w:val="28"/>
          <w:szCs w:val="28"/>
        </w:rPr>
        <w:fldChar w:fldCharType="end"/>
      </w:r>
      <w:r>
        <w:rPr>
          <w:rFonts w:hint="eastAsia" w:ascii="黑体" w:hAnsi="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"_Toc19773" </w:instrText>
      </w:r>
      <w:r>
        <w:fldChar w:fldCharType="separate"/>
      </w:r>
      <w:r>
        <w:rPr>
          <w:rFonts w:hint="eastAsia" w:ascii="黑体" w:hAnsi="黑体" w:eastAsia="黑体" w:cs="黑体"/>
          <w:sz w:val="28"/>
          <w:szCs w:val="28"/>
        </w:rPr>
        <w:t>（一）项目概况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_Toc19773 </w:instrText>
      </w:r>
      <w:r>
        <w:rPr>
          <w:rFonts w:hint="eastAsia" w:ascii="黑体" w:hAnsi="黑体" w:eastAsia="黑体" w:cs="黑体"/>
          <w:sz w:val="28"/>
          <w:szCs w:val="28"/>
        </w:rPr>
        <w:fldChar w:fldCharType="separate"/>
      </w:r>
      <w:r>
        <w:rPr>
          <w:rFonts w:hint="eastAsia" w:ascii="黑体" w:hAnsi="黑体" w:eastAsia="黑体" w:cs="黑体"/>
          <w:sz w:val="28"/>
          <w:szCs w:val="28"/>
        </w:rPr>
        <w:t>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"_Toc12531" </w:instrText>
      </w:r>
      <w:r>
        <w:fldChar w:fldCharType="separate"/>
      </w:r>
      <w:r>
        <w:rPr>
          <w:rFonts w:hint="eastAsia" w:ascii="黑体" w:hAnsi="黑体" w:eastAsia="黑体" w:cs="黑体"/>
          <w:sz w:val="28"/>
          <w:szCs w:val="28"/>
        </w:rPr>
        <w:t>（二）项目绩效目标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_Toc12531 </w:instrText>
      </w:r>
      <w:r>
        <w:rPr>
          <w:rFonts w:hint="eastAsia" w:ascii="黑体" w:hAnsi="黑体" w:eastAsia="黑体" w:cs="黑体"/>
          <w:sz w:val="28"/>
          <w:szCs w:val="28"/>
        </w:rPr>
        <w:fldChar w:fldCharType="separate"/>
      </w:r>
      <w:r>
        <w:rPr>
          <w:rFonts w:hint="eastAsia" w:ascii="黑体" w:hAnsi="黑体" w:eastAsia="黑体" w:cs="黑体"/>
          <w:sz w:val="28"/>
          <w:szCs w:val="28"/>
        </w:rPr>
        <w:t>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"_Toc17110" </w:instrText>
      </w:r>
      <w:r>
        <w:fldChar w:fldCharType="separate"/>
      </w:r>
      <w:r>
        <w:rPr>
          <w:rFonts w:hint="eastAsia" w:ascii="黑体" w:hAnsi="黑体" w:cs="黑体"/>
          <w:kern w:val="44"/>
          <w:sz w:val="28"/>
          <w:szCs w:val="28"/>
        </w:rPr>
        <w:t>二、绩效评价工作情况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_Toc17110 </w:instrText>
      </w:r>
      <w:r>
        <w:rPr>
          <w:rFonts w:hint="eastAsia" w:ascii="黑体" w:hAnsi="黑体" w:cs="黑体"/>
          <w:sz w:val="28"/>
          <w:szCs w:val="28"/>
        </w:rPr>
        <w:fldChar w:fldCharType="separate"/>
      </w:r>
      <w:r>
        <w:rPr>
          <w:rFonts w:hint="eastAsia" w:ascii="黑体" w:hAnsi="黑体" w:cs="黑体"/>
          <w:sz w:val="28"/>
          <w:szCs w:val="28"/>
        </w:rPr>
        <w:t>9</w:t>
      </w:r>
      <w:r>
        <w:rPr>
          <w:rFonts w:hint="eastAsia" w:ascii="黑体" w:hAnsi="黑体" w:cs="黑体"/>
          <w:sz w:val="28"/>
          <w:szCs w:val="28"/>
        </w:rPr>
        <w:fldChar w:fldCharType="end"/>
      </w:r>
      <w:r>
        <w:rPr>
          <w:rFonts w:hint="eastAsia" w:ascii="黑体" w:hAnsi="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"_Toc9676" </w:instrText>
      </w:r>
      <w:r>
        <w:fldChar w:fldCharType="separate"/>
      </w:r>
      <w:r>
        <w:rPr>
          <w:rFonts w:hint="eastAsia" w:ascii="黑体" w:hAnsi="黑体" w:eastAsia="黑体" w:cs="黑体"/>
          <w:sz w:val="28"/>
          <w:szCs w:val="28"/>
        </w:rPr>
        <w:t>(一)评价的目的和依据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_Toc9676 </w:instrText>
      </w:r>
      <w:r>
        <w:rPr>
          <w:rFonts w:hint="eastAsia" w:ascii="黑体" w:hAnsi="黑体" w:eastAsia="黑体" w:cs="黑体"/>
          <w:sz w:val="28"/>
          <w:szCs w:val="28"/>
        </w:rPr>
        <w:fldChar w:fldCharType="separate"/>
      </w:r>
      <w:r>
        <w:rPr>
          <w:rFonts w:hint="eastAsia" w:ascii="黑体" w:hAnsi="黑体" w:eastAsia="黑体" w:cs="黑体"/>
          <w:sz w:val="28"/>
          <w:szCs w:val="28"/>
        </w:rPr>
        <w:t>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"_Toc2086" </w:instrText>
      </w:r>
      <w:r>
        <w:fldChar w:fldCharType="separate"/>
      </w:r>
      <w:r>
        <w:rPr>
          <w:rFonts w:hint="eastAsia" w:ascii="黑体" w:hAnsi="黑体" w:eastAsia="黑体" w:cs="黑体"/>
          <w:sz w:val="28"/>
          <w:szCs w:val="28"/>
        </w:rPr>
        <w:t>（二）绩效评价工作方案制定过程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_Toc2086 </w:instrText>
      </w:r>
      <w:r>
        <w:rPr>
          <w:rFonts w:hint="eastAsia" w:ascii="黑体" w:hAnsi="黑体" w:eastAsia="黑体" w:cs="黑体"/>
          <w:sz w:val="28"/>
          <w:szCs w:val="28"/>
        </w:rPr>
        <w:fldChar w:fldCharType="separate"/>
      </w:r>
      <w:r>
        <w:rPr>
          <w:rFonts w:hint="eastAsia" w:ascii="黑体" w:hAnsi="黑体" w:eastAsia="黑体" w:cs="黑体"/>
          <w:sz w:val="28"/>
          <w:szCs w:val="28"/>
        </w:rPr>
        <w:t>10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"_Toc21465" </w:instrText>
      </w:r>
      <w:r>
        <w:fldChar w:fldCharType="separate"/>
      </w:r>
      <w:r>
        <w:rPr>
          <w:rFonts w:hint="eastAsia" w:ascii="黑体" w:hAnsi="黑体" w:eastAsia="黑体" w:cs="黑体"/>
          <w:sz w:val="28"/>
          <w:szCs w:val="28"/>
        </w:rPr>
        <w:t>（三）绩效评价原则及评价方法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_Toc21465 </w:instrText>
      </w:r>
      <w:r>
        <w:rPr>
          <w:rFonts w:hint="eastAsia" w:ascii="黑体" w:hAnsi="黑体" w:eastAsia="黑体" w:cs="黑体"/>
          <w:sz w:val="28"/>
          <w:szCs w:val="28"/>
        </w:rPr>
        <w:fldChar w:fldCharType="separate"/>
      </w:r>
      <w:r>
        <w:rPr>
          <w:rFonts w:hint="eastAsia" w:ascii="黑体" w:hAnsi="黑体" w:eastAsia="黑体" w:cs="黑体"/>
          <w:sz w:val="28"/>
          <w:szCs w:val="28"/>
        </w:rPr>
        <w:t>11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"_Toc6957" </w:instrText>
      </w:r>
      <w:r>
        <w:fldChar w:fldCharType="separate"/>
      </w:r>
      <w:r>
        <w:rPr>
          <w:rFonts w:hint="eastAsia" w:ascii="黑体" w:hAnsi="黑体" w:eastAsia="黑体" w:cs="黑体"/>
          <w:sz w:val="28"/>
          <w:szCs w:val="28"/>
        </w:rPr>
        <w:t>(四) 绩效评价实施过程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_Toc6957 </w:instrText>
      </w:r>
      <w:r>
        <w:rPr>
          <w:rFonts w:hint="eastAsia" w:ascii="黑体" w:hAnsi="黑体" w:eastAsia="黑体" w:cs="黑体"/>
          <w:sz w:val="28"/>
          <w:szCs w:val="28"/>
        </w:rPr>
        <w:fldChar w:fldCharType="separate"/>
      </w:r>
      <w:r>
        <w:rPr>
          <w:rFonts w:hint="eastAsia" w:ascii="黑体" w:hAnsi="黑体" w:eastAsia="黑体" w:cs="黑体"/>
          <w:sz w:val="28"/>
          <w:szCs w:val="28"/>
        </w:rPr>
        <w:t>11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"_Toc32216" </w:instrText>
      </w:r>
      <w:r>
        <w:fldChar w:fldCharType="separate"/>
      </w:r>
      <w:r>
        <w:rPr>
          <w:rFonts w:hint="eastAsia" w:ascii="黑体" w:hAnsi="黑体" w:eastAsia="黑体" w:cs="黑体"/>
          <w:sz w:val="28"/>
          <w:szCs w:val="28"/>
        </w:rPr>
        <w:t>（五）绩效评价的局限性</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_Toc32216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"_Toc17423" </w:instrText>
      </w:r>
      <w:r>
        <w:fldChar w:fldCharType="separate"/>
      </w:r>
      <w:r>
        <w:rPr>
          <w:rFonts w:hint="eastAsia" w:ascii="黑体" w:hAnsi="黑体" w:cs="黑体"/>
          <w:kern w:val="44"/>
          <w:sz w:val="28"/>
          <w:szCs w:val="28"/>
        </w:rPr>
        <w:t>三、评价结论和绩效分析</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_Toc17423 </w:instrText>
      </w:r>
      <w:r>
        <w:rPr>
          <w:rFonts w:hint="eastAsia" w:ascii="黑体" w:hAnsi="黑体" w:cs="黑体"/>
          <w:sz w:val="28"/>
          <w:szCs w:val="28"/>
        </w:rPr>
        <w:fldChar w:fldCharType="separate"/>
      </w:r>
      <w:r>
        <w:rPr>
          <w:rFonts w:hint="eastAsia" w:ascii="黑体" w:hAnsi="黑体" w:cs="黑体"/>
          <w:sz w:val="28"/>
          <w:szCs w:val="28"/>
        </w:rPr>
        <w:t>12</w:t>
      </w:r>
      <w:r>
        <w:rPr>
          <w:rFonts w:hint="eastAsia" w:ascii="黑体" w:hAnsi="黑体" w:cs="黑体"/>
          <w:sz w:val="28"/>
          <w:szCs w:val="28"/>
        </w:rPr>
        <w:fldChar w:fldCharType="end"/>
      </w:r>
      <w:r>
        <w:rPr>
          <w:rFonts w:hint="eastAsia" w:ascii="黑体" w:hAnsi="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"_Toc7732" </w:instrText>
      </w:r>
      <w:r>
        <w:fldChar w:fldCharType="separate"/>
      </w:r>
      <w:r>
        <w:rPr>
          <w:rFonts w:hint="eastAsia" w:ascii="黑体" w:hAnsi="黑体" w:eastAsia="黑体" w:cs="黑体"/>
          <w:sz w:val="28"/>
          <w:szCs w:val="28"/>
        </w:rPr>
        <w:t>(一)评价结论</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_Toc7732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"_Toc25367" </w:instrText>
      </w:r>
      <w:r>
        <w:fldChar w:fldCharType="separate"/>
      </w:r>
      <w:r>
        <w:rPr>
          <w:rFonts w:hint="eastAsia" w:ascii="黑体" w:hAnsi="黑体" w:eastAsia="黑体" w:cs="黑体"/>
          <w:sz w:val="28"/>
          <w:szCs w:val="28"/>
        </w:rPr>
        <w:t>（二）具体绩效分析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_Toc25367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"_Toc19821" </w:instrText>
      </w:r>
      <w:r>
        <w:fldChar w:fldCharType="separate"/>
      </w:r>
      <w:r>
        <w:rPr>
          <w:rFonts w:hint="eastAsia" w:ascii="黑体" w:hAnsi="黑体" w:cs="黑体"/>
          <w:kern w:val="44"/>
          <w:sz w:val="28"/>
          <w:szCs w:val="28"/>
        </w:rPr>
        <w:t>四、成本效益分析</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_Toc19821 </w:instrText>
      </w:r>
      <w:r>
        <w:rPr>
          <w:rFonts w:hint="eastAsia" w:ascii="黑体" w:hAnsi="黑体" w:cs="黑体"/>
          <w:sz w:val="28"/>
          <w:szCs w:val="28"/>
        </w:rPr>
        <w:fldChar w:fldCharType="separate"/>
      </w:r>
      <w:r>
        <w:rPr>
          <w:rFonts w:hint="eastAsia" w:ascii="黑体" w:hAnsi="黑体" w:cs="黑体"/>
          <w:sz w:val="28"/>
          <w:szCs w:val="28"/>
        </w:rPr>
        <w:t>13</w:t>
      </w:r>
      <w:r>
        <w:rPr>
          <w:rFonts w:hint="eastAsia" w:ascii="黑体" w:hAnsi="黑体" w:cs="黑体"/>
          <w:sz w:val="28"/>
          <w:szCs w:val="28"/>
        </w:rPr>
        <w:fldChar w:fldCharType="end"/>
      </w:r>
      <w:r>
        <w:rPr>
          <w:rFonts w:hint="eastAsia" w:ascii="黑体" w:hAnsi="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"_Toc2714" </w:instrText>
      </w:r>
      <w:r>
        <w:fldChar w:fldCharType="separate"/>
      </w:r>
      <w:r>
        <w:rPr>
          <w:rFonts w:hint="eastAsia" w:ascii="黑体" w:hAnsi="黑体" w:eastAsia="黑体" w:cs="黑体"/>
          <w:sz w:val="28"/>
          <w:szCs w:val="28"/>
        </w:rPr>
        <w:t>（一）项目经济性分析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_Toc2714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"_Toc10483" </w:instrText>
      </w:r>
      <w:r>
        <w:fldChar w:fldCharType="separate"/>
      </w:r>
      <w:r>
        <w:rPr>
          <w:rFonts w:hint="eastAsia" w:ascii="黑体" w:hAnsi="黑体" w:eastAsia="黑体" w:cs="黑体"/>
          <w:sz w:val="28"/>
          <w:szCs w:val="28"/>
        </w:rPr>
        <w:t>（二）项目的效益性分析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_Toc10483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7"/>
        <w:tabs>
          <w:tab w:val="right" w:leader="dot" w:pos="8306"/>
          <w:tab w:val="clear" w:pos="8296"/>
        </w:tabs>
        <w:spacing w:line="440" w:lineRule="exact"/>
        <w:rPr>
          <w:rFonts w:ascii="黑体" w:hAnsi="黑体" w:cs="黑体"/>
          <w:sz w:val="28"/>
          <w:szCs w:val="28"/>
        </w:rPr>
      </w:pPr>
      <w:r>
        <w:fldChar w:fldCharType="begin"/>
      </w:r>
      <w:r>
        <w:instrText xml:space="preserve"> HYPERLINK \l "_Toc11512" </w:instrText>
      </w:r>
      <w:r>
        <w:fldChar w:fldCharType="separate"/>
      </w:r>
      <w:r>
        <w:rPr>
          <w:rFonts w:hint="eastAsia" w:ascii="黑体" w:hAnsi="黑体" w:cs="黑体"/>
          <w:kern w:val="44"/>
          <w:sz w:val="28"/>
          <w:szCs w:val="28"/>
        </w:rPr>
        <w:t>五、项目主要经验及做法、存在的问题和建议</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_Toc11512 </w:instrText>
      </w:r>
      <w:r>
        <w:rPr>
          <w:rFonts w:hint="eastAsia" w:ascii="黑体" w:hAnsi="黑体" w:cs="黑体"/>
          <w:sz w:val="28"/>
          <w:szCs w:val="28"/>
        </w:rPr>
        <w:fldChar w:fldCharType="separate"/>
      </w:r>
      <w:r>
        <w:rPr>
          <w:rFonts w:hint="eastAsia" w:ascii="黑体" w:hAnsi="黑体" w:cs="黑体"/>
          <w:sz w:val="28"/>
          <w:szCs w:val="28"/>
        </w:rPr>
        <w:t>14</w:t>
      </w:r>
      <w:r>
        <w:rPr>
          <w:rFonts w:hint="eastAsia" w:ascii="黑体" w:hAnsi="黑体" w:cs="黑体"/>
          <w:sz w:val="28"/>
          <w:szCs w:val="28"/>
        </w:rPr>
        <w:fldChar w:fldCharType="end"/>
      </w:r>
      <w:r>
        <w:rPr>
          <w:rFonts w:hint="eastAsia" w:ascii="黑体" w:hAnsi="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"_Toc8621" </w:instrText>
      </w:r>
      <w:r>
        <w:fldChar w:fldCharType="separate"/>
      </w:r>
      <w:r>
        <w:rPr>
          <w:rFonts w:hint="eastAsia" w:ascii="黑体" w:hAnsi="黑体" w:eastAsia="黑体" w:cs="黑体"/>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_Toc8621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"_Toc10098" </w:instrText>
      </w:r>
      <w:r>
        <w:fldChar w:fldCharType="separate"/>
      </w:r>
      <w:r>
        <w:rPr>
          <w:rFonts w:hint="eastAsia" w:ascii="黑体" w:hAnsi="黑体" w:eastAsia="黑体" w:cs="黑体"/>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_Toc10098 </w:instrText>
      </w:r>
      <w:r>
        <w:rPr>
          <w:rFonts w:hint="eastAsia" w:ascii="黑体" w:hAnsi="黑体" w:eastAsia="黑体" w:cs="黑体"/>
          <w:sz w:val="28"/>
          <w:szCs w:val="28"/>
        </w:rPr>
        <w:fldChar w:fldCharType="separate"/>
      </w:r>
      <w:r>
        <w:rPr>
          <w:rFonts w:hint="eastAsia" w:ascii="黑体" w:hAnsi="黑体" w:eastAsia="黑体" w:cs="黑体"/>
          <w:sz w:val="28"/>
          <w:szCs w:val="28"/>
        </w:rPr>
        <w:t>15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tabs>
          <w:tab w:val="right" w:leader="dot" w:pos="8306"/>
        </w:tabs>
        <w:spacing w:line="440" w:lineRule="exact"/>
        <w:rPr>
          <w:rFonts w:ascii="黑体" w:hAnsi="黑体" w:eastAsia="黑体" w:cs="黑体"/>
          <w:sz w:val="28"/>
          <w:szCs w:val="28"/>
        </w:rPr>
      </w:pPr>
      <w:r>
        <w:fldChar w:fldCharType="begin"/>
      </w:r>
      <w:r>
        <w:instrText xml:space="preserve"> HYPERLINK \l "_Toc30693" </w:instrText>
      </w:r>
      <w:r>
        <w:fldChar w:fldCharType="separate"/>
      </w:r>
      <w:r>
        <w:rPr>
          <w:rFonts w:hint="eastAsia" w:ascii="黑体" w:hAnsi="黑体" w:eastAsia="黑体" w:cs="黑体"/>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_Toc30693 </w:instrText>
      </w:r>
      <w:r>
        <w:rPr>
          <w:rFonts w:hint="eastAsia" w:ascii="黑体" w:hAnsi="黑体" w:eastAsia="黑体" w:cs="黑体"/>
          <w:sz w:val="28"/>
          <w:szCs w:val="28"/>
        </w:rPr>
        <w:fldChar w:fldCharType="separate"/>
      </w:r>
      <w:r>
        <w:rPr>
          <w:rFonts w:hint="eastAsia" w:ascii="黑体" w:hAnsi="黑体" w:eastAsia="黑体" w:cs="黑体"/>
          <w:sz w:val="28"/>
          <w:szCs w:val="28"/>
        </w:rPr>
        <w:t>15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7"/>
        <w:spacing w:line="440" w:lineRule="exact"/>
        <w:rPr>
          <w:rFonts w:ascii="黑体" w:hAnsi="黑体"/>
          <w:szCs w:val="32"/>
        </w:rPr>
      </w:pPr>
      <w:r>
        <w:rPr>
          <w:rFonts w:hint="eastAsia" w:ascii="黑体" w:hAnsi="黑体" w:cs="黑体"/>
          <w:sz w:val="28"/>
          <w:szCs w:val="28"/>
        </w:rPr>
        <w:fldChar w:fldCharType="end"/>
      </w:r>
    </w:p>
    <w:p>
      <w:pPr>
        <w:pageBreakBefore w:val="0"/>
        <w:tabs>
          <w:tab w:val="left" w:pos="1215"/>
        </w:tabs>
        <w:kinsoku/>
        <w:wordWrap/>
        <w:overflowPunct/>
        <w:autoSpaceDE/>
        <w:autoSpaceDN/>
        <w:bidi w:val="0"/>
        <w:adjustRightInd/>
        <w:snapToGrid/>
        <w:spacing w:line="560" w:lineRule="exact"/>
        <w:jc w:val="center"/>
        <w:rPr>
          <w:rFonts w:ascii="Times New Roman" w:hAnsi="Times New Roman" w:cs="Times New Roman"/>
          <w:b/>
          <w:sz w:val="44"/>
          <w:szCs w:val="44"/>
        </w:rPr>
      </w:pPr>
      <w:r>
        <w:rPr>
          <w:rFonts w:ascii="Times New Roman" w:cs="Times New Roman" w:hAnsiTheme="minorEastAsia"/>
          <w:b/>
          <w:sz w:val="44"/>
          <w:szCs w:val="44"/>
        </w:rPr>
        <w:t>昆明市盘龙区机关事务管理服务中心</w:t>
      </w:r>
    </w:p>
    <w:p>
      <w:pPr>
        <w:pageBreakBefore w:val="0"/>
        <w:tabs>
          <w:tab w:val="left" w:pos="1215"/>
        </w:tabs>
        <w:kinsoku/>
        <w:wordWrap/>
        <w:overflowPunct/>
        <w:autoSpaceDE/>
        <w:autoSpaceDN/>
        <w:bidi w:val="0"/>
        <w:adjustRightInd/>
        <w:snapToGrid/>
        <w:spacing w:line="560" w:lineRule="exact"/>
        <w:jc w:val="center"/>
        <w:rPr>
          <w:rFonts w:ascii="Times New Roman" w:hAnsi="Times New Roman" w:cs="Times New Roman"/>
          <w:b/>
          <w:sz w:val="44"/>
          <w:szCs w:val="44"/>
        </w:rPr>
      </w:pPr>
      <w:r>
        <w:rPr>
          <w:rFonts w:ascii="Times New Roman" w:hAnsi="Times New Roman" w:eastAsia="方正小标宋_GBK" w:cs="Times New Roman"/>
          <w:b/>
          <w:bCs/>
          <w:sz w:val="44"/>
          <w:szCs w:val="44"/>
        </w:rPr>
        <w:t>白邑寺老干活动中心公园综合管理经费</w:t>
      </w:r>
      <w:r>
        <w:rPr>
          <w:rFonts w:ascii="Times New Roman" w:cs="Times New Roman" w:hAnsiTheme="minorEastAsia"/>
          <w:b/>
          <w:sz w:val="44"/>
          <w:szCs w:val="44"/>
        </w:rPr>
        <w:t>项目支出绩效自评报告</w:t>
      </w:r>
    </w:p>
    <w:p>
      <w:pPr>
        <w:pageBreakBefore w:val="0"/>
        <w:widowControl/>
        <w:shd w:val="clear" w:color="auto" w:fill="FFFFFF"/>
        <w:kinsoku/>
        <w:wordWrap/>
        <w:overflowPunct/>
        <w:autoSpaceDE/>
        <w:autoSpaceDN/>
        <w:bidi w:val="0"/>
        <w:adjustRightInd/>
        <w:snapToGrid/>
        <w:spacing w:line="560" w:lineRule="exact"/>
        <w:rPr>
          <w:rFonts w:ascii="Times New Roman" w:hAnsi="Times New Roman" w:eastAsia="仿宋" w:cs="Times New Roman"/>
          <w:b/>
          <w:bCs/>
          <w:color w:val="333333"/>
          <w:kern w:val="0"/>
          <w:sz w:val="36"/>
          <w:szCs w:val="36"/>
        </w:rPr>
      </w:pPr>
    </w:p>
    <w:p>
      <w:pPr>
        <w:pageBreakBefore w:val="0"/>
        <w:kinsoku/>
        <w:wordWrap/>
        <w:overflowPunct/>
        <w:autoSpaceDE/>
        <w:autoSpaceDN/>
        <w:bidi w:val="0"/>
        <w:adjustRightInd/>
        <w:snapToGrid/>
        <w:spacing w:line="560" w:lineRule="exact"/>
        <w:ind w:firstLine="560" w:firstLineChars="200"/>
        <w:jc w:val="center"/>
        <w:rPr>
          <w:rFonts w:ascii="Times New Roman" w:hAnsi="Times New Roman" w:eastAsia="方正小标宋_GBK" w:cs="Times New Roman"/>
          <w:sz w:val="28"/>
          <w:szCs w:val="32"/>
        </w:rPr>
      </w:pPr>
      <w:r>
        <w:rPr>
          <w:rFonts w:ascii="Times New Roman" w:hAnsi="Times New Roman" w:eastAsia="方正小标宋_GBK" w:cs="Times New Roman"/>
          <w:sz w:val="28"/>
          <w:szCs w:val="32"/>
        </w:rPr>
        <w:t>摘要</w:t>
      </w:r>
    </w:p>
    <w:p>
      <w:pPr>
        <w:keepNext/>
        <w:keepLines/>
        <w:pageBreakBefore w:val="0"/>
        <w:widowControl w:val="0"/>
        <w:kinsoku/>
        <w:wordWrap/>
        <w:overflowPunct/>
        <w:topLinePunct w:val="0"/>
        <w:autoSpaceDE/>
        <w:autoSpaceDN/>
        <w:bidi w:val="0"/>
        <w:adjustRightInd/>
        <w:snapToGrid/>
        <w:spacing w:before="340" w:after="330" w:line="560" w:lineRule="exact"/>
        <w:ind w:firstLine="640" w:firstLineChars="200"/>
        <w:jc w:val="both"/>
        <w:textAlignment w:val="auto"/>
        <w:outlineLvl w:val="9"/>
        <w:rPr>
          <w:rFonts w:ascii="Times New Roman" w:hAnsi="黑体" w:eastAsia="黑体" w:cs="Times New Roman"/>
          <w:kern w:val="44"/>
          <w:sz w:val="32"/>
          <w:szCs w:val="32"/>
        </w:rPr>
      </w:pPr>
      <w:bookmarkStart w:id="0" w:name="_Toc21999"/>
      <w:r>
        <w:rPr>
          <w:rFonts w:ascii="Times New Roman" w:hAnsi="黑体" w:eastAsia="黑体" w:cs="Times New Roman"/>
          <w:kern w:val="44"/>
          <w:sz w:val="32"/>
          <w:szCs w:val="32"/>
        </w:rPr>
        <w:t>一、项目概况</w:t>
      </w:r>
      <w:bookmarkEnd w:id="0"/>
      <w:bookmarkStart w:id="1" w:name="_Toc27318"/>
    </w:p>
    <w:p>
      <w:pPr>
        <w:keepNext/>
        <w:keepLines/>
        <w:pageBreakBefore w:val="0"/>
        <w:widowControl w:val="0"/>
        <w:kinsoku/>
        <w:wordWrap/>
        <w:overflowPunct/>
        <w:topLinePunct w:val="0"/>
        <w:autoSpaceDE/>
        <w:autoSpaceDN/>
        <w:bidi w:val="0"/>
        <w:adjustRightInd/>
        <w:snapToGrid/>
        <w:spacing w:before="340" w:after="330" w:line="560" w:lineRule="exact"/>
        <w:ind w:firstLine="643" w:firstLineChars="200"/>
        <w:jc w:val="both"/>
        <w:textAlignment w:val="auto"/>
        <w:outlineLvl w:val="0"/>
        <w:rPr>
          <w:rFonts w:ascii="Times New Roman" w:hAnsi="Times New Roman" w:eastAsia="楷体_GB2312" w:cs="Times New Roman"/>
          <w:b/>
          <w:bCs/>
          <w:kern w:val="2"/>
          <w:sz w:val="32"/>
          <w:szCs w:val="32"/>
        </w:rPr>
      </w:pPr>
      <w:r>
        <w:rPr>
          <w:rFonts w:ascii="Times New Roman" w:hAnsi="Times New Roman" w:eastAsia="楷体_GB2312" w:cs="Times New Roman"/>
          <w:b/>
          <w:bCs/>
          <w:kern w:val="2"/>
          <w:sz w:val="32"/>
          <w:szCs w:val="32"/>
        </w:rPr>
        <w:t>（一）项目立项背景及目的</w:t>
      </w:r>
      <w:bookmarkEnd w:id="1"/>
    </w:p>
    <w:p>
      <w:pPr>
        <w:pStyle w:val="3"/>
        <w:keepNext/>
        <w:keepLines/>
        <w:pageBreakBefore w:val="0"/>
        <w:widowControl w:val="0"/>
        <w:kinsoku/>
        <w:wordWrap/>
        <w:overflowPunct/>
        <w:autoSpaceDE/>
        <w:autoSpaceDN/>
        <w:bidi w:val="0"/>
        <w:adjustRightInd/>
        <w:snapToGrid/>
        <w:spacing w:before="260" w:after="260" w:line="560" w:lineRule="exact"/>
        <w:ind w:firstLine="640" w:firstLineChars="200"/>
        <w:jc w:val="both"/>
        <w:rPr>
          <w:rFonts w:ascii="Times New Roman" w:hAnsi="Times New Roman" w:eastAsia="仿宋_GB2312" w:cs="Times New Roman"/>
          <w:b w:val="0"/>
          <w:bCs w:val="0"/>
          <w:color w:val="333333"/>
          <w:sz w:val="32"/>
          <w:szCs w:val="32"/>
        </w:rPr>
      </w:pPr>
      <w:bookmarkStart w:id="2" w:name="_Toc8460"/>
      <w:r>
        <w:rPr>
          <w:rFonts w:ascii="Times New Roman" w:hAnsi="Times New Roman" w:eastAsia="仿宋_GB2312" w:cs="Times New Roman"/>
          <w:b w:val="0"/>
          <w:bCs w:val="0"/>
          <w:color w:val="333333"/>
          <w:sz w:val="32"/>
          <w:szCs w:val="32"/>
        </w:rPr>
        <w:t>按照区政府2019年10月31日专题会议要求，区老干部活动中心后勤综合服务及白邑寺公园绿化管养等公共服务交由我中心负责管理。区老干部活动中心位于白邑寺公园内，公园内管理用房总建筑面积约8120.94</w:t>
      </w:r>
      <w:r>
        <w:rPr>
          <w:rFonts w:ascii="Times New Roman" w:cs="Times New Roman"/>
          <w:b w:val="0"/>
          <w:bCs w:val="0"/>
          <w:color w:val="333333"/>
          <w:sz w:val="32"/>
          <w:szCs w:val="32"/>
        </w:rPr>
        <w:t>㎡</w:t>
      </w:r>
      <w:r>
        <w:rPr>
          <w:rFonts w:ascii="Times New Roman" w:hAnsi="仿宋_GB2312" w:eastAsia="仿宋_GB2312" w:cs="Times New Roman"/>
          <w:b w:val="0"/>
          <w:bCs w:val="0"/>
          <w:color w:val="333333"/>
          <w:sz w:val="32"/>
          <w:szCs w:val="32"/>
        </w:rPr>
        <w:t>，现为区老干部活动中心、区党群活动中心、金色社区共同使用；白邑寺公园绿地绿化面积为</w:t>
      </w:r>
      <w:r>
        <w:rPr>
          <w:rFonts w:ascii="Times New Roman" w:hAnsi="Times New Roman" w:eastAsia="仿宋_GB2312" w:cs="Times New Roman"/>
          <w:b w:val="0"/>
          <w:bCs w:val="0"/>
          <w:color w:val="333333"/>
          <w:sz w:val="32"/>
          <w:szCs w:val="32"/>
        </w:rPr>
        <w:t>32146.81</w:t>
      </w:r>
      <w:r>
        <w:rPr>
          <w:rFonts w:ascii="Times New Roman" w:cs="Times New Roman"/>
          <w:b w:val="0"/>
          <w:bCs w:val="0"/>
          <w:color w:val="333333"/>
          <w:sz w:val="32"/>
          <w:szCs w:val="32"/>
        </w:rPr>
        <w:t>㎡</w:t>
      </w:r>
      <w:r>
        <w:rPr>
          <w:rFonts w:ascii="Times New Roman" w:hAnsi="仿宋_GB2312" w:eastAsia="仿宋_GB2312" w:cs="Times New Roman"/>
          <w:b w:val="0"/>
          <w:bCs w:val="0"/>
          <w:color w:val="333333"/>
          <w:sz w:val="32"/>
          <w:szCs w:val="32"/>
        </w:rPr>
        <w:t>。经测算，每年需要综合管理经费</w:t>
      </w:r>
      <w:r>
        <w:rPr>
          <w:rFonts w:ascii="Times New Roman" w:hAnsi="Times New Roman" w:eastAsia="仿宋_GB2312" w:cs="Times New Roman"/>
          <w:b w:val="0"/>
          <w:bCs w:val="0"/>
          <w:color w:val="333333"/>
          <w:sz w:val="32"/>
          <w:szCs w:val="32"/>
        </w:rPr>
        <w:t>229.67万元。</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（二）预算收支情况</w:t>
      </w:r>
      <w:bookmarkEnd w:id="2"/>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kern w:val="44"/>
          <w:sz w:val="32"/>
          <w:szCs w:val="32"/>
        </w:rPr>
      </w:pPr>
      <w:r>
        <w:rPr>
          <w:rFonts w:ascii="Times New Roman" w:hAnsi="Times New Roman" w:eastAsia="仿宋_GB2312" w:cs="Times New Roman"/>
          <w:color w:val="333333"/>
          <w:kern w:val="0"/>
          <w:sz w:val="32"/>
          <w:szCs w:val="32"/>
        </w:rPr>
        <w:t> 按照区委区政府相关工作安排，2020年起我局将负责接管老干部活动中心（含区老年大学、区党群活动中心、金色社区、白邑寺公园）的综合管理工作。为确保各项工作的顺利开展，综合管理费用年初预算229.67万元，实际支出196.32万元（因老干中心面临移交，部分项目未进行）。</w:t>
      </w:r>
    </w:p>
    <w:p>
      <w:pPr>
        <w:pStyle w:val="2"/>
        <w:keepNext/>
        <w:keepLines/>
        <w:pageBreakBefore w:val="0"/>
        <w:widowControl w:val="0"/>
        <w:kinsoku/>
        <w:wordWrap/>
        <w:overflowPunct/>
        <w:autoSpaceDE/>
        <w:autoSpaceDN/>
        <w:bidi w:val="0"/>
        <w:adjustRightInd/>
        <w:snapToGrid/>
        <w:spacing w:before="340" w:after="330" w:line="560" w:lineRule="exact"/>
        <w:ind w:firstLine="643" w:firstLineChars="200"/>
        <w:jc w:val="both"/>
        <w:rPr>
          <w:rFonts w:ascii="Times New Roman" w:hAnsi="Times New Roman" w:eastAsia="黑体" w:cs="Times New Roman"/>
          <w:kern w:val="44"/>
          <w:sz w:val="32"/>
          <w:szCs w:val="32"/>
        </w:rPr>
      </w:pPr>
      <w:bookmarkStart w:id="3" w:name="_Toc11128"/>
      <w:r>
        <w:rPr>
          <w:rFonts w:ascii="Times New Roman" w:hAnsi="黑体" w:eastAsia="黑体" w:cs="Times New Roman"/>
          <w:kern w:val="44"/>
          <w:sz w:val="32"/>
          <w:szCs w:val="32"/>
        </w:rPr>
        <w:t>二、评价结论</w:t>
      </w:r>
      <w:bookmarkEnd w:id="3"/>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1.评分结果</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根据制定的绩效指标考评体系，本次绩效考核得分96分，绩效评价等级为优秀。</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2.主要结论</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本项目不属于投资建设类项目，主要内容为我单位接管老干活动中心（含区老年大学、区党群活动中心、金色社区、白邑寺公园）安保、保洁、</w:t>
      </w:r>
      <w:r>
        <w:rPr>
          <w:rFonts w:ascii="Times New Roman" w:hAnsi="Times New Roman" w:eastAsia="仿宋_GB2312" w:cs="Times New Roman"/>
          <w:kern w:val="0"/>
          <w:sz w:val="32"/>
          <w:szCs w:val="32"/>
        </w:rPr>
        <w:t>办公用房及设施设备维修维护等综合管理，白邑寺公园绿化管养工作。</w:t>
      </w:r>
    </w:p>
    <w:p>
      <w:pPr>
        <w:pStyle w:val="2"/>
        <w:keepNext/>
        <w:keepLines/>
        <w:pageBreakBefore w:val="0"/>
        <w:widowControl w:val="0"/>
        <w:kinsoku/>
        <w:wordWrap/>
        <w:overflowPunct/>
        <w:autoSpaceDE/>
        <w:autoSpaceDN/>
        <w:bidi w:val="0"/>
        <w:adjustRightInd/>
        <w:snapToGrid/>
        <w:spacing w:before="340" w:after="330" w:line="560" w:lineRule="exact"/>
        <w:ind w:firstLine="643" w:firstLineChars="200"/>
        <w:jc w:val="both"/>
        <w:rPr>
          <w:rFonts w:ascii="Times New Roman" w:hAnsi="Times New Roman" w:eastAsia="黑体" w:cs="Times New Roman"/>
          <w:kern w:val="44"/>
          <w:sz w:val="32"/>
          <w:szCs w:val="32"/>
        </w:rPr>
      </w:pPr>
      <w:bookmarkStart w:id="4" w:name="_Toc8608"/>
      <w:r>
        <w:rPr>
          <w:rFonts w:ascii="Times New Roman" w:hAnsi="黑体" w:eastAsia="黑体" w:cs="Times New Roman"/>
          <w:kern w:val="44"/>
          <w:sz w:val="32"/>
          <w:szCs w:val="32"/>
        </w:rPr>
        <w:t>三、经验、问题和建议</w:t>
      </w:r>
      <w:bookmarkEnd w:id="4"/>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5" w:name="_Toc26064"/>
      <w:r>
        <w:rPr>
          <w:rFonts w:ascii="Times New Roman" w:hAnsi="Times New Roman" w:eastAsia="楷体_GB2312" w:cs="Times New Roman"/>
          <w:kern w:val="2"/>
          <w:sz w:val="32"/>
          <w:szCs w:val="32"/>
        </w:rPr>
        <w:t>（一）主要经验及做法</w:t>
      </w:r>
      <w:bookmarkEnd w:id="5"/>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机关事务管理服务中心根据</w:t>
      </w:r>
      <w:r>
        <w:rPr>
          <w:rFonts w:ascii="Times New Roman" w:hAnsi="仿宋_GB2312" w:eastAsia="仿宋_GB2312" w:cs="Times New Roman"/>
          <w:sz w:val="32"/>
          <w:szCs w:val="32"/>
        </w:rPr>
        <w:t>《盘龙区区级部门预算绩效自评管理暂行办法》《昆明市盘龙区财政局关于开展</w:t>
      </w:r>
      <w:r>
        <w:rPr>
          <w:rFonts w:ascii="Times New Roman" w:hAnsi="Times New Roman" w:eastAsia="仿宋_GB2312" w:cs="Times New Roman"/>
          <w:sz w:val="32"/>
          <w:szCs w:val="32"/>
        </w:rPr>
        <w:t>2020</w:t>
      </w:r>
      <w:r>
        <w:rPr>
          <w:rFonts w:ascii="Times New Roman" w:hAnsi="仿宋_GB2312" w:eastAsia="仿宋_GB2312" w:cs="Times New Roman"/>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精神，进行了自评，通过前期调研工作，充分了解评价项目有关情况；通过查看资金使用情况，核实2020年白邑寺公园老干中心费用支出的合法性、合规性；通过分析目标完成情况，查找存在的问题及总结好的经验方法，较好的完成了自评工作。</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6" w:name="_Toc12407"/>
      <w:r>
        <w:rPr>
          <w:rFonts w:ascii="Times New Roman" w:hAnsi="Times New Roman" w:eastAsia="楷体_GB2312" w:cs="Times New Roman"/>
          <w:kern w:val="2"/>
          <w:sz w:val="32"/>
          <w:szCs w:val="32"/>
        </w:rPr>
        <w:t>（二）存在的问题</w:t>
      </w:r>
      <w:bookmarkEnd w:id="6"/>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1.本项目服务对象不仅包含机关干部职工，还包含老年大学学员及到公园休憩游玩的群众，在服务满意度上与我单位管理的其他区域有差距。</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2.白邑寺公园为开放式公园，绿化管养及安保保洁工作压力较大，且原有设施设备老化严重，更换的较多。</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7" w:name="_Toc10578"/>
      <w:r>
        <w:rPr>
          <w:rFonts w:ascii="Times New Roman" w:hAnsi="Times New Roman" w:eastAsia="楷体_GB2312" w:cs="Times New Roman"/>
          <w:kern w:val="2"/>
          <w:sz w:val="32"/>
          <w:szCs w:val="32"/>
        </w:rPr>
        <w:t>（三）建议和改进措施</w:t>
      </w:r>
      <w:bookmarkEnd w:id="7"/>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1.根据不同的服务对象，制定更加科学、合理、细致的考核评价体系，强化对各类服务人员的日常监管，切实提高服务水平。</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2.积极探索向新型服务的模式，继续扩大机关后勤服务社会化程度，由服务提供者向监管者转变。</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rPr>
          <w:rFonts w:ascii="Times New Roman" w:hAnsi="Times New Roman" w:eastAsia="方正小标宋_GBK" w:cs="Times New Roman"/>
          <w:sz w:val="44"/>
          <w:szCs w:val="44"/>
        </w:rPr>
      </w:pPr>
    </w:p>
    <w:p>
      <w:pPr>
        <w:pageBreakBefore w:val="0"/>
        <w:kinsoku/>
        <w:wordWrap/>
        <w:overflowPunct/>
        <w:autoSpaceDE/>
        <w:autoSpaceDN/>
        <w:bidi w:val="0"/>
        <w:adjustRightInd/>
        <w:snapToGrid/>
        <w:spacing w:line="560" w:lineRule="exact"/>
        <w:jc w:val="center"/>
        <w:rPr>
          <w:rFonts w:ascii="Times New Roman" w:hAnsi="Times New Roman" w:eastAsia="方正小标宋_GBK" w:cs="Times New Roman"/>
          <w:b/>
          <w:bCs/>
          <w:sz w:val="44"/>
          <w:szCs w:val="44"/>
        </w:rPr>
      </w:pPr>
      <w:r>
        <w:rPr>
          <w:rFonts w:ascii="Times New Roman" w:hAnsi="Times New Roman" w:eastAsia="方正小标宋_GBK" w:cs="Times New Roman"/>
          <w:b/>
          <w:bCs/>
          <w:sz w:val="44"/>
          <w:szCs w:val="44"/>
        </w:rPr>
        <w:t>正文：昆明市盘龙区机关事务管理服务中心老干活动中心白邑寺公园管养专项经费项目支出绩效自评报告</w:t>
      </w:r>
    </w:p>
    <w:p>
      <w:pPr>
        <w:pageBreakBefore w:val="0"/>
        <w:widowControl/>
        <w:shd w:val="clear" w:color="auto" w:fill="FFFFFF"/>
        <w:kinsoku/>
        <w:wordWrap/>
        <w:overflowPunct/>
        <w:autoSpaceDE/>
        <w:autoSpaceDN/>
        <w:bidi w:val="0"/>
        <w:adjustRightInd/>
        <w:snapToGrid/>
        <w:spacing w:line="560" w:lineRule="exact"/>
        <w:ind w:firstLine="360"/>
        <w:jc w:val="left"/>
        <w:outlineLvl w:val="0"/>
        <w:rPr>
          <w:rFonts w:ascii="Times New Roman" w:hAnsi="Times New Roman" w:eastAsia="仿宋" w:cs="Times New Roman"/>
          <w:b/>
          <w:bCs/>
          <w:color w:val="333333"/>
          <w:kern w:val="0"/>
          <w:sz w:val="29"/>
          <w:szCs w:val="29"/>
        </w:rPr>
      </w:pPr>
    </w:p>
    <w:p>
      <w:pPr>
        <w:pStyle w:val="2"/>
        <w:keepNext/>
        <w:keepLines/>
        <w:pageBreakBefore w:val="0"/>
        <w:widowControl w:val="0"/>
        <w:kinsoku/>
        <w:wordWrap/>
        <w:overflowPunct/>
        <w:autoSpaceDE/>
        <w:autoSpaceDN/>
        <w:bidi w:val="0"/>
        <w:adjustRightInd/>
        <w:snapToGrid/>
        <w:spacing w:before="340" w:after="330" w:line="560" w:lineRule="exact"/>
        <w:ind w:firstLine="643" w:firstLineChars="200"/>
        <w:jc w:val="both"/>
        <w:rPr>
          <w:rFonts w:ascii="Times New Roman" w:hAnsi="Times New Roman" w:eastAsia="黑体" w:cs="Times New Roman"/>
          <w:kern w:val="44"/>
          <w:sz w:val="32"/>
          <w:szCs w:val="32"/>
        </w:rPr>
      </w:pPr>
      <w:bookmarkStart w:id="8" w:name="_Toc6396"/>
      <w:r>
        <w:rPr>
          <w:rFonts w:ascii="Times New Roman" w:hAnsi="黑体" w:eastAsia="黑体" w:cs="Times New Roman"/>
          <w:kern w:val="44"/>
          <w:sz w:val="32"/>
          <w:szCs w:val="32"/>
        </w:rPr>
        <w:t>一、项目基本情况</w:t>
      </w:r>
      <w:bookmarkEnd w:id="8"/>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9" w:name="_Toc531033281"/>
      <w:bookmarkStart w:id="10" w:name="_Toc19773"/>
      <w:r>
        <w:rPr>
          <w:rFonts w:ascii="Times New Roman" w:hAnsi="Times New Roman" w:eastAsia="楷体_GB2312" w:cs="Times New Roman"/>
          <w:kern w:val="2"/>
          <w:sz w:val="32"/>
          <w:szCs w:val="32"/>
        </w:rPr>
        <w:t>（一）项目概况</w:t>
      </w:r>
      <w:bookmarkEnd w:id="9"/>
      <w:bookmarkEnd w:id="10"/>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1.项目立项背景及目的</w:t>
      </w:r>
    </w:p>
    <w:p>
      <w:pPr>
        <w:pStyle w:val="3"/>
        <w:keepNext/>
        <w:keepLines/>
        <w:pageBreakBefore w:val="0"/>
        <w:widowControl w:val="0"/>
        <w:kinsoku/>
        <w:wordWrap/>
        <w:overflowPunct/>
        <w:autoSpaceDE/>
        <w:autoSpaceDN/>
        <w:bidi w:val="0"/>
        <w:adjustRightInd/>
        <w:snapToGrid/>
        <w:spacing w:before="260" w:after="260" w:line="560" w:lineRule="exact"/>
        <w:ind w:firstLine="640" w:firstLineChars="200"/>
        <w:jc w:val="both"/>
        <w:rPr>
          <w:rFonts w:ascii="Times New Roman" w:hAnsi="Times New Roman" w:eastAsia="仿宋_GB2312" w:cs="Times New Roman"/>
          <w:b w:val="0"/>
          <w:bCs w:val="0"/>
          <w:color w:val="333333"/>
          <w:sz w:val="32"/>
          <w:szCs w:val="32"/>
        </w:rPr>
      </w:pPr>
      <w:r>
        <w:rPr>
          <w:rFonts w:ascii="Times New Roman" w:hAnsi="Times New Roman" w:eastAsia="仿宋_GB2312" w:cs="Times New Roman"/>
          <w:b w:val="0"/>
          <w:bCs w:val="0"/>
          <w:color w:val="333333"/>
          <w:sz w:val="32"/>
          <w:szCs w:val="32"/>
        </w:rPr>
        <w:t>按照区政府2019年10月31日专题会议要求，区老干部活动中心后勤综合服务及白邑寺公园绿化管养等公共服务交由我中心负责管理。区老干部活动中心位于白邑寺公园内，公园内管理用房总建筑面积约8120.94</w:t>
      </w:r>
      <w:r>
        <w:rPr>
          <w:rFonts w:ascii="Times New Roman" w:cs="Times New Roman"/>
          <w:b w:val="0"/>
          <w:bCs w:val="0"/>
          <w:color w:val="333333"/>
          <w:sz w:val="32"/>
          <w:szCs w:val="32"/>
        </w:rPr>
        <w:t>㎡</w:t>
      </w:r>
      <w:r>
        <w:rPr>
          <w:rFonts w:ascii="Times New Roman" w:hAnsi="仿宋_GB2312" w:eastAsia="仿宋_GB2312" w:cs="Times New Roman"/>
          <w:b w:val="0"/>
          <w:bCs w:val="0"/>
          <w:color w:val="333333"/>
          <w:sz w:val="32"/>
          <w:szCs w:val="32"/>
        </w:rPr>
        <w:t>，现为区老干部活动中心、区党群活动中心、金色社区共同使用；白邑寺公园绿地绿化面积为</w:t>
      </w:r>
      <w:r>
        <w:rPr>
          <w:rFonts w:ascii="Times New Roman" w:hAnsi="Times New Roman" w:eastAsia="仿宋_GB2312" w:cs="Times New Roman"/>
          <w:b w:val="0"/>
          <w:bCs w:val="0"/>
          <w:color w:val="333333"/>
          <w:sz w:val="32"/>
          <w:szCs w:val="32"/>
        </w:rPr>
        <w:t>32146.81</w:t>
      </w:r>
      <w:r>
        <w:rPr>
          <w:rFonts w:ascii="Times New Roman" w:cs="Times New Roman"/>
          <w:b w:val="0"/>
          <w:bCs w:val="0"/>
          <w:color w:val="333333"/>
          <w:sz w:val="32"/>
          <w:szCs w:val="32"/>
        </w:rPr>
        <w:t>㎡</w:t>
      </w:r>
      <w:r>
        <w:rPr>
          <w:rFonts w:ascii="Times New Roman" w:hAnsi="仿宋_GB2312" w:eastAsia="仿宋_GB2312" w:cs="Times New Roman"/>
          <w:b w:val="0"/>
          <w:bCs w:val="0"/>
          <w:color w:val="333333"/>
          <w:sz w:val="32"/>
          <w:szCs w:val="32"/>
        </w:rPr>
        <w:t>。经测算，每年需要综合管理经费</w:t>
      </w:r>
      <w:r>
        <w:rPr>
          <w:rFonts w:ascii="Times New Roman" w:hAnsi="Times New Roman" w:eastAsia="仿宋_GB2312" w:cs="Times New Roman"/>
          <w:b w:val="0"/>
          <w:bCs w:val="0"/>
          <w:color w:val="333333"/>
          <w:sz w:val="32"/>
          <w:szCs w:val="32"/>
        </w:rPr>
        <w:t>229.67万元。</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2.项目实施情况</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按照工作要求，完成了老干活动中心（含区老年大学、区党群活动中心、金色社区、白邑寺公园）安保、保洁、</w:t>
      </w:r>
      <w:r>
        <w:rPr>
          <w:rFonts w:ascii="Times New Roman" w:hAnsi="Times New Roman" w:eastAsia="仿宋_GB2312" w:cs="Times New Roman"/>
          <w:kern w:val="0"/>
          <w:sz w:val="32"/>
          <w:szCs w:val="32"/>
        </w:rPr>
        <w:t>办公用房及设施设备维修维护等综合管理，白邑寺公园绿化管养各项工作</w:t>
      </w:r>
      <w:r>
        <w:rPr>
          <w:rFonts w:ascii="Times New Roman" w:hAnsi="Times New Roman" w:eastAsia="仿宋_GB2312" w:cs="Times New Roman"/>
          <w:color w:val="333333"/>
          <w:kern w:val="0"/>
          <w:sz w:val="32"/>
          <w:szCs w:val="32"/>
        </w:rPr>
        <w:t>。</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3.项目资金来源及使用情况 </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（1）项目经费来源</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根据昆明市盘龙区财政局《关于下达盘龙区2020年部门预算的批复》（盘财〔2020〕1号）文件安排项目资金</w:t>
      </w:r>
      <w:r>
        <w:rPr>
          <w:rFonts w:ascii="Times New Roman" w:hAnsi="Times New Roman" w:eastAsia="仿宋_GB2312" w:cs="Times New Roman"/>
          <w:sz w:val="32"/>
          <w:szCs w:val="32"/>
        </w:rPr>
        <w:t>229.6767万元</w:t>
      </w:r>
      <w:r>
        <w:rPr>
          <w:rFonts w:ascii="Times New Roman" w:hAnsi="Times New Roman" w:eastAsia="仿宋_GB2312" w:cs="Times New Roman"/>
          <w:color w:val="333333"/>
          <w:kern w:val="0"/>
          <w:sz w:val="32"/>
          <w:szCs w:val="32"/>
        </w:rPr>
        <w:t>，资金来源全部为区级财政拨款。</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（2）项目经费使用情况</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000000" w:themeColor="text1"/>
          <w:kern w:val="0"/>
          <w:sz w:val="32"/>
          <w:szCs w:val="32"/>
        </w:rPr>
      </w:pPr>
      <w:r>
        <w:rPr>
          <w:rFonts w:ascii="Times New Roman" w:hAnsi="Times New Roman" w:eastAsia="仿宋_GB2312" w:cs="Times New Roman"/>
          <w:color w:val="000000" w:themeColor="text1"/>
          <w:kern w:val="0"/>
          <w:sz w:val="32"/>
          <w:szCs w:val="32"/>
        </w:rPr>
        <w:t>截至2020年12月31日，水电费元已全部支出，主要用于水电费支出，具体详见下表：</w:t>
      </w:r>
    </w:p>
    <w:p>
      <w:pPr>
        <w:pageBreakBefore w:val="0"/>
        <w:widowControl/>
        <w:shd w:val="clear" w:color="auto" w:fill="FFFFFF"/>
        <w:kinsoku/>
        <w:wordWrap/>
        <w:overflowPunct/>
        <w:autoSpaceDE/>
        <w:autoSpaceDN/>
        <w:bidi w:val="0"/>
        <w:adjustRightInd/>
        <w:snapToGrid/>
        <w:spacing w:line="560" w:lineRule="exact"/>
        <w:ind w:firstLine="705"/>
        <w:jc w:val="right"/>
        <w:rPr>
          <w:rFonts w:ascii="Times New Roman" w:hAnsi="Times New Roman" w:eastAsia="仿宋_GB2312" w:cs="Times New Roman"/>
          <w:color w:val="000000" w:themeColor="text1"/>
          <w:kern w:val="0"/>
          <w:szCs w:val="24"/>
        </w:rPr>
      </w:pPr>
      <w:r>
        <w:rPr>
          <w:rFonts w:ascii="Times New Roman" w:hAnsi="Times New Roman" w:eastAsia="仿宋_GB2312" w:cs="Times New Roman"/>
          <w:color w:val="000000" w:themeColor="text1"/>
          <w:kern w:val="0"/>
          <w:sz w:val="24"/>
          <w:szCs w:val="29"/>
        </w:rPr>
        <w:t>单位：元</w:t>
      </w:r>
    </w:p>
    <w:tbl>
      <w:tblPr>
        <w:tblStyle w:val="13"/>
        <w:tblW w:w="8500"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2353"/>
        <w:gridCol w:w="2457"/>
        <w:gridCol w:w="2014"/>
        <w:gridCol w:w="1676"/>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6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项目内容</w:t>
            </w:r>
          </w:p>
        </w:tc>
        <w:tc>
          <w:tcPr>
            <w:tcW w:w="2457"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年初预算资金安排</w:t>
            </w:r>
          </w:p>
        </w:tc>
        <w:tc>
          <w:tcPr>
            <w:tcW w:w="2014"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实际支出数</w:t>
            </w:r>
          </w:p>
        </w:tc>
        <w:tc>
          <w:tcPr>
            <w:tcW w:w="1676" w:type="dxa"/>
            <w:tcBorders>
              <w:top w:val="single" w:color="auto" w:sz="4" w:space="0"/>
              <w:left w:val="single" w:color="auto" w:sz="4" w:space="0"/>
              <w:bottom w:val="single" w:color="auto" w:sz="4"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预算执行率</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2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安保服务费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宋体" w:cs="Times New Roman"/>
                <w:color w:val="000000" w:themeColor="text1"/>
                <w:kern w:val="0"/>
                <w:sz w:val="24"/>
                <w:szCs w:val="24"/>
              </w:rPr>
              <w:t>504000</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宋体" w:cs="Times New Roman"/>
                <w:color w:val="000000" w:themeColor="text1"/>
                <w:kern w:val="0"/>
                <w:sz w:val="24"/>
                <w:szCs w:val="24"/>
              </w:rPr>
              <w:t>504000</w:t>
            </w:r>
          </w:p>
        </w:tc>
        <w:tc>
          <w:tcPr>
            <w:tcW w:w="1676" w:type="dxa"/>
            <w:vMerge w:val="restart"/>
            <w:tcBorders>
              <w:top w:val="nil"/>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100%</w:t>
            </w:r>
          </w:p>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物业保洁服务费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sz w:val="24"/>
                <w:szCs w:val="24"/>
              </w:rPr>
            </w:pPr>
            <w:r>
              <w:rPr>
                <w:rFonts w:ascii="Times New Roman" w:hAnsi="Times New Roman" w:eastAsia="宋体" w:cs="Times New Roman"/>
                <w:color w:val="000000" w:themeColor="text1"/>
                <w:kern w:val="0"/>
                <w:sz w:val="24"/>
                <w:szCs w:val="24"/>
              </w:rPr>
              <w:t>252000</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sz w:val="24"/>
                <w:szCs w:val="24"/>
              </w:rPr>
            </w:pPr>
            <w:r>
              <w:rPr>
                <w:rFonts w:ascii="Times New Roman" w:hAnsi="Times New Roman" w:eastAsia="宋体" w:cs="Times New Roman"/>
                <w:color w:val="000000" w:themeColor="text1"/>
                <w:kern w:val="0"/>
                <w:sz w:val="24"/>
                <w:szCs w:val="24"/>
              </w:rPr>
              <w:t>252000</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综合管理费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47300</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47300</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水电工劳务费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96000</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96000</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水电费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81432</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81432</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设施维修费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117000</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117000</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公园绿化管养费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512814.85</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512814.85</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公园基础设施维修费</w:t>
            </w:r>
          </w:p>
        </w:tc>
        <w:tc>
          <w:tcPr>
            <w:tcW w:w="2457"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352665</w:t>
            </w:r>
          </w:p>
        </w:tc>
        <w:tc>
          <w:tcPr>
            <w:tcW w:w="2014" w:type="dxa"/>
            <w:tcBorders>
              <w:top w:val="nil"/>
              <w:left w:val="nil"/>
              <w:bottom w:val="single" w:color="000000" w:sz="6"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352465</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3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32"/>
                <w:szCs w:val="32"/>
              </w:rPr>
              <w:t>合计</w:t>
            </w:r>
          </w:p>
        </w:tc>
        <w:tc>
          <w:tcPr>
            <w:tcW w:w="2457" w:type="dxa"/>
            <w:tcBorders>
              <w:top w:val="single" w:color="auto" w:sz="4" w:space="0"/>
              <w:left w:val="single" w:color="000000" w:sz="6"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kern w:val="0"/>
                <w:sz w:val="24"/>
                <w:szCs w:val="24"/>
              </w:rPr>
            </w:pPr>
            <w:r>
              <w:rPr>
                <w:rFonts w:ascii="Times New Roman" w:hAnsi="Times New Roman" w:eastAsia="宋体" w:cs="Times New Roman"/>
                <w:color w:val="000000" w:themeColor="text1"/>
                <w:kern w:val="0"/>
                <w:sz w:val="24"/>
                <w:szCs w:val="24"/>
              </w:rPr>
              <w:t>1963211.85</w:t>
            </w:r>
          </w:p>
        </w:tc>
        <w:tc>
          <w:tcPr>
            <w:tcW w:w="2014" w:type="dxa"/>
            <w:tcBorders>
              <w:top w:val="single" w:color="auto" w:sz="4" w:space="0"/>
              <w:left w:val="single" w:color="000000" w:sz="6"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rPr>
                <w:rFonts w:ascii="Times New Roman" w:hAnsi="Times New Roman" w:eastAsia="宋体"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1963211.85</w:t>
            </w:r>
          </w:p>
        </w:tc>
        <w:tc>
          <w:tcPr>
            <w:tcW w:w="1676" w:type="dxa"/>
            <w:vMerge w:val="continue"/>
            <w:tcBorders>
              <w:left w:val="nil"/>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643" w:hRule="atLeast"/>
          <w:jc w:val="center"/>
        </w:trPr>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rPr>
            </w:pPr>
          </w:p>
        </w:tc>
        <w:tc>
          <w:tcPr>
            <w:tcW w:w="2457" w:type="dxa"/>
            <w:tcBorders>
              <w:top w:val="single" w:color="auto" w:sz="4" w:space="0"/>
              <w:left w:val="single" w:color="000000" w:sz="6"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center"/>
              <w:rPr>
                <w:rFonts w:ascii="Times New Roman" w:hAnsi="Times New Roman" w:eastAsia="宋体" w:cs="Times New Roman"/>
                <w:color w:val="000000" w:themeColor="text1"/>
                <w:sz w:val="24"/>
                <w:szCs w:val="24"/>
              </w:rPr>
            </w:pPr>
          </w:p>
        </w:tc>
        <w:tc>
          <w:tcPr>
            <w:tcW w:w="2014" w:type="dxa"/>
            <w:tcBorders>
              <w:top w:val="single" w:color="auto" w:sz="4" w:space="0"/>
              <w:left w:val="single" w:color="000000" w:sz="6" w:space="0"/>
              <w:bottom w:val="single" w:color="auto" w:sz="4" w:space="0"/>
              <w:right w:val="single" w:color="auto" w:sz="4" w:space="0"/>
            </w:tcBorders>
            <w:shd w:val="clear" w:color="auto" w:fill="FFFFFF"/>
            <w:vAlign w:val="center"/>
          </w:tcPr>
          <w:p>
            <w:pPr>
              <w:pageBreakBefore w:val="0"/>
              <w:widowControl/>
              <w:kinsoku/>
              <w:wordWrap/>
              <w:overflowPunct/>
              <w:autoSpaceDE/>
              <w:autoSpaceDN/>
              <w:bidi w:val="0"/>
              <w:adjustRightInd/>
              <w:snapToGrid/>
              <w:spacing w:line="560" w:lineRule="exact"/>
              <w:jc w:val="center"/>
              <w:rPr>
                <w:rFonts w:ascii="Times New Roman" w:hAnsi="Times New Roman" w:eastAsia="仿宋_GB2312" w:cs="Times New Roman"/>
                <w:color w:val="000000" w:themeColor="text1"/>
                <w:kern w:val="0"/>
                <w:sz w:val="24"/>
                <w:szCs w:val="24"/>
              </w:rPr>
            </w:pPr>
          </w:p>
        </w:tc>
        <w:tc>
          <w:tcPr>
            <w:tcW w:w="1676" w:type="dxa"/>
            <w:vMerge w:val="continue"/>
            <w:tcBorders>
              <w:left w:val="nil"/>
              <w:bottom w:val="single" w:color="auto" w:sz="4" w:space="0"/>
              <w:right w:val="single" w:color="000000" w:sz="6" w:space="0"/>
            </w:tcBorders>
            <w:shd w:val="clear" w:color="auto" w:fill="FFFFFF"/>
            <w:vAlign w:val="center"/>
          </w:tcPr>
          <w:p>
            <w:pPr>
              <w:pageBreakBefore w:val="0"/>
              <w:widowControl/>
              <w:kinsoku/>
              <w:wordWrap/>
              <w:overflowPunct/>
              <w:autoSpaceDE/>
              <w:autoSpaceDN/>
              <w:bidi w:val="0"/>
              <w:adjustRightInd/>
              <w:snapToGrid/>
              <w:spacing w:line="560" w:lineRule="exact"/>
              <w:jc w:val="center"/>
              <w:textAlignment w:val="bottom"/>
              <w:rPr>
                <w:rFonts w:ascii="Times New Roman" w:hAnsi="Times New Roman" w:eastAsia="仿宋_GB2312" w:cs="Times New Roman"/>
                <w:color w:val="000000" w:themeColor="text1"/>
                <w:kern w:val="0"/>
                <w:sz w:val="24"/>
                <w:szCs w:val="24"/>
                <w:highlight w:val="yellow"/>
              </w:rPr>
            </w:pPr>
          </w:p>
        </w:tc>
      </w:tr>
    </w:tbl>
    <w:p>
      <w:pPr>
        <w:pageBreakBefore w:val="0"/>
        <w:widowControl/>
        <w:shd w:val="clear" w:color="auto" w:fill="FFFFFF"/>
        <w:kinsoku/>
        <w:wordWrap/>
        <w:overflowPunct/>
        <w:autoSpaceDE/>
        <w:autoSpaceDN/>
        <w:bidi w:val="0"/>
        <w:adjustRightInd/>
        <w:snapToGrid/>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 4.项目组织及管理情况 </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我单位负责老干活动中心（含区老年大学、区党群活动中心、金色社区、白邑寺公园）安保、保洁、</w:t>
      </w:r>
      <w:r>
        <w:rPr>
          <w:rFonts w:ascii="Times New Roman" w:hAnsi="Times New Roman" w:eastAsia="仿宋_GB2312" w:cs="Times New Roman"/>
          <w:kern w:val="0"/>
          <w:sz w:val="32"/>
          <w:szCs w:val="32"/>
        </w:rPr>
        <w:t>办公用房及设施设备维修维护等综合管理，白邑寺公园绿化管养各项工作</w:t>
      </w:r>
      <w:r>
        <w:rPr>
          <w:rFonts w:ascii="Times New Roman" w:hAnsi="Times New Roman" w:eastAsia="仿宋_GB2312" w:cs="Times New Roman"/>
          <w:color w:val="333333"/>
          <w:kern w:val="0"/>
          <w:sz w:val="32"/>
          <w:szCs w:val="32"/>
        </w:rPr>
        <w:t>。通过对资金支付、付款单据等相关原始资料的检查，本项目资金拨付审批手续完整，支出依据合规，未发现虚列套取、截留、挤占、挪用情况和超标准开支的情况。</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11" w:name="_Toc12531"/>
      <w:r>
        <w:rPr>
          <w:rFonts w:ascii="Times New Roman" w:hAnsi="Times New Roman" w:eastAsia="楷体_GB2312" w:cs="Times New Roman"/>
          <w:kern w:val="2"/>
          <w:sz w:val="32"/>
          <w:szCs w:val="32"/>
        </w:rPr>
        <w:t>（二）项目绩效目标</w:t>
      </w:r>
      <w:bookmarkEnd w:id="11"/>
    </w:p>
    <w:p>
      <w:pPr>
        <w:pageBreakBefore w:val="0"/>
        <w:widowControl/>
        <w:shd w:val="clear" w:color="auto" w:fill="FFFFFF"/>
        <w:kinsoku/>
        <w:wordWrap/>
        <w:overflowPunct/>
        <w:autoSpaceDE/>
        <w:autoSpaceDN/>
        <w:bidi w:val="0"/>
        <w:adjustRightInd/>
        <w:snapToGrid/>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1.总目标</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全面完成老干活动中心（含区老年大学、区党群活动中心、金色社区、白邑寺公园）安保、保洁、</w:t>
      </w:r>
      <w:r>
        <w:rPr>
          <w:rFonts w:ascii="Times New Roman" w:hAnsi="Times New Roman" w:eastAsia="仿宋_GB2312" w:cs="Times New Roman"/>
          <w:kern w:val="0"/>
          <w:sz w:val="32"/>
          <w:szCs w:val="32"/>
        </w:rPr>
        <w:t>办公用房及设施设备维修维护等综合管理，白邑寺公园绿化管养各项工作</w:t>
      </w:r>
      <w:r>
        <w:rPr>
          <w:rFonts w:ascii="Times New Roman" w:hAnsi="Times New Roman" w:eastAsia="仿宋_GB2312" w:cs="Times New Roman"/>
          <w:color w:val="333333"/>
          <w:kern w:val="0"/>
          <w:sz w:val="32"/>
          <w:szCs w:val="32"/>
        </w:rPr>
        <w:t>。。</w:t>
      </w:r>
    </w:p>
    <w:p>
      <w:pPr>
        <w:pageBreakBefore w:val="0"/>
        <w:widowControl/>
        <w:shd w:val="clear" w:color="auto" w:fill="FFFFFF"/>
        <w:kinsoku/>
        <w:wordWrap/>
        <w:overflowPunct/>
        <w:autoSpaceDE/>
        <w:autoSpaceDN/>
        <w:bidi w:val="0"/>
        <w:adjustRightInd/>
        <w:snapToGrid/>
        <w:spacing w:line="560" w:lineRule="exact"/>
        <w:ind w:firstLine="64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2.年度目标</w:t>
      </w:r>
    </w:p>
    <w:p>
      <w:pPr>
        <w:pageBreakBefore w:val="0"/>
        <w:widowControl/>
        <w:shd w:val="clear" w:color="auto" w:fill="FFFFFF"/>
        <w:kinsoku/>
        <w:wordWrap/>
        <w:overflowPunct/>
        <w:autoSpaceDE/>
        <w:autoSpaceDN/>
        <w:bidi w:val="0"/>
        <w:adjustRightInd/>
        <w:snapToGrid/>
        <w:spacing w:line="560" w:lineRule="exact"/>
        <w:ind w:firstLine="555"/>
        <w:jc w:val="left"/>
        <w:outlineLvl w:val="0"/>
        <w:rPr>
          <w:rFonts w:ascii="Times New Roman" w:hAnsi="Times New Roman" w:eastAsia="仿宋_GB2312" w:cs="Times New Roman"/>
          <w:color w:val="333333"/>
          <w:kern w:val="0"/>
          <w:sz w:val="32"/>
          <w:szCs w:val="32"/>
        </w:rPr>
      </w:pPr>
      <w:bookmarkStart w:id="12" w:name="_Toc9684"/>
      <w:r>
        <w:rPr>
          <w:rFonts w:ascii="Times New Roman" w:hAnsi="Times New Roman" w:eastAsia="仿宋_GB2312" w:cs="Times New Roman"/>
          <w:color w:val="333333"/>
          <w:kern w:val="0"/>
          <w:sz w:val="32"/>
          <w:szCs w:val="32"/>
        </w:rPr>
        <w:t>完成该区域物业管理及绿化管养工作。</w:t>
      </w:r>
      <w:bookmarkEnd w:id="12"/>
    </w:p>
    <w:p>
      <w:pPr>
        <w:pStyle w:val="2"/>
        <w:keepNext/>
        <w:keepLines/>
        <w:pageBreakBefore w:val="0"/>
        <w:widowControl w:val="0"/>
        <w:kinsoku/>
        <w:wordWrap/>
        <w:overflowPunct/>
        <w:autoSpaceDE/>
        <w:autoSpaceDN/>
        <w:bidi w:val="0"/>
        <w:adjustRightInd/>
        <w:snapToGrid/>
        <w:spacing w:before="340" w:after="330" w:line="560" w:lineRule="exact"/>
        <w:ind w:firstLine="643" w:firstLineChars="200"/>
        <w:jc w:val="both"/>
        <w:rPr>
          <w:rFonts w:ascii="Times New Roman" w:hAnsi="Times New Roman" w:eastAsia="微软雅黑" w:cs="Times New Roman"/>
          <w:b w:val="0"/>
          <w:bCs w:val="0"/>
          <w:color w:val="333333"/>
        </w:rPr>
      </w:pPr>
      <w:bookmarkStart w:id="13" w:name="_Toc17110"/>
      <w:r>
        <w:rPr>
          <w:rFonts w:ascii="Times New Roman" w:hAnsi="黑体" w:eastAsia="黑体" w:cs="Times New Roman"/>
          <w:kern w:val="44"/>
          <w:sz w:val="32"/>
          <w:szCs w:val="32"/>
        </w:rPr>
        <w:t>二、绩效评价工作情况</w:t>
      </w:r>
      <w:bookmarkEnd w:id="13"/>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14" w:name="_Toc9676"/>
      <w:r>
        <w:rPr>
          <w:rFonts w:ascii="Times New Roman" w:hAnsi="Times New Roman" w:eastAsia="楷体_GB2312" w:cs="Times New Roman"/>
          <w:kern w:val="2"/>
          <w:sz w:val="32"/>
          <w:szCs w:val="32"/>
        </w:rPr>
        <w:t>(一)评价的目的和依据</w:t>
      </w:r>
      <w:bookmarkEnd w:id="14"/>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1.评价目的</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2.评价主要依据</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（1）政府部门文件</w:t>
      </w:r>
    </w:p>
    <w:p>
      <w:pPr>
        <w:pageBreakBefore w:val="0"/>
        <w:kinsoku/>
        <w:wordWrap/>
        <w:overflowPunct/>
        <w:topLinePunct/>
        <w:autoSpaceDE/>
        <w:autoSpaceDN/>
        <w:bidi w:val="0"/>
        <w:adjustRightInd/>
        <w:snapToGrid/>
        <w:spacing w:line="560" w:lineRule="exact"/>
        <w:ind w:firstLine="800" w:firstLineChars="250"/>
        <w:rPr>
          <w:rFonts w:ascii="Times New Roman" w:hAnsi="Times New Roman" w:eastAsia="仿宋_GB2312" w:cs="Times New Roman"/>
          <w:color w:val="000000" w:themeColor="text1"/>
          <w:kern w:val="0"/>
          <w:sz w:val="32"/>
          <w:szCs w:val="32"/>
        </w:rPr>
      </w:pPr>
      <w:r>
        <w:rPr>
          <w:rFonts w:ascii="Times New Roman" w:hAnsi="仿宋_GB2312" w:eastAsia="仿宋_GB2312" w:cs="Times New Roman"/>
          <w:sz w:val="32"/>
          <w:szCs w:val="32"/>
        </w:rPr>
        <w:t>《盘龙区区级部门预算绩效自评管理暂行办法》、</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2020</w:t>
      </w:r>
      <w:r>
        <w:rPr>
          <w:rFonts w:ascii="Times New Roman" w:hAnsi="仿宋_GB2312" w:eastAsia="仿宋_GB2312" w:cs="Times New Roman"/>
          <w:color w:val="000000" w:themeColor="text1"/>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000000" w:themeColor="text1"/>
          <w:kern w:val="0"/>
          <w:sz w:val="32"/>
          <w:szCs w:val="32"/>
        </w:rPr>
        <w:t>等文件。</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（2）项目资料</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项目预算批复等相关文件，项目相关支出凭据等。</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（3）财务资料及相关制度和标准</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财务资料：会计账簿、会计凭证、会计报表、决算报表等财务资料。</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《中华人民共和国会计法》《事业单位会计制度》等。</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15" w:name="_Toc2086"/>
      <w:r>
        <w:rPr>
          <w:rFonts w:ascii="Times New Roman" w:hAnsi="Times New Roman" w:eastAsia="楷体_GB2312" w:cs="Times New Roman"/>
          <w:kern w:val="2"/>
          <w:sz w:val="32"/>
          <w:szCs w:val="32"/>
        </w:rPr>
        <w:t>（二）绩效评价工作方案制定过程</w:t>
      </w:r>
      <w:bookmarkEnd w:id="15"/>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1.前期调研</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2.研究文件</w:t>
      </w:r>
    </w:p>
    <w:p>
      <w:pPr>
        <w:pageBreakBefore w:val="0"/>
        <w:kinsoku/>
        <w:wordWrap/>
        <w:overflowPunct/>
        <w:topLinePunct/>
        <w:autoSpaceDE/>
        <w:autoSpaceDN/>
        <w:bidi w:val="0"/>
        <w:adjustRightInd/>
        <w:snapToGrid/>
        <w:spacing w:line="560" w:lineRule="exact"/>
        <w:ind w:firstLine="800" w:firstLineChars="25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评价组对</w:t>
      </w:r>
      <w:r>
        <w:rPr>
          <w:rFonts w:ascii="Times New Roman" w:hAnsi="仿宋_GB2312" w:eastAsia="仿宋_GB2312" w:cs="Times New Roman"/>
          <w:sz w:val="32"/>
          <w:szCs w:val="32"/>
        </w:rPr>
        <w:t>《盘龙区区级部门预算绩效自评管理暂行办法》、</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2020</w:t>
      </w:r>
      <w:r>
        <w:rPr>
          <w:rFonts w:ascii="Times New Roman" w:hAnsi="仿宋_GB2312" w:eastAsia="仿宋_GB2312" w:cs="Times New Roman"/>
          <w:color w:val="000000" w:themeColor="text1"/>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进行了认真研究，吃透文件精神，以确保绩效评价工作符合区财政局的相关要求。</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3.绩效评价指标体系及工作方案的设计</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16" w:name="_Toc21465"/>
      <w:r>
        <w:rPr>
          <w:rFonts w:ascii="Times New Roman" w:hAnsi="Times New Roman" w:eastAsia="楷体_GB2312" w:cs="Times New Roman"/>
          <w:kern w:val="2"/>
          <w:sz w:val="32"/>
          <w:szCs w:val="32"/>
        </w:rPr>
        <w:t>（三）绩效评价原则及评价方法</w:t>
      </w:r>
      <w:bookmarkEnd w:id="16"/>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1.绩效评价原则</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2.绩效评价方法</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此次评价采用现场抽查、随机调查、文献查阅等方式进行，采取了以下几种评价方法。</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抽查法：抽查全部资金到位情况等。</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17" w:name="_Toc6957"/>
      <w:r>
        <w:rPr>
          <w:rFonts w:ascii="Times New Roman" w:hAnsi="Times New Roman" w:eastAsia="楷体_GB2312" w:cs="Times New Roman"/>
          <w:kern w:val="2"/>
          <w:sz w:val="32"/>
          <w:szCs w:val="32"/>
        </w:rPr>
        <w:t>(四) 绩效评价实施过程</w:t>
      </w:r>
      <w:bookmarkEnd w:id="17"/>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1.数据填报和采集</w:t>
      </w:r>
    </w:p>
    <w:p>
      <w:pPr>
        <w:pageBreakBefore w:val="0"/>
        <w:widowControl/>
        <w:shd w:val="clear" w:color="auto" w:fill="FFFFFF"/>
        <w:kinsoku/>
        <w:wordWrap/>
        <w:overflowPunct/>
        <w:autoSpaceDE/>
        <w:autoSpaceDN/>
        <w:bidi w:val="0"/>
        <w:adjustRightInd/>
        <w:snapToGrid/>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评价组严格按照昆明市盘龙区财政局关于印发《盘龙区区级部门预算绩效自评管理暂行办法》的要求，结合本单位项目支出财务资料和2020年决算资料进行相关数据采集和填报。</w:t>
      </w:r>
    </w:p>
    <w:p>
      <w:pPr>
        <w:pageBreakBefore w:val="0"/>
        <w:widowControl/>
        <w:shd w:val="clear" w:color="auto" w:fill="FFFFFF"/>
        <w:kinsoku/>
        <w:wordWrap/>
        <w:overflowPunct/>
        <w:autoSpaceDE/>
        <w:autoSpaceDN/>
        <w:bidi w:val="0"/>
        <w:adjustRightInd/>
        <w:snapToGrid/>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2.数据分析和撰写报告</w:t>
      </w:r>
    </w:p>
    <w:p>
      <w:pPr>
        <w:pageBreakBefore w:val="0"/>
        <w:widowControl/>
        <w:shd w:val="clear" w:color="auto" w:fill="FFFFFF"/>
        <w:kinsoku/>
        <w:wordWrap/>
        <w:overflowPunct/>
        <w:autoSpaceDE/>
        <w:autoSpaceDN/>
        <w:bidi w:val="0"/>
        <w:adjustRightInd/>
        <w:snapToGrid/>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18" w:name="_Toc32216"/>
      <w:r>
        <w:rPr>
          <w:rFonts w:ascii="Times New Roman" w:hAnsi="Times New Roman" w:eastAsia="楷体_GB2312" w:cs="Times New Roman"/>
          <w:kern w:val="2"/>
          <w:sz w:val="32"/>
          <w:szCs w:val="32"/>
        </w:rPr>
        <w:t>（五）绩效评价的局限性</w:t>
      </w:r>
      <w:bookmarkEnd w:id="18"/>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由于该项目为经常性类项目，故以本单位实际开展日常工作情况为绩效效果进行考评，且资金管理由本单位进行统一管理。</w:t>
      </w:r>
    </w:p>
    <w:p>
      <w:pPr>
        <w:pStyle w:val="2"/>
        <w:keepNext/>
        <w:keepLines/>
        <w:pageBreakBefore w:val="0"/>
        <w:widowControl w:val="0"/>
        <w:kinsoku/>
        <w:wordWrap/>
        <w:overflowPunct/>
        <w:autoSpaceDE/>
        <w:autoSpaceDN/>
        <w:bidi w:val="0"/>
        <w:adjustRightInd/>
        <w:snapToGrid/>
        <w:spacing w:before="340" w:after="330" w:line="560" w:lineRule="exact"/>
        <w:ind w:firstLine="643" w:firstLineChars="200"/>
        <w:jc w:val="both"/>
        <w:rPr>
          <w:rFonts w:ascii="Times New Roman" w:hAnsi="Times New Roman" w:eastAsia="黑体" w:cs="Times New Roman"/>
          <w:kern w:val="44"/>
          <w:sz w:val="32"/>
          <w:szCs w:val="32"/>
        </w:rPr>
      </w:pPr>
      <w:bookmarkStart w:id="19" w:name="_Toc17423"/>
      <w:r>
        <w:rPr>
          <w:rFonts w:ascii="Times New Roman" w:hAnsi="黑体" w:eastAsia="黑体" w:cs="Times New Roman"/>
          <w:kern w:val="44"/>
          <w:sz w:val="32"/>
          <w:szCs w:val="32"/>
        </w:rPr>
        <w:t>三、评价结论和绩效分析</w:t>
      </w:r>
      <w:bookmarkEnd w:id="19"/>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20" w:name="_Toc7732"/>
      <w:r>
        <w:rPr>
          <w:rFonts w:ascii="Times New Roman" w:hAnsi="Times New Roman" w:eastAsia="楷体_GB2312" w:cs="Times New Roman"/>
          <w:kern w:val="2"/>
          <w:sz w:val="32"/>
          <w:szCs w:val="32"/>
        </w:rPr>
        <w:t>(一)评价结论</w:t>
      </w:r>
      <w:bookmarkEnd w:id="20"/>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1.评价结果 </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综上，根据《盘龙区区级部门预算绩效自评管理暂行办法》，项目绩效评价得分为93分，自评结果为优。</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2.主要绩效</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bookmarkStart w:id="21" w:name="_Toc25367"/>
      <w:r>
        <w:rPr>
          <w:rFonts w:ascii="Times New Roman" w:hAnsi="Times New Roman" w:eastAsia="仿宋_GB2312" w:cs="Times New Roman"/>
          <w:color w:val="333333"/>
          <w:kern w:val="0"/>
          <w:sz w:val="32"/>
          <w:szCs w:val="32"/>
        </w:rPr>
        <w:t>本项目不属于投资建设类项目，主要内容为我单位接管老干活动中心（含区老年大学、区党群活动中心、金色社区、白邑寺公园）安保、保洁、</w:t>
      </w:r>
      <w:r>
        <w:rPr>
          <w:rFonts w:ascii="Times New Roman" w:hAnsi="Times New Roman" w:eastAsia="仿宋_GB2312" w:cs="Times New Roman"/>
          <w:kern w:val="0"/>
          <w:sz w:val="32"/>
          <w:szCs w:val="32"/>
        </w:rPr>
        <w:t>办公用房及设施设备维修维护等综合管理，白邑寺公园绿化管养工作。</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（二）具体绩效分析</w:t>
      </w:r>
      <w:bookmarkEnd w:id="21"/>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具体详见附件1（业务经费项目支出绩效评价共性指标体系）</w:t>
      </w:r>
      <w:bookmarkStart w:id="22" w:name="_Toc522800820"/>
      <w:bookmarkEnd w:id="22"/>
    </w:p>
    <w:p>
      <w:pPr>
        <w:pStyle w:val="2"/>
        <w:keepNext/>
        <w:keepLines/>
        <w:pageBreakBefore w:val="0"/>
        <w:widowControl w:val="0"/>
        <w:kinsoku/>
        <w:wordWrap/>
        <w:overflowPunct/>
        <w:autoSpaceDE/>
        <w:autoSpaceDN/>
        <w:bidi w:val="0"/>
        <w:adjustRightInd/>
        <w:snapToGrid/>
        <w:spacing w:before="340" w:after="330" w:line="560" w:lineRule="exact"/>
        <w:ind w:firstLine="643" w:firstLineChars="200"/>
        <w:jc w:val="both"/>
        <w:rPr>
          <w:rFonts w:ascii="Times New Roman" w:hAnsi="Times New Roman" w:eastAsia="黑体" w:cs="Times New Roman"/>
          <w:kern w:val="44"/>
          <w:sz w:val="32"/>
          <w:szCs w:val="32"/>
        </w:rPr>
      </w:pPr>
      <w:bookmarkStart w:id="23" w:name="_Toc19821"/>
      <w:r>
        <w:rPr>
          <w:rFonts w:ascii="Times New Roman" w:hAnsi="黑体" w:eastAsia="黑体" w:cs="Times New Roman"/>
          <w:kern w:val="44"/>
          <w:sz w:val="32"/>
          <w:szCs w:val="32"/>
        </w:rPr>
        <w:t>四、成本效益分析</w:t>
      </w:r>
      <w:bookmarkEnd w:id="23"/>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24" w:name="_Toc2714"/>
      <w:r>
        <w:rPr>
          <w:rFonts w:ascii="Times New Roman" w:hAnsi="Times New Roman" w:eastAsia="楷体_GB2312" w:cs="Times New Roman"/>
          <w:kern w:val="2"/>
          <w:sz w:val="32"/>
          <w:szCs w:val="32"/>
        </w:rPr>
        <w:t>（一）项目经济性分析</w:t>
      </w:r>
      <w:bookmarkEnd w:id="24"/>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1.项目成本控制情况</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根据昆明市盘龙区财政局昆明市盘龙区财政局《关于下达盘龙区2020年部门预算的批复》（盘财〔2020〕1号）下达专项经费2020年</w:t>
      </w:r>
      <w:r>
        <w:rPr>
          <w:rFonts w:ascii="Times New Roman" w:hAnsi="Times New Roman" w:eastAsia="仿宋_GB2312" w:cs="Times New Roman"/>
          <w:sz w:val="32"/>
          <w:szCs w:val="32"/>
        </w:rPr>
        <w:t>229.6767万</w:t>
      </w:r>
      <w:r>
        <w:rPr>
          <w:rFonts w:ascii="Times New Roman" w:hAnsi="Times New Roman" w:eastAsia="仿宋_GB2312" w:cs="Times New Roman"/>
          <w:color w:val="333333"/>
          <w:kern w:val="0"/>
          <w:sz w:val="32"/>
          <w:szCs w:val="32"/>
        </w:rPr>
        <w:t>元，实际支出1963211.85元，项目资金使用控制在预算范围内。</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2.项目的效率性分析</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根据相关的项目资料显示，截止2020年12月31日，本单位各项工作均有序进行。</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25" w:name="_Toc10483"/>
      <w:r>
        <w:rPr>
          <w:rFonts w:ascii="Times New Roman" w:hAnsi="Times New Roman" w:eastAsia="楷体_GB2312" w:cs="Times New Roman"/>
          <w:kern w:val="2"/>
          <w:sz w:val="32"/>
          <w:szCs w:val="32"/>
        </w:rPr>
        <w:t>（二）项目的效益性分析</w:t>
      </w:r>
      <w:bookmarkEnd w:id="25"/>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1.经济效益</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sz w:val="32"/>
          <w:szCs w:val="32"/>
        </w:rPr>
      </w:pPr>
      <w:r>
        <w:rPr>
          <w:rFonts w:ascii="Times New Roman" w:hAnsi="仿宋_GB2312" w:eastAsia="仿宋_GB2312" w:cs="Times New Roman"/>
          <w:sz w:val="32"/>
          <w:szCs w:val="32"/>
        </w:rPr>
        <w:t>我单位管理的办公区域较多，通过公开招标、集中管理、重点调配等方式，全年节约财政资金约</w:t>
      </w:r>
      <w:r>
        <w:rPr>
          <w:rFonts w:ascii="Times New Roman" w:hAnsi="Times New Roman" w:eastAsia="仿宋_GB2312" w:cs="Times New Roman"/>
          <w:sz w:val="32"/>
          <w:szCs w:val="32"/>
        </w:rPr>
        <w:t>20</w:t>
      </w:r>
      <w:r>
        <w:rPr>
          <w:rFonts w:ascii="Times New Roman" w:hAnsi="仿宋_GB2312" w:eastAsia="仿宋_GB2312" w:cs="Times New Roman"/>
          <w:sz w:val="32"/>
          <w:szCs w:val="32"/>
        </w:rPr>
        <w:t>万元。</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2.社会效益</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提高现有管理服务水平，提升了干部职工及周边市民满意度及政府形象。</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3.可持续影响</w:t>
      </w:r>
    </w:p>
    <w:p>
      <w:pPr>
        <w:pageBreakBefore w:val="0"/>
        <w:kinsoku/>
        <w:wordWrap/>
        <w:overflowPunct/>
        <w:autoSpaceDE/>
        <w:autoSpaceDN/>
        <w:bidi w:val="0"/>
        <w:adjustRightInd/>
        <w:snapToGrid/>
        <w:spacing w:line="560" w:lineRule="exact"/>
        <w:ind w:firstLine="480" w:firstLineChars="150"/>
        <w:rPr>
          <w:rFonts w:ascii="Times New Roman" w:hAnsi="Times New Roman" w:eastAsia="仿宋_GB2312" w:cs="Times New Roman"/>
          <w:b/>
          <w:bCs/>
          <w:kern w:val="0"/>
          <w:sz w:val="32"/>
          <w:szCs w:val="32"/>
        </w:rPr>
      </w:pPr>
      <w:bookmarkStart w:id="26" w:name="_Toc11512"/>
      <w:r>
        <w:rPr>
          <w:rFonts w:ascii="Times New Roman" w:hAnsi="Times New Roman" w:eastAsia="仿宋_GB2312" w:cs="Times New Roman"/>
          <w:kern w:val="0"/>
          <w:sz w:val="32"/>
          <w:szCs w:val="32"/>
        </w:rPr>
        <w:t>节约财政资金，维持绿化管养标准，持续提升周边市民满意度及政府形象</w:t>
      </w:r>
      <w:r>
        <w:rPr>
          <w:rFonts w:ascii="Times New Roman" w:hAnsi="Times New Roman" w:eastAsia="仿宋_GB2312" w:cs="Times New Roman"/>
          <w:b/>
          <w:bCs/>
          <w:kern w:val="0"/>
          <w:sz w:val="32"/>
          <w:szCs w:val="32"/>
        </w:rPr>
        <w:t>。</w:t>
      </w:r>
    </w:p>
    <w:p>
      <w:pPr>
        <w:pStyle w:val="2"/>
        <w:keepNext/>
        <w:keepLines/>
        <w:pageBreakBefore w:val="0"/>
        <w:widowControl w:val="0"/>
        <w:kinsoku/>
        <w:wordWrap/>
        <w:overflowPunct/>
        <w:autoSpaceDE/>
        <w:autoSpaceDN/>
        <w:bidi w:val="0"/>
        <w:adjustRightInd/>
        <w:snapToGrid/>
        <w:spacing w:before="340" w:after="330" w:line="560" w:lineRule="exact"/>
        <w:ind w:firstLine="643" w:firstLineChars="200"/>
        <w:jc w:val="both"/>
        <w:rPr>
          <w:rFonts w:ascii="Times New Roman" w:hAnsi="Times New Roman" w:eastAsia="黑体" w:cs="Times New Roman"/>
          <w:kern w:val="44"/>
          <w:sz w:val="32"/>
          <w:szCs w:val="32"/>
        </w:rPr>
      </w:pPr>
      <w:r>
        <w:rPr>
          <w:rFonts w:ascii="Times New Roman" w:hAnsi="黑体" w:eastAsia="黑体" w:cs="Times New Roman"/>
          <w:kern w:val="44"/>
          <w:sz w:val="32"/>
          <w:szCs w:val="32"/>
        </w:rPr>
        <w:t>五、项目主要经验及做法、存在的问题和建议</w:t>
      </w:r>
      <w:bookmarkEnd w:id="26"/>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27" w:name="_Toc8621"/>
      <w:r>
        <w:rPr>
          <w:rFonts w:ascii="Times New Roman" w:hAnsi="Times New Roman" w:eastAsia="楷体_GB2312" w:cs="Times New Roman"/>
          <w:kern w:val="2"/>
          <w:sz w:val="32"/>
          <w:szCs w:val="32"/>
        </w:rPr>
        <w:t>（一）主要经验及做法</w:t>
      </w:r>
      <w:bookmarkEnd w:id="27"/>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1.强化组织领导</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成立由部门负责人任组长的绩效评价领导小组，保证了财政支出绩效评价各项工作的顺利开展。</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2.加强学习，强化绩效管理的理念。</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认真学习财政部《关于推进预算绩效管理的指导意见》（财预〔2014〕416号）、云南省财政厅《云南省省级部门财政支出绩效办法》（云财预〔2016〕98号）、《盘龙区区级部门预算绩效自评管理暂行办法》、</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2020</w:t>
      </w:r>
      <w:r>
        <w:rPr>
          <w:rFonts w:ascii="Times New Roman" w:hAnsi="仿宋_GB2312" w:eastAsia="仿宋_GB2312" w:cs="Times New Roman"/>
          <w:color w:val="000000" w:themeColor="text1"/>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bookmarkStart w:id="31" w:name="_GoBack"/>
      <w:bookmarkEnd w:id="31"/>
      <w:r>
        <w:rPr>
          <w:rFonts w:ascii="Times New Roman" w:hAnsi="Times New Roman" w:eastAsia="仿宋_GB2312" w:cs="Times New Roman"/>
          <w:color w:val="333333"/>
          <w:kern w:val="0"/>
          <w:sz w:val="32"/>
          <w:szCs w:val="32"/>
        </w:rPr>
        <w:t>相关绩效管理文件，吃透文件精神，强化绩效管理的理念。</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3.创新方式，落实责任</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创新管理方式，落实岗位责任制，夯实基础工作，突出工作重点，强化制度建设，推动本单位预算绩效管理各项工作齐头并进。</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bookmarkStart w:id="28" w:name="_Toc10098"/>
      <w:bookmarkStart w:id="29" w:name="_（二）存在的问题_1"/>
      <w:r>
        <w:rPr>
          <w:rFonts w:ascii="Times New Roman" w:hAnsi="Times New Roman" w:eastAsia="楷体_GB2312" w:cs="Times New Roman"/>
          <w:kern w:val="2"/>
          <w:sz w:val="32"/>
          <w:szCs w:val="32"/>
        </w:rPr>
        <w:fldChar w:fldCharType="begin"/>
      </w:r>
      <w:r>
        <w:rPr>
          <w:rFonts w:ascii="Times New Roman" w:hAnsi="Times New Roman" w:eastAsia="楷体_GB2312" w:cs="Times New Roman"/>
          <w:kern w:val="2"/>
          <w:sz w:val="32"/>
          <w:szCs w:val="32"/>
        </w:rPr>
        <w:instrText xml:space="preserve"> HYPERLINK \l "_（二）存在的问题_1"</w:instrText>
      </w:r>
      <w:r>
        <w:rPr>
          <w:rFonts w:ascii="Times New Roman" w:hAnsi="Times New Roman" w:eastAsia="楷体_GB2312" w:cs="Times New Roman"/>
          <w:kern w:val="2"/>
          <w:sz w:val="32"/>
          <w:szCs w:val="32"/>
        </w:rPr>
        <w:fldChar w:fldCharType="separate"/>
      </w:r>
      <w:r>
        <w:rPr>
          <w:rStyle w:val="12"/>
          <w:rFonts w:ascii="Times New Roman" w:hAnsi="Times New Roman" w:eastAsia="楷体_GB2312" w:cs="Times New Roman"/>
          <w:color w:val="auto"/>
          <w:kern w:val="2"/>
          <w:sz w:val="32"/>
          <w:szCs w:val="32"/>
          <w:u w:val="none"/>
        </w:rPr>
        <w:t>（二）存在的问题</w:t>
      </w:r>
      <w:r>
        <w:rPr>
          <w:rFonts w:ascii="Times New Roman" w:hAnsi="Times New Roman" w:eastAsia="楷体_GB2312" w:cs="Times New Roman"/>
          <w:kern w:val="2"/>
          <w:sz w:val="32"/>
          <w:szCs w:val="32"/>
        </w:rPr>
        <w:fldChar w:fldCharType="end"/>
      </w:r>
      <w:bookmarkEnd w:id="28"/>
    </w:p>
    <w:bookmarkEnd w:id="29"/>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bookmarkStart w:id="30" w:name="_Toc30693"/>
      <w:r>
        <w:rPr>
          <w:rFonts w:ascii="Times New Roman" w:hAnsi="Times New Roman" w:eastAsia="仿宋_GB2312" w:cs="Times New Roman"/>
          <w:color w:val="333333"/>
          <w:kern w:val="0"/>
          <w:sz w:val="32"/>
          <w:szCs w:val="32"/>
        </w:rPr>
        <w:t>1.本项目服务对象不仅包含机关干部职工，还包含老年大学学员及到公园休憩游玩的群众，在服务满意度上与我单位管理的其他区域有差距。</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2.白邑寺公园为开放式公园，绿化管养及安保保洁工作压力较大，且原有设施设备老化严重，更换的较多。</w:t>
      </w:r>
    </w:p>
    <w:p>
      <w:pPr>
        <w:pStyle w:val="3"/>
        <w:keepNext/>
        <w:keepLines/>
        <w:pageBreakBefore w:val="0"/>
        <w:widowControl w:val="0"/>
        <w:kinsoku/>
        <w:wordWrap/>
        <w:overflowPunct/>
        <w:autoSpaceDE/>
        <w:autoSpaceDN/>
        <w:bidi w:val="0"/>
        <w:adjustRightInd/>
        <w:snapToGrid/>
        <w:spacing w:before="260" w:after="260" w:line="560" w:lineRule="exact"/>
        <w:ind w:firstLine="643"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（三）建议和改进措施</w:t>
      </w:r>
      <w:bookmarkEnd w:id="30"/>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1.根据不同的服务对象，制定更加科学、合理、细致的考核评价体系，强化对各类服务人员的日常监管，切实提高服务水平。</w:t>
      </w:r>
    </w:p>
    <w:p>
      <w:pPr>
        <w:pageBreakBefore w:val="0"/>
        <w:widowControl/>
        <w:shd w:val="clear" w:color="auto" w:fill="FFFFFF"/>
        <w:kinsoku/>
        <w:wordWrap/>
        <w:overflowPunct/>
        <w:autoSpaceDE/>
        <w:autoSpaceDN/>
        <w:bidi w:val="0"/>
        <w:adjustRightInd/>
        <w:snapToGrid/>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2.积极探索向新型服务的模式，继续扩大机关后勤服务社会化程度，由服务提供者向监管者转变。</w:t>
      </w:r>
    </w:p>
    <w:p>
      <w:pPr>
        <w:pageBreakBefore w:val="0"/>
        <w:widowControl/>
        <w:shd w:val="clear" w:color="auto" w:fill="FFFFFF"/>
        <w:kinsoku/>
        <w:wordWrap/>
        <w:overflowPunct/>
        <w:autoSpaceDE/>
        <w:autoSpaceDN/>
        <w:bidi w:val="0"/>
        <w:adjustRightInd/>
        <w:snapToGrid/>
        <w:spacing w:line="560" w:lineRule="exact"/>
        <w:ind w:firstLine="555"/>
        <w:jc w:val="left"/>
        <w:outlineLvl w:val="2"/>
        <w:rPr>
          <w:rFonts w:ascii="仿宋_GB2312" w:hAnsi="仿宋" w:eastAsia="仿宋_GB2312" w:cs="宋体"/>
          <w:color w:val="333333"/>
          <w:kern w:val="0"/>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641D6"/>
    <w:rsid w:val="000067C5"/>
    <w:rsid w:val="00016188"/>
    <w:rsid w:val="0003079A"/>
    <w:rsid w:val="00052DD1"/>
    <w:rsid w:val="00064085"/>
    <w:rsid w:val="00065FAB"/>
    <w:rsid w:val="00083C01"/>
    <w:rsid w:val="000A189D"/>
    <w:rsid w:val="000C23F4"/>
    <w:rsid w:val="000D4284"/>
    <w:rsid w:val="000D4C87"/>
    <w:rsid w:val="000E03E5"/>
    <w:rsid w:val="00117A64"/>
    <w:rsid w:val="00120F3E"/>
    <w:rsid w:val="00125208"/>
    <w:rsid w:val="00125431"/>
    <w:rsid w:val="00126F57"/>
    <w:rsid w:val="0013320E"/>
    <w:rsid w:val="00161615"/>
    <w:rsid w:val="00176E0C"/>
    <w:rsid w:val="0017797D"/>
    <w:rsid w:val="001A07AF"/>
    <w:rsid w:val="001B7840"/>
    <w:rsid w:val="001D7066"/>
    <w:rsid w:val="001E05C8"/>
    <w:rsid w:val="001E6CD3"/>
    <w:rsid w:val="0020235D"/>
    <w:rsid w:val="002A186B"/>
    <w:rsid w:val="002A7442"/>
    <w:rsid w:val="002F4439"/>
    <w:rsid w:val="003033E8"/>
    <w:rsid w:val="00350F05"/>
    <w:rsid w:val="00370834"/>
    <w:rsid w:val="003759C8"/>
    <w:rsid w:val="00382F35"/>
    <w:rsid w:val="003A6B1A"/>
    <w:rsid w:val="003B0658"/>
    <w:rsid w:val="00404B4C"/>
    <w:rsid w:val="004142A1"/>
    <w:rsid w:val="004424D2"/>
    <w:rsid w:val="004641D6"/>
    <w:rsid w:val="0046763C"/>
    <w:rsid w:val="004F1C6A"/>
    <w:rsid w:val="00517F76"/>
    <w:rsid w:val="00540427"/>
    <w:rsid w:val="005457FD"/>
    <w:rsid w:val="00560CAF"/>
    <w:rsid w:val="00566D4A"/>
    <w:rsid w:val="00581C86"/>
    <w:rsid w:val="005A5C58"/>
    <w:rsid w:val="005C46F2"/>
    <w:rsid w:val="00625C2D"/>
    <w:rsid w:val="006272BF"/>
    <w:rsid w:val="00633A67"/>
    <w:rsid w:val="00636E7D"/>
    <w:rsid w:val="006455AF"/>
    <w:rsid w:val="00647808"/>
    <w:rsid w:val="00684C7D"/>
    <w:rsid w:val="006C6157"/>
    <w:rsid w:val="00702B18"/>
    <w:rsid w:val="007151A5"/>
    <w:rsid w:val="00750121"/>
    <w:rsid w:val="0075317D"/>
    <w:rsid w:val="00753A9C"/>
    <w:rsid w:val="00797B22"/>
    <w:rsid w:val="007A2583"/>
    <w:rsid w:val="007A54AC"/>
    <w:rsid w:val="007C61D5"/>
    <w:rsid w:val="007E16D7"/>
    <w:rsid w:val="007F12BD"/>
    <w:rsid w:val="007F16C0"/>
    <w:rsid w:val="007F2B86"/>
    <w:rsid w:val="007F4380"/>
    <w:rsid w:val="0084602A"/>
    <w:rsid w:val="00862191"/>
    <w:rsid w:val="00874737"/>
    <w:rsid w:val="00887FA5"/>
    <w:rsid w:val="008A1F73"/>
    <w:rsid w:val="008E639C"/>
    <w:rsid w:val="008F235D"/>
    <w:rsid w:val="00912263"/>
    <w:rsid w:val="009647CC"/>
    <w:rsid w:val="009812BC"/>
    <w:rsid w:val="009845E8"/>
    <w:rsid w:val="00A079AD"/>
    <w:rsid w:val="00A169DA"/>
    <w:rsid w:val="00A246C6"/>
    <w:rsid w:val="00A24DB2"/>
    <w:rsid w:val="00A340FE"/>
    <w:rsid w:val="00A53BF3"/>
    <w:rsid w:val="00A55682"/>
    <w:rsid w:val="00A766EB"/>
    <w:rsid w:val="00AA0784"/>
    <w:rsid w:val="00AD3C01"/>
    <w:rsid w:val="00B0279A"/>
    <w:rsid w:val="00B119F6"/>
    <w:rsid w:val="00B33494"/>
    <w:rsid w:val="00B4249B"/>
    <w:rsid w:val="00B756D2"/>
    <w:rsid w:val="00B90055"/>
    <w:rsid w:val="00BA27BD"/>
    <w:rsid w:val="00BB42A4"/>
    <w:rsid w:val="00BC16C8"/>
    <w:rsid w:val="00BD3A6A"/>
    <w:rsid w:val="00BE5D8B"/>
    <w:rsid w:val="00C331EC"/>
    <w:rsid w:val="00C52C64"/>
    <w:rsid w:val="00C65A21"/>
    <w:rsid w:val="00C823BB"/>
    <w:rsid w:val="00CA1539"/>
    <w:rsid w:val="00CB39A7"/>
    <w:rsid w:val="00CB5F00"/>
    <w:rsid w:val="00CC3DEA"/>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54E6"/>
    <w:rsid w:val="00E9458B"/>
    <w:rsid w:val="00E94B83"/>
    <w:rsid w:val="00E95403"/>
    <w:rsid w:val="00EB6335"/>
    <w:rsid w:val="00EF2A7D"/>
    <w:rsid w:val="00F03E7E"/>
    <w:rsid w:val="00F15ABA"/>
    <w:rsid w:val="00F46785"/>
    <w:rsid w:val="00F65B66"/>
    <w:rsid w:val="00F66BE2"/>
    <w:rsid w:val="00F722B8"/>
    <w:rsid w:val="00F7705D"/>
    <w:rsid w:val="00FC6E77"/>
    <w:rsid w:val="00FD76D5"/>
    <w:rsid w:val="00FF14B8"/>
    <w:rsid w:val="08CE1956"/>
    <w:rsid w:val="096D6754"/>
    <w:rsid w:val="0B413899"/>
    <w:rsid w:val="0CA674F8"/>
    <w:rsid w:val="11452A6F"/>
    <w:rsid w:val="1364723A"/>
    <w:rsid w:val="16CB786F"/>
    <w:rsid w:val="192D5600"/>
    <w:rsid w:val="19794E06"/>
    <w:rsid w:val="1BA138A1"/>
    <w:rsid w:val="23DA27E5"/>
    <w:rsid w:val="23DE5C0E"/>
    <w:rsid w:val="2815741D"/>
    <w:rsid w:val="28D769E4"/>
    <w:rsid w:val="2F32595B"/>
    <w:rsid w:val="341A549B"/>
    <w:rsid w:val="368A7DC7"/>
    <w:rsid w:val="417B0115"/>
    <w:rsid w:val="44E72152"/>
    <w:rsid w:val="455F7423"/>
    <w:rsid w:val="47425AAB"/>
    <w:rsid w:val="4DB13B20"/>
    <w:rsid w:val="4E8B41F2"/>
    <w:rsid w:val="5C084248"/>
    <w:rsid w:val="5CF11A4A"/>
    <w:rsid w:val="5D1379A7"/>
    <w:rsid w:val="63730F52"/>
    <w:rsid w:val="646B50CB"/>
    <w:rsid w:val="6771763C"/>
    <w:rsid w:val="684A7DA5"/>
    <w:rsid w:val="69506DF8"/>
    <w:rsid w:val="6A0B4480"/>
    <w:rsid w:val="6AE22D92"/>
    <w:rsid w:val="6D23191D"/>
    <w:rsid w:val="6F5D433D"/>
    <w:rsid w:val="6FCE621A"/>
    <w:rsid w:val="712709DE"/>
    <w:rsid w:val="74937186"/>
    <w:rsid w:val="7C4911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5"/>
        <o:r id="V:Rule2" type="connector" idref="#直接箭头连接符 1"/>
        <o:r id="V:Rule3" type="connector" idref="#直接箭头连接符 2"/>
        <o:r id="V:Rule4" type="connector" idref="#直接箭头连接符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jc w:val="left"/>
      <w:outlineLvl w:val="2"/>
    </w:pPr>
    <w:rPr>
      <w:rFonts w:ascii="宋体" w:hAnsi="宋体" w:eastAsia="宋体" w:cs="宋体"/>
      <w:b/>
      <w:bCs/>
      <w:kern w:val="0"/>
      <w:sz w:val="27"/>
      <w:szCs w:val="27"/>
    </w:rPr>
  </w:style>
  <w:style w:type="character" w:default="1" w:styleId="10">
    <w:name w:val="Default Paragraph Font"/>
    <w:semiHidden/>
    <w:unhideWhenUsed/>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8">
    <w:name w:val="toc 2"/>
    <w:basedOn w:val="1"/>
    <w:next w:val="1"/>
    <w:unhideWhenUsed/>
    <w:qFormat/>
    <w:uiPriority w:val="39"/>
    <w:pPr>
      <w:ind w:left="420" w:leftChars="200"/>
    </w:pPr>
  </w:style>
  <w:style w:type="paragraph" w:styleId="9">
    <w:name w:val="Normal (Web)"/>
    <w:basedOn w:val="1"/>
    <w:unhideWhenUsed/>
    <w:qFormat/>
    <w:uiPriority w:val="99"/>
    <w:pPr>
      <w:widowControl/>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unhideWhenUsed/>
    <w:qFormat/>
    <w:uiPriority w:val="99"/>
    <w:rPr>
      <w:color w:val="0000FF" w:themeColor="hyperlink"/>
      <w:u w:val="single"/>
    </w:rPr>
  </w:style>
  <w:style w:type="character" w:customStyle="1" w:styleId="14">
    <w:name w:val="标题 1 Char"/>
    <w:basedOn w:val="10"/>
    <w:link w:val="2"/>
    <w:qFormat/>
    <w:uiPriority w:val="9"/>
    <w:rPr>
      <w:rFonts w:ascii="宋体" w:hAnsi="宋体" w:eastAsia="宋体" w:cs="宋体"/>
      <w:b/>
      <w:bCs/>
      <w:kern w:val="36"/>
      <w:sz w:val="48"/>
      <w:szCs w:val="48"/>
    </w:rPr>
  </w:style>
  <w:style w:type="character" w:customStyle="1" w:styleId="15">
    <w:name w:val="标题 2 Char"/>
    <w:basedOn w:val="10"/>
    <w:link w:val="3"/>
    <w:qFormat/>
    <w:uiPriority w:val="9"/>
    <w:rPr>
      <w:rFonts w:ascii="宋体" w:hAnsi="宋体" w:eastAsia="宋体" w:cs="宋体"/>
      <w:b/>
      <w:bCs/>
      <w:kern w:val="0"/>
      <w:sz w:val="36"/>
      <w:szCs w:val="36"/>
    </w:rPr>
  </w:style>
  <w:style w:type="character" w:customStyle="1" w:styleId="16">
    <w:name w:val="标题 3 Char"/>
    <w:basedOn w:val="10"/>
    <w:link w:val="4"/>
    <w:qFormat/>
    <w:uiPriority w:val="9"/>
    <w:rPr>
      <w:rFonts w:ascii="宋体" w:hAnsi="宋体" w:eastAsia="宋体" w:cs="宋体"/>
      <w:b/>
      <w:bCs/>
      <w:kern w:val="0"/>
      <w:sz w:val="27"/>
      <w:szCs w:val="27"/>
    </w:rPr>
  </w:style>
  <w:style w:type="character" w:customStyle="1" w:styleId="17">
    <w:name w:val="页眉 Char"/>
    <w:basedOn w:val="10"/>
    <w:link w:val="6"/>
    <w:qFormat/>
    <w:uiPriority w:val="99"/>
    <w:rPr>
      <w:sz w:val="18"/>
      <w:szCs w:val="18"/>
    </w:rPr>
  </w:style>
  <w:style w:type="character" w:customStyle="1" w:styleId="18">
    <w:name w:val="页脚 Char"/>
    <w:basedOn w:val="10"/>
    <w:link w:val="5"/>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6D372F-E201-4899-AE2D-FCC9F29CCFA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987</Words>
  <Characters>5630</Characters>
  <Lines>46</Lines>
  <Paragraphs>13</Paragraphs>
  <TotalTime>0</TotalTime>
  <ScaleCrop>false</ScaleCrop>
  <LinksUpToDate>false</LinksUpToDate>
  <CharactersWithSpaces>6604</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hp</cp:lastModifiedBy>
  <cp:lastPrinted>2021-05-28T03:06:00Z</cp:lastPrinted>
  <dcterms:modified xsi:type="dcterms:W3CDTF">2021-05-28T04:08:14Z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ICV">
    <vt:lpwstr>2A92FDE5ED9D484FA862D29B10259C4E</vt:lpwstr>
  </property>
</Properties>
</file>