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20" w:after="120" w:line="480" w:lineRule="auto"/>
        <w:jc w:val="center"/>
        <w:rPr>
          <w:rFonts w:hint="eastAsia" w:ascii="方正小标宋_GBK" w:eastAsia="方正小标宋_GBK" w:cs="宋体"/>
          <w:kern w:val="0"/>
          <w:sz w:val="28"/>
          <w:szCs w:val="28"/>
          <w:lang w:val="en-US" w:eastAsia="zh-CN"/>
        </w:rPr>
      </w:pPr>
    </w:p>
    <w:p>
      <w:pPr>
        <w:widowControl/>
        <w:spacing w:before="120" w:after="120" w:line="480" w:lineRule="auto"/>
        <w:jc w:val="center"/>
        <w:rPr>
          <w:rFonts w:hint="eastAsia" w:ascii="Times New Roman" w:hAnsi="Times New Roman" w:eastAsia="宋体" w:cs="Times New Roman"/>
          <w:b/>
          <w:bCs/>
          <w:kern w:val="0"/>
          <w:sz w:val="52"/>
          <w:szCs w:val="52"/>
        </w:rPr>
      </w:pPr>
      <w:r>
        <w:rPr>
          <w:rFonts w:hint="eastAsia" w:ascii="方正小标宋_GBK" w:eastAsia="方正小标宋_GBK" w:cs="宋体"/>
          <w:kern w:val="0"/>
          <w:sz w:val="28"/>
          <w:szCs w:val="28"/>
          <w:lang w:val="en-US" w:eastAsia="zh-CN"/>
        </w:rPr>
        <w:t xml:space="preserve"> </w:t>
      </w:r>
      <w:r>
        <w:rPr>
          <w:rFonts w:ascii="Times New Roman" w:hAnsi="Times New Roman" w:eastAsia="宋体" w:cs="Times New Roman"/>
          <w:b/>
          <w:bCs/>
          <w:kern w:val="0"/>
          <w:sz w:val="52"/>
          <w:szCs w:val="52"/>
        </w:rPr>
        <w:t xml:space="preserve"> </w:t>
      </w:r>
    </w:p>
    <w:p>
      <w:pPr>
        <w:widowControl/>
        <w:jc w:val="center"/>
        <w:rPr>
          <w:rFonts w:ascii="黑体" w:hAnsi="黑体" w:eastAsia="黑体" w:cs="宋体"/>
          <w:kern w:val="0"/>
          <w:sz w:val="52"/>
          <w:szCs w:val="52"/>
        </w:rPr>
      </w:pPr>
      <w:r>
        <w:rPr>
          <w:rFonts w:hint="eastAsia" w:ascii="黑体" w:hAnsi="黑体" w:eastAsia="黑体" w:cs="宋体"/>
          <w:kern w:val="0"/>
          <w:sz w:val="52"/>
          <w:szCs w:val="52"/>
        </w:rPr>
        <w:t>盘龙区农业农村局2020年</w:t>
      </w:r>
    </w:p>
    <w:p>
      <w:pPr>
        <w:widowControl/>
        <w:jc w:val="center"/>
        <w:rPr>
          <w:rFonts w:hint="eastAsia" w:ascii="黑体" w:hAnsi="黑体" w:eastAsia="黑体" w:cs="宋体"/>
          <w:kern w:val="0"/>
          <w:sz w:val="52"/>
          <w:szCs w:val="52"/>
        </w:rPr>
      </w:pPr>
      <w:r>
        <w:rPr>
          <w:rFonts w:hint="eastAsia" w:ascii="黑体" w:hAnsi="黑体" w:eastAsia="黑体" w:cs="宋体"/>
          <w:kern w:val="0"/>
          <w:sz w:val="52"/>
          <w:szCs w:val="52"/>
        </w:rPr>
        <w:t>部门整体支出绩效自评报告</w:t>
      </w:r>
    </w:p>
    <w:p>
      <w:pPr>
        <w:widowControl/>
        <w:spacing w:before="120" w:after="120" w:line="480" w:lineRule="auto"/>
        <w:jc w:val="center"/>
        <w:rPr>
          <w:rFonts w:ascii="Times New Roman" w:hAnsi="Times New Roman" w:eastAsia="宋体" w:cs="Times New Roman"/>
          <w:b/>
          <w:bCs/>
          <w:kern w:val="0"/>
          <w:sz w:val="44"/>
          <w:szCs w:val="44"/>
        </w:rPr>
      </w:pPr>
      <w:r>
        <w:rPr>
          <w:rFonts w:ascii="Times New Roman" w:hAnsi="Times New Roman" w:eastAsia="宋体" w:cs="Times New Roman"/>
          <w:b/>
          <w:bCs/>
          <w:kern w:val="0"/>
          <w:sz w:val="52"/>
          <w:szCs w:val="52"/>
        </w:rPr>
        <w:t xml:space="preserve"> </w:t>
      </w:r>
    </w:p>
    <w:p>
      <w:pPr>
        <w:widowControl/>
        <w:spacing w:before="120" w:after="120" w:line="480" w:lineRule="auto"/>
        <w:jc w:val="center"/>
        <w:rPr>
          <w:rFonts w:ascii="Times New Roman" w:hAnsi="Times New Roman" w:eastAsia="宋体" w:cs="Times New Roman"/>
          <w:b/>
          <w:bCs/>
          <w:kern w:val="0"/>
          <w:sz w:val="44"/>
          <w:szCs w:val="44"/>
        </w:rPr>
      </w:pPr>
    </w:p>
    <w:p>
      <w:pPr>
        <w:widowControl/>
        <w:spacing w:before="120" w:after="120" w:line="480" w:lineRule="auto"/>
        <w:jc w:val="center"/>
        <w:rPr>
          <w:rFonts w:ascii="Times New Roman" w:hAnsi="Times New Roman" w:eastAsia="宋体" w:cs="Times New Roman"/>
          <w:b/>
          <w:bCs/>
          <w:kern w:val="0"/>
          <w:sz w:val="44"/>
          <w:szCs w:val="44"/>
        </w:rPr>
      </w:pPr>
    </w:p>
    <w:p>
      <w:pPr>
        <w:widowControl/>
        <w:spacing w:before="120" w:after="120" w:line="480" w:lineRule="auto"/>
        <w:jc w:val="center"/>
        <w:rPr>
          <w:rFonts w:ascii="Times New Roman" w:hAnsi="Times New Roman" w:eastAsia="宋体" w:cs="Times New Roman"/>
          <w:b/>
          <w:bCs/>
          <w:kern w:val="0"/>
          <w:sz w:val="44"/>
          <w:szCs w:val="44"/>
        </w:rPr>
      </w:pPr>
    </w:p>
    <w:p>
      <w:pPr>
        <w:widowControl/>
        <w:spacing w:before="120" w:after="120" w:line="480" w:lineRule="auto"/>
        <w:jc w:val="center"/>
        <w:rPr>
          <w:rFonts w:ascii="Times New Roman" w:hAnsi="Times New Roman" w:eastAsia="宋体" w:cs="Times New Roman"/>
          <w:b/>
          <w:bCs/>
          <w:kern w:val="0"/>
          <w:sz w:val="44"/>
          <w:szCs w:val="44"/>
        </w:rPr>
      </w:pPr>
      <w:r>
        <w:rPr>
          <w:rFonts w:ascii="Times New Roman" w:hAnsi="Times New Roman" w:eastAsia="宋体" w:cs="Times New Roman"/>
          <w:b/>
          <w:bCs/>
          <w:kern w:val="0"/>
          <w:sz w:val="44"/>
          <w:szCs w:val="44"/>
        </w:rPr>
        <w:t xml:space="preserve"> </w:t>
      </w:r>
    </w:p>
    <w:p>
      <w:pPr>
        <w:widowControl/>
        <w:spacing w:before="120" w:after="120" w:line="480" w:lineRule="auto"/>
        <w:jc w:val="center"/>
        <w:rPr>
          <w:rFonts w:ascii="Times New Roman" w:hAnsi="Times New Roman" w:eastAsia="宋体" w:cs="Times New Roman"/>
          <w:b/>
          <w:bCs/>
          <w:kern w:val="0"/>
          <w:sz w:val="44"/>
          <w:szCs w:val="44"/>
        </w:rPr>
      </w:pPr>
      <w:r>
        <w:rPr>
          <w:rFonts w:ascii="Times New Roman" w:hAnsi="Times New Roman" w:eastAsia="宋体" w:cs="Times New Roman"/>
          <w:b/>
          <w:bCs/>
          <w:kern w:val="0"/>
          <w:sz w:val="44"/>
          <w:szCs w:val="44"/>
        </w:rPr>
        <w:t xml:space="preserve">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kern w:val="2"/>
          <w:sz w:val="28"/>
          <w:szCs w:val="28"/>
          <w:lang w:val="en-US" w:eastAsia="zh-CN" w:bidi="ar-SA"/>
        </w:rPr>
        <w:pict>
          <v:shape id="自选图形 2" o:spid="_x0000_s1029" o:spt="32" type="#_x0000_t32" style="position:absolute;left:0pt;margin-left:133.5pt;margin-top:16.65pt;height:0.05pt;width:272.25pt;z-index:251658240;mso-width-relative:page;mso-height-relative:page;" fillcolor="#FFFFFF" filled="t" o:preferrelative="t" stroked="t" coordsize="21600,21600">
            <v:path arrowok="t"/>
            <v:fill on="t" focussize="0,0"/>
            <v:stroke color="#000000" color2="#FFFFFF" miterlimit="2"/>
            <v:imagedata gain="65536f" blacklevel="0f" gamma="0" o:title=""/>
            <o:lock v:ext="edit" position="f" selection="f" grouping="f" rotation="f" cropping="f" text="f" aspectratio="f"/>
          </v:shape>
        </w:pic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eastAsia="zh-CN"/>
        </w:rPr>
        <w:t>盘龙区农业农村局</w:t>
      </w:r>
      <w:r>
        <w:rPr>
          <w:rFonts w:hint="eastAsia" w:ascii="Times New Roman" w:hAnsi="Times New Roman" w:eastAsia="黑体" w:cs="黑体"/>
          <w:b/>
          <w:bCs/>
          <w:sz w:val="28"/>
          <w:szCs w:val="28"/>
        </w:rPr>
        <w:t>整体支出</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kern w:val="2"/>
          <w:sz w:val="28"/>
          <w:szCs w:val="28"/>
          <w:lang w:val="en-US" w:eastAsia="zh-CN" w:bidi="ar-SA"/>
        </w:rPr>
        <w:pict>
          <v:shape id="自选图形 3" o:spid="_x0000_s1030" o:spt="32" type="#_x0000_t32" style="position:absolute;left:0pt;margin-left:133.5pt;margin-top:17.15pt;height:0.05pt;width:272.25pt;z-index:251659264;mso-width-relative:page;mso-height-relative:page;" fillcolor="#FFFFFF" filled="t" o:preferrelative="t" stroked="t" coordsize="21600,21600">
            <v:path arrowok="t"/>
            <v:fill on="t" focussize="0,0"/>
            <v:stroke color="#000000" color2="#FFFFFF" miterlimit="2"/>
            <v:imagedata gain="65536f" blacklevel="0f" gamma="0" o:title=""/>
            <o:lock v:ext="edit" position="f" selection="f" grouping="f" rotation="f" cropping="f" text="f" aspectratio="f"/>
          </v:shape>
        </w:pic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lang w:eastAsia="zh-CN"/>
        </w:rPr>
        <w:t>盘龙区农业农村局</w:t>
      </w:r>
    </w:p>
    <w:p>
      <w:pPr>
        <w:adjustRightInd w:val="0"/>
        <w:snapToGrid w:val="0"/>
        <w:spacing w:line="360" w:lineRule="auto"/>
        <w:ind w:left="1260" w:leftChars="600"/>
        <w:rPr>
          <w:rFonts w:ascii="Times New Roman" w:hAnsi="Times New Roman" w:eastAsia="宋体" w:cs="Times New Roman"/>
          <w:b/>
          <w:bCs/>
          <w:kern w:val="0"/>
          <w:sz w:val="28"/>
          <w:szCs w:val="28"/>
          <w:lang w:val="en-US"/>
        </w:rPr>
      </w:pPr>
      <w:r>
        <w:rPr>
          <w:rFonts w:ascii="Times New Roman" w:hAnsi="Times New Roman" w:eastAsia="黑体" w:cs="黑体"/>
          <w:b/>
          <w:bCs/>
          <w:kern w:val="2"/>
          <w:sz w:val="28"/>
          <w:szCs w:val="28"/>
          <w:lang w:val="en-US" w:eastAsia="zh-CN" w:bidi="ar-SA"/>
        </w:rPr>
        <w:pict>
          <v:shape id="自选图形 4" o:spid="_x0000_s1031" o:spt="32" type="#_x0000_t32" style="position:absolute;left:0pt;margin-left:133.5pt;margin-top:19.95pt;height:0.05pt;width:272.25pt;z-index:251660288;mso-width-relative:page;mso-height-relative:page;" fillcolor="#FFFFFF" filled="t" o:preferrelative="t" stroked="t" coordsize="21600,21600">
            <v:path arrowok="t"/>
            <v:fill on="t" focussize="0,0"/>
            <v:stroke color="#000000" color2="#FFFFFF" miterlimit="2"/>
            <v:imagedata gain="65536f" blacklevel="0f" gamma="0" o:title=""/>
            <o:lock v:ext="edit" position="f" selection="f" grouping="f" rotation="f" cropping="f" text="f" aspectratio="f"/>
          </v:shape>
        </w:pict>
      </w:r>
      <w:r>
        <w:rPr>
          <w:rFonts w:hint="eastAsia" w:ascii="Times New Roman" w:hAnsi="Times New Roman" w:eastAsia="黑体" w:cs="黑体"/>
          <w:b/>
          <w:bCs/>
          <w:sz w:val="28"/>
          <w:szCs w:val="28"/>
        </w:rPr>
        <w:t>评价机构：</w:t>
      </w:r>
      <w:r>
        <w:rPr>
          <w:rFonts w:hint="eastAsia" w:ascii="Times New Roman" w:hAnsi="Times New Roman" w:eastAsia="黑体" w:cs="黑体"/>
          <w:b/>
          <w:bCs/>
          <w:sz w:val="28"/>
          <w:szCs w:val="28"/>
          <w:lang w:eastAsia="zh-CN"/>
        </w:rPr>
        <w:t>盘龙区农业农村局绩效自评小组</w:t>
      </w:r>
    </w:p>
    <w:p>
      <w:pPr>
        <w:widowControl/>
        <w:adjustRightInd w:val="0"/>
        <w:snapToGrid w:val="0"/>
        <w:spacing w:line="360" w:lineRule="auto"/>
        <w:ind w:left="1260"/>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spacing w:line="360" w:lineRule="auto"/>
        <w:ind w:left="1218"/>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spacing w:line="360" w:lineRule="auto"/>
        <w:ind w:left="1218"/>
        <w:rPr>
          <w:rFonts w:ascii="Times New Roman" w:hAnsi="Times New Roman" w:eastAsia="宋体" w:cs="Times New Roman"/>
          <w:b/>
          <w:bCs/>
          <w:kern w:val="0"/>
          <w:sz w:val="28"/>
          <w:szCs w:val="28"/>
        </w:rPr>
      </w:pPr>
    </w:p>
    <w:p>
      <w:pPr>
        <w:widowControl/>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20</w:t>
      </w:r>
      <w:r>
        <w:rPr>
          <w:rFonts w:hint="eastAsia" w:ascii="黑体" w:hAnsi="黑体" w:eastAsia="黑体" w:cs="宋体"/>
          <w:b/>
          <w:bCs/>
          <w:kern w:val="0"/>
          <w:sz w:val="28"/>
          <w:szCs w:val="28"/>
        </w:rPr>
        <w:t>21年5月</w:t>
      </w:r>
    </w:p>
    <w:p>
      <w:pPr>
        <w:widowControl/>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widowControl/>
        <w:jc w:val="center"/>
        <w:rPr>
          <w:rFonts w:ascii="Times New Roman" w:hAnsi="Times New Roman" w:eastAsia="宋体" w:cs="Times New Roman"/>
          <w:b/>
          <w:bCs/>
          <w:kern w:val="0"/>
          <w:sz w:val="28"/>
          <w:szCs w:val="28"/>
        </w:rPr>
      </w:pPr>
      <w:r>
        <w:rPr>
          <w:rFonts w:ascii="Times New Roman" w:hAnsi="Times New Roman" w:eastAsia="宋体" w:cs="Times New Roman"/>
          <w:b/>
          <w:bCs/>
          <w:kern w:val="0"/>
          <w:sz w:val="28"/>
          <w:szCs w:val="28"/>
        </w:rPr>
        <w:t xml:space="preserve"> </w:t>
      </w:r>
    </w:p>
    <w:p>
      <w:pPr>
        <w:pStyle w:val="11"/>
        <w:widowControl w:val="0"/>
        <w:spacing w:after="0" w:line="360" w:lineRule="auto"/>
        <w:ind w:left="420" w:leftChars="200"/>
        <w:jc w:val="both"/>
        <w:rPr>
          <w:rFonts w:hint="eastAsia" w:ascii="Times New Roman" w:hAnsi="Times New Roman" w:eastAsia="黑体" w:cs="黑体"/>
          <w:kern w:val="2"/>
          <w:sz w:val="24"/>
          <w:szCs w:val="24"/>
          <w:lang w:val="zh-TW" w:eastAsia="zh-TW"/>
        </w:rPr>
      </w:pPr>
      <w:r>
        <w:rPr>
          <w:rFonts w:ascii="Times New Roman" w:hAnsi="Times New Roman" w:eastAsia="宋体" w:cs="Times New Roman"/>
          <w:b/>
          <w:bCs/>
          <w:kern w:val="0"/>
          <w:sz w:val="28"/>
          <w:szCs w:val="28"/>
        </w:rPr>
        <w:t xml:space="preserve"> </w:t>
      </w: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XSpec="left" w:tblpY="72"/>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8"/>
        <w:gridCol w:w="1249"/>
        <w:gridCol w:w="1430"/>
        <w:gridCol w:w="2564"/>
        <w:gridCol w:w="1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trPr>
        <w:tc>
          <w:tcPr>
            <w:tcW w:w="1748"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249"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430"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2564"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749" w:type="dxa"/>
            <w:vAlign w:val="center"/>
          </w:tcPr>
          <w:p>
            <w:pPr>
              <w:pStyle w:val="11"/>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atLeast"/>
        </w:trPr>
        <w:tc>
          <w:tcPr>
            <w:tcW w:w="1748" w:type="dxa"/>
            <w:vAlign w:val="center"/>
          </w:tcPr>
          <w:p>
            <w:pPr>
              <w:pStyle w:val="11"/>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长</w:t>
            </w:r>
          </w:p>
        </w:tc>
        <w:tc>
          <w:tcPr>
            <w:tcW w:w="1249" w:type="dxa"/>
            <w:vAlign w:val="top"/>
          </w:tcPr>
          <w:p>
            <w:pPr>
              <w:pStyle w:val="11"/>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鹿传奇</w:t>
            </w:r>
          </w:p>
        </w:tc>
        <w:tc>
          <w:tcPr>
            <w:tcW w:w="1430" w:type="dxa"/>
            <w:vAlign w:val="top"/>
          </w:tcPr>
          <w:p>
            <w:pPr>
              <w:pStyle w:val="11"/>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局长</w:t>
            </w:r>
          </w:p>
        </w:tc>
        <w:tc>
          <w:tcPr>
            <w:tcW w:w="2564" w:type="dxa"/>
            <w:vAlign w:val="top"/>
          </w:tcPr>
          <w:p>
            <w:pPr>
              <w:pStyle w:val="11"/>
              <w:widowControl w:val="0"/>
              <w:spacing w:after="0" w:line="240" w:lineRule="auto"/>
              <w:jc w:val="both"/>
              <w:rPr>
                <w:rFonts w:ascii="Times New Roman" w:hAnsi="Times New Roman" w:eastAsia="黑体" w:cs="黑体"/>
                <w:kern w:val="2"/>
                <w:sz w:val="24"/>
                <w:szCs w:val="24"/>
                <w:lang w:val="zh-TW" w:eastAsia="zh-TW"/>
              </w:rPr>
            </w:pPr>
          </w:p>
        </w:tc>
        <w:tc>
          <w:tcPr>
            <w:tcW w:w="1749" w:type="dxa"/>
            <w:vAlign w:val="top"/>
          </w:tcPr>
          <w:p>
            <w:pPr>
              <w:pStyle w:val="11"/>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1748" w:type="dxa"/>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许太然</w:t>
            </w:r>
          </w:p>
        </w:tc>
        <w:tc>
          <w:tcPr>
            <w:tcW w:w="1430"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副局长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rPr>
        <w:tc>
          <w:tcPr>
            <w:tcW w:w="1748" w:type="dxa"/>
            <w:vAlign w:val="center"/>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陈</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滔</w:t>
            </w:r>
          </w:p>
        </w:tc>
        <w:tc>
          <w:tcPr>
            <w:tcW w:w="1430"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办公主任</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办公室</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和秋娟</w:t>
            </w:r>
          </w:p>
        </w:tc>
        <w:tc>
          <w:tcPr>
            <w:tcW w:w="1430"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人事财务科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段</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勇</w:t>
            </w:r>
          </w:p>
        </w:tc>
        <w:tc>
          <w:tcPr>
            <w:tcW w:w="1430"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养殖业管理科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年</w:t>
            </w:r>
          </w:p>
        </w:tc>
        <w:tc>
          <w:tcPr>
            <w:tcW w:w="1430"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种植业管理科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方</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波</w:t>
            </w:r>
          </w:p>
        </w:tc>
        <w:tc>
          <w:tcPr>
            <w:tcW w:w="1430"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产业发展科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曾鑫贵</w:t>
            </w:r>
          </w:p>
        </w:tc>
        <w:tc>
          <w:tcPr>
            <w:tcW w:w="1430"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农村社会事业促进科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张丽红</w:t>
            </w:r>
          </w:p>
        </w:tc>
        <w:tc>
          <w:tcPr>
            <w:tcW w:w="1430"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生态保护修复科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李安庆</w:t>
            </w:r>
          </w:p>
        </w:tc>
        <w:tc>
          <w:tcPr>
            <w:tcW w:w="1430"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林草资源管理科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段</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辉</w:t>
            </w:r>
          </w:p>
        </w:tc>
        <w:tc>
          <w:tcPr>
            <w:tcW w:w="1430"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林业和草原综合科</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汪仁桦</w:t>
            </w:r>
          </w:p>
        </w:tc>
        <w:tc>
          <w:tcPr>
            <w:tcW w:w="1430"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主任</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扶贫办</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trPr>
        <w:tc>
          <w:tcPr>
            <w:tcW w:w="1748" w:type="dxa"/>
            <w:vAlign w:val="center"/>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员　</w:t>
            </w:r>
          </w:p>
        </w:tc>
        <w:tc>
          <w:tcPr>
            <w:tcW w:w="1249" w:type="dxa"/>
            <w:vAlign w:val="top"/>
          </w:tcPr>
          <w:p>
            <w:pPr>
              <w:pStyle w:val="11"/>
              <w:widowControl w:val="0"/>
              <w:spacing w:after="0" w:line="36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姚  红</w:t>
            </w:r>
          </w:p>
        </w:tc>
        <w:tc>
          <w:tcPr>
            <w:tcW w:w="1430" w:type="dxa"/>
            <w:vAlign w:val="top"/>
          </w:tcPr>
          <w:p>
            <w:pPr>
              <w:pStyle w:val="11"/>
              <w:widowControl w:val="0"/>
              <w:spacing w:after="0" w:line="36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科长</w:t>
            </w:r>
          </w:p>
        </w:tc>
        <w:tc>
          <w:tcPr>
            <w:tcW w:w="2564" w:type="dxa"/>
            <w:vAlign w:val="top"/>
          </w:tcPr>
          <w:p>
            <w:pPr>
              <w:pStyle w:val="11"/>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农机站</w:t>
            </w:r>
          </w:p>
        </w:tc>
        <w:tc>
          <w:tcPr>
            <w:tcW w:w="1749" w:type="dxa"/>
            <w:vAlign w:val="top"/>
          </w:tcPr>
          <w:p>
            <w:pPr>
              <w:pStyle w:val="11"/>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0" w:hRule="atLeast"/>
        </w:trPr>
        <w:tc>
          <w:tcPr>
            <w:tcW w:w="8740" w:type="dxa"/>
            <w:gridSpan w:val="5"/>
            <w:vAlign w:val="top"/>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1"/>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7" w:hRule="atLeast"/>
        </w:trPr>
        <w:tc>
          <w:tcPr>
            <w:tcW w:w="8740" w:type="dxa"/>
            <w:gridSpan w:val="5"/>
            <w:vAlign w:val="top"/>
          </w:tcPr>
          <w:p>
            <w:pPr>
              <w:pStyle w:val="11"/>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1"/>
              <w:widowControl w:val="0"/>
              <w:spacing w:after="0" w:line="360" w:lineRule="auto"/>
              <w:jc w:val="both"/>
              <w:rPr>
                <w:rFonts w:ascii="Times New Roman" w:hAnsi="Times New Roman" w:eastAsia="黑体" w:cs="黑体"/>
                <w:kern w:val="2"/>
                <w:sz w:val="24"/>
                <w:szCs w:val="24"/>
                <w:lang w:val="zh-TW"/>
              </w:rPr>
            </w:pPr>
          </w:p>
          <w:p>
            <w:pPr>
              <w:pStyle w:val="11"/>
              <w:widowControl w:val="0"/>
              <w:spacing w:after="0" w:line="360" w:lineRule="auto"/>
              <w:jc w:val="both"/>
              <w:rPr>
                <w:rFonts w:ascii="Times New Roman" w:hAnsi="Times New Roman" w:eastAsia="黑体" w:cs="黑体"/>
                <w:kern w:val="2"/>
                <w:sz w:val="24"/>
                <w:szCs w:val="24"/>
                <w:lang w:val="zh-TW"/>
              </w:rPr>
            </w:pPr>
          </w:p>
          <w:p>
            <w:pPr>
              <w:pStyle w:val="11"/>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widowControl/>
        <w:jc w:val="both"/>
        <w:rPr>
          <w:rFonts w:ascii="方正小标宋_GBK" w:hAnsi="宋体" w:eastAsia="方正小标宋_GBK" w:cs="宋体"/>
          <w:b/>
          <w:bCs/>
          <w:kern w:val="0"/>
          <w:sz w:val="22"/>
        </w:rPr>
        <w:sectPr>
          <w:headerReference r:id="rId3" w:type="default"/>
          <w:footerReference r:id="rId4" w:type="default"/>
          <w:pgSz w:w="11906" w:h="16838"/>
          <w:pgMar w:top="1440" w:right="1800" w:bottom="1440" w:left="1800" w:header="720" w:footer="720" w:gutter="0"/>
          <w:pgNumType w:fmt="decimal" w:start="1"/>
          <w:cols w:space="720" w:num="1"/>
          <w:docGrid w:type="lines" w:linePitch="312" w:charSpace="0"/>
        </w:sectPr>
      </w:pPr>
    </w:p>
    <w:p>
      <w:pPr>
        <w:widowControl/>
        <w:spacing w:line="273" w:lineRule="auto"/>
        <w:jc w:val="center"/>
        <w:rPr>
          <w:rFonts w:ascii="方正小标宋_GBK" w:hAnsi="Cambria" w:eastAsia="方正小标宋_GBK" w:cs="宋体"/>
          <w:color w:val="365F91"/>
          <w:kern w:val="0"/>
          <w:sz w:val="28"/>
          <w:szCs w:val="28"/>
        </w:rPr>
      </w:pPr>
      <w:r>
        <w:rPr>
          <w:rFonts w:hint="eastAsia" w:ascii="方正小标宋_GBK" w:hAnsi="Cambria" w:eastAsia="方正小标宋_GBK" w:cs="宋体"/>
          <w:color w:val="365F91"/>
          <w:kern w:val="0"/>
          <w:sz w:val="28"/>
          <w:szCs w:val="28"/>
        </w:rPr>
        <w:t>目录</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一、摘要</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二、部门概况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（一）部门机构设置、编制</w:t>
      </w:r>
      <w:r>
        <w:rPr>
          <w:rFonts w:hint="eastAsia" w:ascii="黑体" w:hAnsi="黑体" w:eastAsia="黑体" w:cs="宋体"/>
          <w:kern w:val="0"/>
          <w:szCs w:val="21"/>
        </w:rPr>
        <w:tab/>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（二）部门职能</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（三）部门工作完成情况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 xml:space="preserve">（四）部门管理制度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（五）部门资金来源及使用情况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 xml:space="preserve">（六）政府采购情况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（七）固定资产情况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三、绩效目标</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四、评价思路和过程</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（一）评价思路</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（二）评价目的</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（三）评价依据</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（四）评价对象及评价时段</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五、评价结论和绩效分析</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（一）评价结论</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（二）具体绩效分析</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六、主要经验做法</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七、存在的问题</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八、改进措施及建议</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附件1 成本费用分析报告</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附件2 部门职能分解及20XX年工作完成情况表</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 xml:space="preserve">附件3评价指标体系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附件4问卷调查报告</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附件5工作底稿</w:t>
      </w:r>
      <w:r>
        <w:rPr>
          <w:rFonts w:hint="eastAsia" w:ascii="黑体" w:hAnsi="黑体" w:eastAsia="黑体" w:cs="宋体"/>
          <w:kern w:val="0"/>
          <w:szCs w:val="21"/>
        </w:rPr>
        <w:tab/>
      </w:r>
      <w:r>
        <w:rPr>
          <w:rFonts w:hint="eastAsia" w:ascii="黑体" w:hAnsi="黑体" w:eastAsia="黑体" w:cs="宋体"/>
          <w:kern w:val="0"/>
          <w:szCs w:val="21"/>
        </w:rPr>
        <w:t xml:space="preserve"> </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附件6 XXXX部门20XX年项目预算、决算明细表（单位：元）</w:t>
      </w:r>
    </w:p>
    <w:p>
      <w:pPr>
        <w:widowControl/>
        <w:spacing w:line="400" w:lineRule="atLeast"/>
        <w:ind w:firstLine="420"/>
        <w:jc w:val="left"/>
        <w:rPr>
          <w:rFonts w:hint="eastAsia" w:ascii="黑体" w:hAnsi="黑体" w:eastAsia="黑体" w:cs="宋体"/>
          <w:kern w:val="0"/>
          <w:szCs w:val="21"/>
        </w:rPr>
      </w:pPr>
      <w:r>
        <w:rPr>
          <w:rFonts w:hint="eastAsia" w:ascii="黑体" w:hAnsi="黑体" w:eastAsia="黑体" w:cs="宋体"/>
          <w:kern w:val="0"/>
          <w:szCs w:val="21"/>
        </w:rPr>
        <w:t xml:space="preserve">附件7 </w:t>
      </w:r>
      <w:r>
        <w:rPr>
          <w:rFonts w:hint="eastAsia" w:ascii="黑体" w:hAnsi="黑体" w:eastAsia="黑体" w:cs="宋体"/>
          <w:kern w:val="0"/>
          <w:sz w:val="24"/>
          <w:szCs w:val="24"/>
        </w:rPr>
        <w:t>……</w:t>
      </w:r>
    </w:p>
    <w:p>
      <w:pPr>
        <w:widowControl/>
        <w:spacing w:line="600" w:lineRule="atLeast"/>
        <w:ind w:firstLine="420"/>
        <w:jc w:val="left"/>
        <w:rPr>
          <w:rFonts w:hint="eastAsia" w:ascii="方正小标宋_GBK" w:hAnsi="Calibri" w:eastAsia="方正小标宋_GBK" w:cs="宋体"/>
          <w:kern w:val="0"/>
          <w:sz w:val="28"/>
          <w:szCs w:val="28"/>
        </w:rPr>
      </w:pPr>
      <w:r>
        <w:rPr>
          <w:rFonts w:hint="eastAsia" w:ascii="黑体" w:hAnsi="黑体" w:eastAsia="黑体" w:cs="宋体"/>
          <w:kern w:val="0"/>
          <w:szCs w:val="21"/>
        </w:rPr>
        <w:t xml:space="preserve"> </w:t>
      </w:r>
    </w:p>
    <w:p>
      <w:pPr>
        <w:widowControl/>
        <w:spacing w:line="520" w:lineRule="atLeast"/>
        <w:ind w:firstLine="560"/>
        <w:jc w:val="center"/>
        <w:rPr>
          <w:rFonts w:hint="eastAsia" w:ascii="方正小标宋简体" w:hAnsi="方正小标宋简体" w:eastAsia="方正小标宋简体" w:cs="方正小标宋简体"/>
          <w:kern w:val="0"/>
          <w:sz w:val="44"/>
          <w:szCs w:val="44"/>
        </w:rPr>
      </w:pPr>
    </w:p>
    <w:p>
      <w:pPr>
        <w:widowControl/>
        <w:spacing w:line="520" w:lineRule="atLeast"/>
        <w:ind w:firstLine="560"/>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盘龙区农业农村局2020年部门</w:t>
      </w:r>
    </w:p>
    <w:p>
      <w:pPr>
        <w:widowControl/>
        <w:spacing w:line="520" w:lineRule="atLeast"/>
        <w:ind w:firstLine="560"/>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 xml:space="preserve">整体支出绩效自评报告 </w:t>
      </w:r>
    </w:p>
    <w:p>
      <w:pPr>
        <w:widowControl w:val="0"/>
        <w:wordWrap/>
        <w:adjustRightInd/>
        <w:snapToGrid/>
        <w:spacing w:line="560" w:lineRule="exact"/>
        <w:ind w:left="0" w:leftChars="0" w:right="0" w:firstLine="420" w:firstLineChars="200"/>
        <w:jc w:val="both"/>
        <w:textAlignment w:val="auto"/>
        <w:outlineLvl w:val="9"/>
        <w:rPr>
          <w:rFonts w:hint="eastAsia" w:ascii="仿宋_GB2312" w:hAnsi="仿宋_GB2312" w:eastAsia="仿宋_GB2312" w:cs="仿宋_GB2312"/>
          <w:color w:val="auto"/>
          <w:sz w:val="32"/>
          <w:szCs w:val="40"/>
          <w:lang w:eastAsia="zh-CN"/>
        </w:rPr>
      </w:pPr>
      <w:r>
        <w:rPr>
          <w:rFonts w:hint="eastAsia" w:ascii="方正小标宋_GBK" w:eastAsia="方正小标宋_GBK" w:cs="宋体"/>
          <w:kern w:val="0"/>
          <w:szCs w:val="21"/>
          <w:lang w:val="en-US" w:eastAsia="zh-CN"/>
        </w:rPr>
        <w:t xml:space="preserve"> </w:t>
      </w:r>
      <w:r>
        <w:rPr>
          <w:rFonts w:hint="eastAsia" w:ascii="仿宋_GB2312" w:hAnsi="仿宋_GB2312" w:eastAsia="仿宋_GB2312" w:cs="仿宋_GB2312"/>
          <w:color w:val="auto"/>
          <w:sz w:val="32"/>
          <w:szCs w:val="40"/>
          <w:lang w:val="en-US" w:eastAsia="zh-CN"/>
        </w:rPr>
        <w:t xml:space="preserve"> </w:t>
      </w:r>
    </w:p>
    <w:p>
      <w:pPr>
        <w:widowControl w:val="0"/>
        <w:numPr>
          <w:ilvl w:val="0"/>
          <w:numId w:val="1"/>
        </w:numPr>
        <w:wordWrap/>
        <w:adjustRightInd/>
        <w:snapToGrid/>
        <w:spacing w:line="560" w:lineRule="exact"/>
        <w:ind w:left="0" w:leftChars="0" w:right="0" w:firstLine="640" w:firstLineChars="200"/>
        <w:jc w:val="both"/>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摘要</w:t>
      </w:r>
    </w:p>
    <w:p>
      <w:pPr>
        <w:widowControl w:val="0"/>
        <w:numPr>
          <w:ilvl w:val="0"/>
          <w:numId w:val="0"/>
        </w:numPr>
        <w:wordWrap/>
        <w:adjustRightInd/>
        <w:snapToGrid/>
        <w:spacing w:line="560" w:lineRule="exact"/>
        <w:ind w:right="0"/>
        <w:jc w:val="both"/>
        <w:textAlignment w:val="auto"/>
        <w:outlineLvl w:val="9"/>
        <w:rPr>
          <w:rFonts w:hint="eastAsia" w:ascii="黑体" w:hAnsi="黑体" w:eastAsia="黑体" w:cs="宋体"/>
          <w:kern w:val="0"/>
          <w:sz w:val="32"/>
          <w:szCs w:val="32"/>
        </w:rPr>
      </w:pPr>
      <w:r>
        <w:rPr>
          <w:rFonts w:hint="eastAsia" w:ascii="仿宋_GB2312" w:hAnsi="宋体" w:eastAsia="仿宋_GB2312" w:cs="宋体"/>
          <w:color w:val="000000"/>
          <w:kern w:val="0"/>
          <w:sz w:val="25"/>
          <w:szCs w:val="25"/>
          <w:lang w:val="en-US" w:eastAsia="zh-CN"/>
        </w:rPr>
        <w:t xml:space="preserve">  </w:t>
      </w:r>
      <w:r>
        <w:rPr>
          <w:rFonts w:hint="eastAsia" w:ascii="仿宋_GB2312" w:hAnsi="宋体" w:eastAsia="仿宋_GB2312" w:cs="宋体"/>
          <w:color w:val="000000"/>
          <w:kern w:val="0"/>
          <w:sz w:val="32"/>
          <w:szCs w:val="32"/>
          <w:lang w:val="en-US" w:eastAsia="zh-CN"/>
        </w:rPr>
        <w:t xml:space="preserve">  </w:t>
      </w:r>
      <w:r>
        <w:rPr>
          <w:rFonts w:hint="eastAsia" w:ascii="仿宋_GB2312" w:hAnsi="宋体" w:eastAsia="仿宋_GB2312" w:cs="宋体"/>
          <w:color w:val="000000"/>
          <w:kern w:val="0"/>
          <w:sz w:val="32"/>
          <w:szCs w:val="32"/>
        </w:rPr>
        <w:t>20</w:t>
      </w:r>
      <w:r>
        <w:rPr>
          <w:rFonts w:hint="eastAsia" w:ascii="仿宋_GB2312" w:hAnsi="宋体" w:eastAsia="仿宋_GB2312" w:cs="宋体"/>
          <w:color w:val="000000"/>
          <w:kern w:val="0"/>
          <w:sz w:val="32"/>
          <w:szCs w:val="32"/>
          <w:lang w:val="en-US" w:eastAsia="zh-CN"/>
        </w:rPr>
        <w:t>20</w:t>
      </w:r>
      <w:r>
        <w:rPr>
          <w:rFonts w:hint="eastAsia" w:ascii="仿宋_GB2312" w:hAnsi="宋体" w:eastAsia="仿宋_GB2312" w:cs="宋体"/>
          <w:color w:val="000000"/>
          <w:kern w:val="0"/>
          <w:sz w:val="32"/>
          <w:szCs w:val="32"/>
        </w:rPr>
        <w:t>年，是全面建成小康社会的关键之年，也是推进乡村振兴战略实施的重要一年。</w:t>
      </w:r>
      <w:r>
        <w:rPr>
          <w:rFonts w:hint="eastAsia" w:ascii="仿宋_GB2312" w:hAnsi="宋体" w:eastAsia="仿宋_GB2312" w:cs="宋体"/>
          <w:color w:val="000000"/>
          <w:kern w:val="0"/>
          <w:sz w:val="32"/>
          <w:szCs w:val="32"/>
          <w:lang w:eastAsia="zh-CN"/>
        </w:rPr>
        <w:t>区</w:t>
      </w:r>
      <w:r>
        <w:rPr>
          <w:rFonts w:hint="eastAsia" w:ascii="仿宋_GB2312" w:hAnsi="宋体" w:eastAsia="仿宋_GB2312" w:cs="宋体"/>
          <w:color w:val="000000"/>
          <w:kern w:val="0"/>
          <w:sz w:val="32"/>
          <w:szCs w:val="32"/>
        </w:rPr>
        <w:t>农业农村局以习近平新时代中国特色社会主义思想为指导，认真贯彻落实党的十九届三中、四中全会精神，以实施乡村振兴战略为总抓手，以农业供给侧结构性改革为主线，对标全面建成小康社会“三农”工作必须完成的硬任务，抓重点、补短板、强基础，加快培育农业发展新动能，大力推进农业绿色发展，坚持改革创新，狠抓工作落实，扎实推进农业农村各项工作</w:t>
      </w:r>
      <w:r>
        <w:rPr>
          <w:rFonts w:hint="eastAsia" w:ascii="仿宋_GB2312" w:hAnsi="宋体" w:eastAsia="仿宋_GB2312" w:cs="宋体"/>
          <w:color w:val="000000"/>
          <w:kern w:val="0"/>
          <w:sz w:val="32"/>
          <w:szCs w:val="32"/>
          <w:lang w:eastAsia="zh-CN"/>
        </w:rPr>
        <w:t>。</w:t>
      </w:r>
      <w:r>
        <w:rPr>
          <w:rFonts w:hint="eastAsia" w:ascii="仿宋_GB2312" w:hAnsi="宋体" w:eastAsia="仿宋_GB2312" w:cs="宋体"/>
          <w:color w:val="000000"/>
          <w:kern w:val="0"/>
          <w:sz w:val="32"/>
          <w:szCs w:val="32"/>
          <w:lang w:val="en-US" w:eastAsia="zh-CN"/>
        </w:rPr>
        <w:t>全年</w:t>
      </w:r>
      <w:r>
        <w:rPr>
          <w:rFonts w:hint="eastAsia" w:ascii="仿宋_GB2312" w:hAnsi="宋体" w:eastAsia="仿宋_GB2312" w:cs="宋体"/>
          <w:color w:val="000000"/>
          <w:kern w:val="0"/>
          <w:sz w:val="32"/>
          <w:szCs w:val="32"/>
          <w:lang w:eastAsia="zh-CN"/>
        </w:rPr>
        <w:t>农林牧渔业总产值9.51亿元，同比增长1.5%，农林牧渔业增加值</w:t>
      </w:r>
      <w:r>
        <w:rPr>
          <w:rFonts w:hint="eastAsia" w:ascii="仿宋_GB2312" w:hAnsi="宋体" w:eastAsia="仿宋_GB2312" w:cs="宋体"/>
          <w:color w:val="000000"/>
          <w:kern w:val="0"/>
          <w:sz w:val="32"/>
          <w:szCs w:val="32"/>
          <w:lang w:val="en-US" w:eastAsia="zh-CN"/>
        </w:rPr>
        <w:t>6.04</w:t>
      </w:r>
      <w:r>
        <w:rPr>
          <w:rFonts w:hint="eastAsia" w:ascii="仿宋_GB2312" w:hAnsi="宋体" w:eastAsia="仿宋_GB2312" w:cs="宋体"/>
          <w:color w:val="000000"/>
          <w:kern w:val="0"/>
          <w:sz w:val="32"/>
          <w:szCs w:val="32"/>
          <w:lang w:eastAsia="zh-CN"/>
        </w:rPr>
        <w:t>亿元，同比增长</w:t>
      </w:r>
      <w:r>
        <w:rPr>
          <w:rFonts w:hint="eastAsia" w:ascii="仿宋_GB2312" w:hAnsi="宋体" w:eastAsia="仿宋_GB2312" w:cs="宋体"/>
          <w:color w:val="000000"/>
          <w:kern w:val="0"/>
          <w:sz w:val="32"/>
          <w:szCs w:val="32"/>
          <w:lang w:val="en-US" w:eastAsia="zh-CN"/>
        </w:rPr>
        <w:t>2.4</w:t>
      </w:r>
      <w:r>
        <w:rPr>
          <w:rFonts w:hint="eastAsia" w:ascii="仿宋_GB2312" w:hAnsi="宋体" w:eastAsia="仿宋_GB2312" w:cs="宋体"/>
          <w:color w:val="000000"/>
          <w:kern w:val="0"/>
          <w:sz w:val="32"/>
          <w:szCs w:val="32"/>
          <w:lang w:eastAsia="zh-CN"/>
        </w:rPr>
        <w:t>%，农村常住居民人均可支配收入</w:t>
      </w:r>
      <w:r>
        <w:rPr>
          <w:rFonts w:hint="eastAsia" w:ascii="仿宋_GB2312" w:hAnsi="宋体" w:eastAsia="仿宋_GB2312" w:cs="宋体"/>
          <w:color w:val="000000"/>
          <w:kern w:val="0"/>
          <w:sz w:val="32"/>
          <w:szCs w:val="32"/>
          <w:lang w:val="en-US" w:eastAsia="zh-CN"/>
        </w:rPr>
        <w:t>22954</w:t>
      </w:r>
      <w:r>
        <w:rPr>
          <w:rFonts w:hint="eastAsia" w:ascii="仿宋_GB2312" w:hAnsi="宋体" w:eastAsia="仿宋_GB2312" w:cs="宋体"/>
          <w:color w:val="000000"/>
          <w:kern w:val="0"/>
          <w:sz w:val="32"/>
          <w:szCs w:val="32"/>
          <w:lang w:eastAsia="zh-CN"/>
        </w:rPr>
        <w:t>元，同比增长</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lang w:eastAsia="zh-CN"/>
        </w:rPr>
        <w:t>%。</w:t>
      </w:r>
      <w:r>
        <w:rPr>
          <w:rFonts w:hint="eastAsia" w:ascii="黑体" w:hAnsi="黑体" w:eastAsia="黑体" w:cs="宋体"/>
          <w:kern w:val="0"/>
          <w:sz w:val="32"/>
          <w:szCs w:val="32"/>
        </w:rPr>
        <w:t xml:space="preserve"> </w:t>
      </w:r>
    </w:p>
    <w:p>
      <w:pPr>
        <w:widowControl/>
        <w:topLinePunct/>
        <w:spacing w:line="520" w:lineRule="atLeast"/>
        <w:ind w:firstLine="525"/>
        <w:rPr>
          <w:rFonts w:hint="eastAsia" w:ascii="黑体" w:hAnsi="黑体" w:eastAsia="黑体" w:cs="宋体"/>
          <w:kern w:val="0"/>
          <w:sz w:val="32"/>
          <w:szCs w:val="32"/>
        </w:rPr>
      </w:pPr>
      <w:r>
        <w:rPr>
          <w:rFonts w:hint="eastAsia" w:ascii="黑体" w:hAnsi="黑体" w:eastAsia="黑体" w:cs="宋体"/>
          <w:kern w:val="0"/>
          <w:sz w:val="32"/>
          <w:szCs w:val="32"/>
          <w:lang w:eastAsia="zh-CN"/>
        </w:rPr>
        <w:t>二</w:t>
      </w:r>
      <w:r>
        <w:rPr>
          <w:rFonts w:hint="eastAsia" w:ascii="黑体" w:hAnsi="黑体" w:eastAsia="黑体" w:cs="宋体"/>
          <w:kern w:val="0"/>
          <w:sz w:val="32"/>
          <w:szCs w:val="32"/>
        </w:rPr>
        <w:t>、部门概况</w:t>
      </w:r>
    </w:p>
    <w:p>
      <w:pPr>
        <w:widowControl/>
        <w:topLinePunct/>
        <w:spacing w:line="520" w:lineRule="atLeast"/>
        <w:ind w:firstLine="525"/>
        <w:rPr>
          <w:rFonts w:hint="eastAsia" w:ascii="楷体" w:hAnsi="楷体" w:eastAsia="楷体" w:cs="宋体"/>
          <w:kern w:val="0"/>
          <w:sz w:val="32"/>
          <w:szCs w:val="32"/>
        </w:rPr>
      </w:pPr>
      <w:r>
        <w:rPr>
          <w:rFonts w:hint="eastAsia" w:ascii="楷体" w:hAnsi="楷体" w:eastAsia="楷体" w:cs="宋体"/>
          <w:kern w:val="0"/>
          <w:sz w:val="32"/>
          <w:szCs w:val="32"/>
        </w:rPr>
        <w:t>（一）部门机构设置、编制。</w:t>
      </w:r>
    </w:p>
    <w:p>
      <w:pPr>
        <w:ind w:firstLine="640" w:firstLineChars="20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2020年我单位</w:t>
      </w:r>
      <w:r>
        <w:rPr>
          <w:rFonts w:hint="eastAsia" w:ascii="仿宋_GB2312" w:hAnsi="仿宋_GB2312" w:eastAsia="仿宋_GB2312" w:cs="仿宋_GB2312"/>
          <w:bCs/>
          <w:sz w:val="32"/>
          <w:szCs w:val="32"/>
        </w:rPr>
        <w:t>内设1</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个机构：办公室、人事财务科、种植业管理科、养殖业管理科、产业发展科、农村社会事业促进科、扶贫科、林业和草原综合科、生态保护修复科、森林和草原资源管理科</w:t>
      </w:r>
      <w:r>
        <w:rPr>
          <w:rFonts w:hint="eastAsia" w:ascii="仿宋_GB2312" w:hAnsi="仿宋_GB2312" w:eastAsia="仿宋_GB2312" w:cs="仿宋_GB2312"/>
          <w:bCs/>
          <w:sz w:val="32"/>
          <w:szCs w:val="32"/>
          <w:lang w:eastAsia="zh-CN"/>
        </w:rPr>
        <w:t>、农机监理站</w:t>
      </w:r>
      <w:r>
        <w:rPr>
          <w:rFonts w:hint="eastAsia" w:ascii="仿宋_GB2312" w:hAnsi="仿宋_GB2312" w:eastAsia="仿宋_GB2312" w:cs="仿宋_GB2312"/>
          <w:bCs/>
          <w:sz w:val="32"/>
          <w:szCs w:val="32"/>
        </w:rPr>
        <w:t>。</w:t>
      </w:r>
    </w:p>
    <w:p>
      <w:pPr>
        <w:spacing w:line="60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2020年核定</w:t>
      </w:r>
      <w:r>
        <w:rPr>
          <w:rFonts w:hint="eastAsia" w:ascii="仿宋_GB2312" w:hAnsi="仿宋_GB2312" w:eastAsia="仿宋_GB2312" w:cs="仿宋_GB2312"/>
          <w:kern w:val="0"/>
          <w:sz w:val="32"/>
          <w:szCs w:val="32"/>
        </w:rPr>
        <w:t>编制人员4</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人，其中：行政编制 18人，事业编制2</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人（含参公管理事业编制2名）。在职实有</w:t>
      </w:r>
      <w:r>
        <w:rPr>
          <w:rFonts w:hint="eastAsia" w:ascii="仿宋_GB2312" w:hAnsi="仿宋_GB2312" w:eastAsia="仿宋_GB2312" w:cs="仿宋_GB2312"/>
          <w:kern w:val="0"/>
          <w:sz w:val="32"/>
          <w:szCs w:val="32"/>
          <w:lang w:val="en-US" w:eastAsia="zh-CN"/>
        </w:rPr>
        <w:t>39</w:t>
      </w:r>
      <w:r>
        <w:rPr>
          <w:rFonts w:hint="eastAsia" w:ascii="仿宋_GB2312" w:hAnsi="仿宋_GB2312" w:eastAsia="仿宋_GB2312" w:cs="仿宋_GB2312"/>
          <w:kern w:val="0"/>
          <w:sz w:val="32"/>
          <w:szCs w:val="32"/>
        </w:rPr>
        <w:t>人，其中：</w:t>
      </w:r>
      <w:r>
        <w:rPr>
          <w:rFonts w:hint="eastAsia" w:ascii="仿宋_GB2312" w:hAnsi="仿宋_GB2312" w:eastAsia="仿宋_GB2312" w:cs="仿宋_GB2312"/>
          <w:kern w:val="0"/>
          <w:sz w:val="32"/>
          <w:szCs w:val="32"/>
          <w:highlight w:val="none"/>
        </w:rPr>
        <w:t>在职在编实有行政人员19人（含参公管理事业人员2人），事业人员2</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rPr>
        <w:t>退休人员 2 人</w:t>
      </w:r>
      <w:r>
        <w:rPr>
          <w:rFonts w:hint="eastAsia" w:ascii="仿宋_GB2312" w:hAnsi="仿宋_GB2312" w:eastAsia="仿宋_GB2312" w:cs="仿宋_GB2312"/>
          <w:kern w:val="0"/>
          <w:sz w:val="32"/>
          <w:szCs w:val="32"/>
          <w:lang w:val="en-US" w:eastAsia="zh-CN"/>
        </w:rPr>
        <w:t xml:space="preserve"> 。</w:t>
      </w:r>
    </w:p>
    <w:p>
      <w:pPr>
        <w:spacing w:line="60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车辆编制4 辆，实有车辆</w:t>
      </w:r>
      <w:r>
        <w:rPr>
          <w:rFonts w:hint="eastAsia" w:ascii="仿宋_GB2312" w:hAnsi="仿宋_GB2312" w:eastAsia="仿宋_GB2312" w:cs="仿宋_GB2312"/>
          <w:kern w:val="0"/>
          <w:sz w:val="32"/>
          <w:szCs w:val="32"/>
          <w:lang w:val="en-US" w:eastAsia="zh-CN"/>
        </w:rPr>
        <w:t>18</w:t>
      </w:r>
      <w:r>
        <w:rPr>
          <w:rFonts w:hint="eastAsia" w:ascii="仿宋_GB2312" w:hAnsi="仿宋_GB2312" w:eastAsia="仿宋_GB2312" w:cs="仿宋_GB2312"/>
          <w:kern w:val="0"/>
          <w:sz w:val="32"/>
          <w:szCs w:val="32"/>
        </w:rPr>
        <w:t xml:space="preserve"> 辆。</w:t>
      </w:r>
    </w:p>
    <w:p>
      <w:pPr>
        <w:widowControl/>
        <w:topLinePunct/>
        <w:spacing w:line="520" w:lineRule="atLeast"/>
        <w:ind w:firstLine="525"/>
        <w:rPr>
          <w:rFonts w:hint="eastAsia" w:ascii="楷体" w:hAnsi="楷体" w:eastAsia="楷体" w:cs="宋体"/>
          <w:kern w:val="0"/>
          <w:sz w:val="32"/>
          <w:szCs w:val="32"/>
        </w:rPr>
      </w:pPr>
      <w:r>
        <w:rPr>
          <w:rFonts w:hint="eastAsia" w:ascii="楷体" w:hAnsi="楷体" w:eastAsia="楷体" w:cs="宋体"/>
          <w:kern w:val="0"/>
          <w:sz w:val="32"/>
          <w:szCs w:val="32"/>
        </w:rPr>
        <w:t>（二）部门职能。</w:t>
      </w:r>
    </w:p>
    <w:p>
      <w:pPr>
        <w:widowControl w:val="0"/>
        <w:wordWrap/>
        <w:adjustRightInd/>
        <w:snapToGrid/>
        <w:spacing w:line="560" w:lineRule="exact"/>
        <w:ind w:left="0" w:leftChars="0" w:right="0" w:firstLine="640" w:firstLineChars="200"/>
        <w:jc w:val="both"/>
        <w:textAlignment w:val="auto"/>
        <w:outlineLvl w:val="9"/>
        <w:rPr>
          <w:rFonts w:hint="eastAsia" w:ascii="楷体" w:hAnsi="楷体" w:eastAsia="楷体" w:cs="宋体"/>
          <w:kern w:val="0"/>
          <w:szCs w:val="21"/>
        </w:rPr>
      </w:pPr>
      <w:r>
        <w:rPr>
          <w:rFonts w:hint="eastAsia" w:ascii="仿宋_GB2312" w:hAnsi="仿宋_GB2312" w:eastAsia="仿宋_GB2312" w:cs="仿宋_GB2312"/>
          <w:color w:val="auto"/>
          <w:sz w:val="32"/>
          <w:szCs w:val="40"/>
          <w:lang w:eastAsia="zh-CN"/>
        </w:rPr>
        <w:t>盘龙区</w:t>
      </w:r>
      <w:r>
        <w:rPr>
          <w:rFonts w:hint="eastAsia" w:ascii="仿宋_GB2312" w:hAnsi="仿宋_GB2312" w:eastAsia="仿宋_GB2312" w:cs="仿宋_GB2312"/>
          <w:color w:val="auto"/>
          <w:sz w:val="32"/>
          <w:szCs w:val="40"/>
        </w:rPr>
        <w:t>农业农村局是</w:t>
      </w:r>
      <w:r>
        <w:rPr>
          <w:rFonts w:hint="eastAsia" w:ascii="仿宋_GB2312" w:hAnsi="仿宋_GB2312" w:eastAsia="仿宋_GB2312" w:cs="仿宋_GB2312"/>
          <w:color w:val="auto"/>
          <w:sz w:val="32"/>
          <w:szCs w:val="40"/>
          <w:lang w:eastAsia="zh-CN"/>
        </w:rPr>
        <w:t>区</w:t>
      </w:r>
      <w:r>
        <w:rPr>
          <w:rFonts w:hint="eastAsia" w:ascii="仿宋_GB2312" w:hAnsi="仿宋_GB2312" w:eastAsia="仿宋_GB2312" w:cs="仿宋_GB2312"/>
          <w:color w:val="auto"/>
          <w:sz w:val="32"/>
          <w:szCs w:val="40"/>
        </w:rPr>
        <w:t>政府分管农业、农村</w:t>
      </w:r>
      <w:r>
        <w:rPr>
          <w:rFonts w:hint="eastAsia" w:ascii="仿宋_GB2312" w:hAnsi="仿宋_GB2312" w:eastAsia="仿宋_GB2312" w:cs="仿宋_GB2312"/>
          <w:color w:val="auto"/>
          <w:sz w:val="32"/>
          <w:szCs w:val="40"/>
          <w:lang w:eastAsia="zh-CN"/>
        </w:rPr>
        <w:t>、林草、脱贫攻坚、乡村振兴</w:t>
      </w:r>
      <w:r>
        <w:rPr>
          <w:rFonts w:hint="eastAsia" w:ascii="仿宋_GB2312" w:hAnsi="仿宋_GB2312" w:eastAsia="仿宋_GB2312" w:cs="仿宋_GB2312"/>
          <w:color w:val="auto"/>
          <w:sz w:val="32"/>
          <w:szCs w:val="40"/>
        </w:rPr>
        <w:t>工作的职能部门，主要负责全</w:t>
      </w:r>
      <w:r>
        <w:rPr>
          <w:rFonts w:hint="eastAsia" w:ascii="仿宋_GB2312" w:hAnsi="仿宋_GB2312" w:eastAsia="仿宋_GB2312" w:cs="仿宋_GB2312"/>
          <w:color w:val="auto"/>
          <w:sz w:val="32"/>
          <w:szCs w:val="40"/>
          <w:lang w:eastAsia="zh-CN"/>
        </w:rPr>
        <w:t>区</w:t>
      </w:r>
      <w:r>
        <w:rPr>
          <w:rFonts w:hint="eastAsia" w:ascii="仿宋_GB2312" w:hAnsi="仿宋_GB2312" w:eastAsia="仿宋_GB2312" w:cs="仿宋_GB2312"/>
          <w:color w:val="auto"/>
          <w:sz w:val="32"/>
          <w:szCs w:val="40"/>
        </w:rPr>
        <w:t>种植业、畜牧业、农业机械、农村环境资源、</w:t>
      </w:r>
      <w:r>
        <w:rPr>
          <w:rFonts w:hint="eastAsia" w:ascii="仿宋_GB2312" w:hAnsi="仿宋_GB2312" w:eastAsia="仿宋_GB2312" w:cs="仿宋_GB2312"/>
          <w:color w:val="auto"/>
          <w:sz w:val="32"/>
          <w:szCs w:val="40"/>
          <w:lang w:eastAsia="zh-CN"/>
        </w:rPr>
        <w:t>林草资源、</w:t>
      </w:r>
      <w:r>
        <w:rPr>
          <w:rFonts w:hint="eastAsia" w:ascii="仿宋_GB2312" w:hAnsi="仿宋_GB2312" w:eastAsia="仿宋_GB2312" w:cs="仿宋_GB2312"/>
          <w:color w:val="auto"/>
          <w:sz w:val="32"/>
          <w:szCs w:val="40"/>
        </w:rPr>
        <w:t>绿色食品</w:t>
      </w:r>
      <w:r>
        <w:rPr>
          <w:rFonts w:hint="eastAsia" w:ascii="仿宋_GB2312" w:hAnsi="仿宋_GB2312" w:eastAsia="仿宋_GB2312" w:cs="仿宋_GB2312"/>
          <w:color w:val="auto"/>
          <w:sz w:val="32"/>
          <w:szCs w:val="40"/>
          <w:lang w:eastAsia="zh-CN"/>
        </w:rPr>
        <w:t>、脱贫攻坚、乡村振兴</w:t>
      </w:r>
      <w:r>
        <w:rPr>
          <w:rFonts w:hint="eastAsia" w:ascii="仿宋_GB2312" w:hAnsi="仿宋_GB2312" w:eastAsia="仿宋_GB2312" w:cs="仿宋_GB2312"/>
          <w:color w:val="auto"/>
          <w:sz w:val="32"/>
          <w:szCs w:val="40"/>
        </w:rPr>
        <w:t>等的管理指导和技术推广以及农业教育、农产品质量安全监管、农村经济管理和党的农业农村</w:t>
      </w:r>
      <w:r>
        <w:rPr>
          <w:rFonts w:hint="eastAsia" w:ascii="仿宋_GB2312" w:hAnsi="仿宋_GB2312" w:eastAsia="仿宋_GB2312" w:cs="仿宋_GB2312"/>
          <w:color w:val="auto"/>
          <w:sz w:val="32"/>
          <w:szCs w:val="40"/>
          <w:lang w:eastAsia="zh-CN"/>
        </w:rPr>
        <w:t>、林草</w:t>
      </w:r>
      <w:r>
        <w:rPr>
          <w:rFonts w:hint="eastAsia" w:ascii="仿宋_GB2312" w:hAnsi="仿宋_GB2312" w:eastAsia="仿宋_GB2312" w:cs="仿宋_GB2312"/>
          <w:color w:val="auto"/>
          <w:sz w:val="32"/>
          <w:szCs w:val="40"/>
        </w:rPr>
        <w:t>政策的贯彻落实等工作。</w:t>
      </w:r>
      <w:r>
        <w:rPr>
          <w:rFonts w:hint="eastAsia" w:ascii="仿宋_GB2312" w:hAnsi="仿宋_GB2312" w:eastAsia="仿宋_GB2312" w:cs="仿宋_GB2312"/>
          <w:color w:val="auto"/>
          <w:sz w:val="32"/>
          <w:szCs w:val="40"/>
          <w:lang w:val="en-US" w:eastAsia="zh-CN"/>
        </w:rPr>
        <w:t xml:space="preserve"> </w:t>
      </w:r>
    </w:p>
    <w:p>
      <w:pPr>
        <w:widowControl/>
        <w:numPr>
          <w:ilvl w:val="0"/>
          <w:numId w:val="2"/>
        </w:numPr>
        <w:topLinePunct/>
        <w:spacing w:line="520" w:lineRule="atLeast"/>
        <w:ind w:firstLine="525"/>
        <w:rPr>
          <w:rFonts w:hint="eastAsia" w:ascii="楷体" w:hAnsi="楷体" w:eastAsia="楷体" w:cs="宋体"/>
          <w:kern w:val="0"/>
          <w:sz w:val="32"/>
          <w:szCs w:val="32"/>
        </w:rPr>
      </w:pPr>
      <w:r>
        <w:rPr>
          <w:rFonts w:hint="eastAsia" w:ascii="楷体" w:hAnsi="楷体" w:eastAsia="楷体" w:cs="宋体"/>
          <w:kern w:val="0"/>
          <w:sz w:val="32"/>
          <w:szCs w:val="32"/>
        </w:rPr>
        <w:t>部门工作完成情况。</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kern w:val="0"/>
          <w:sz w:val="32"/>
          <w:szCs w:val="32"/>
          <w:lang w:val="en-US" w:eastAsia="zh-CN"/>
        </w:rPr>
        <w:t xml:space="preserve"> 1.</w:t>
      </w:r>
      <w:r>
        <w:rPr>
          <w:rFonts w:hint="eastAsia" w:ascii="仿宋_GB2312" w:hAnsi="仿宋_GB2312" w:eastAsia="仿宋_GB2312" w:cs="仿宋_GB2312"/>
          <w:b w:val="0"/>
          <w:bCs w:val="0"/>
          <w:color w:val="auto"/>
          <w:sz w:val="32"/>
          <w:szCs w:val="32"/>
        </w:rPr>
        <w:t>抓生产</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保稳定</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2020年</w:t>
      </w:r>
      <w:r>
        <w:rPr>
          <w:rFonts w:hint="eastAsia" w:ascii="仿宋_GB2312" w:hAnsi="仿宋_GB2312" w:eastAsia="仿宋_GB2312" w:cs="仿宋_GB2312"/>
          <w:b w:val="0"/>
          <w:bCs w:val="0"/>
          <w:color w:val="auto"/>
          <w:sz w:val="32"/>
          <w:szCs w:val="32"/>
          <w:lang w:eastAsia="zh-CN"/>
        </w:rPr>
        <w:t>全区</w:t>
      </w:r>
      <w:r>
        <w:rPr>
          <w:rFonts w:hint="eastAsia" w:ascii="仿宋_GB2312" w:hAnsi="仿宋_GB2312" w:eastAsia="仿宋_GB2312" w:cs="仿宋_GB2312"/>
          <w:b w:val="0"/>
          <w:bCs w:val="0"/>
          <w:color w:val="auto"/>
          <w:sz w:val="32"/>
          <w:szCs w:val="32"/>
        </w:rPr>
        <w:t>粮食作物收获13.92万亩，实现总产</w:t>
      </w:r>
      <w:r>
        <w:rPr>
          <w:rFonts w:hint="eastAsia" w:ascii="仿宋_GB2312" w:hAnsi="仿宋_GB2312" w:eastAsia="仿宋_GB2312" w:cs="仿宋_GB2312"/>
          <w:b w:val="0"/>
          <w:bCs w:val="0"/>
          <w:color w:val="auto"/>
          <w:sz w:val="32"/>
          <w:szCs w:val="32"/>
          <w:lang w:val="en-US" w:eastAsia="zh-CN"/>
        </w:rPr>
        <w:t>4.29万吨。</w:t>
      </w:r>
      <w:r>
        <w:rPr>
          <w:rFonts w:hint="eastAsia" w:ascii="仿宋_GB2312" w:hAnsi="仿宋_GB2312" w:eastAsia="仿宋_GB2312" w:cs="仿宋_GB2312"/>
          <w:b w:val="0"/>
          <w:bCs w:val="0"/>
          <w:color w:val="auto"/>
          <w:sz w:val="32"/>
          <w:szCs w:val="32"/>
          <w:lang w:eastAsia="zh-CN"/>
        </w:rPr>
        <w:t>全</w:t>
      </w:r>
      <w:r>
        <w:rPr>
          <w:rFonts w:hint="eastAsia" w:ascii="仿宋_GB2312" w:hAnsi="仿宋_GB2312" w:eastAsia="仿宋_GB2312" w:cs="仿宋_GB2312"/>
          <w:b w:val="0"/>
          <w:bCs w:val="0"/>
          <w:color w:val="auto"/>
          <w:sz w:val="32"/>
          <w:szCs w:val="32"/>
        </w:rPr>
        <w:t>区共有“三品一标”企业8家，有机认证产品283个，绿色认证29个，无公害产品认证2个，欧盟有机认证2个，有机种植16465亩，1</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家企业的产品录入到云南省农产品质量安全追溯信息平台系统。</w:t>
      </w:r>
    </w:p>
    <w:p>
      <w:pPr>
        <w:widowControl w:val="0"/>
        <w:numPr>
          <w:ilvl w:val="0"/>
          <w:numId w:val="3"/>
        </w:numPr>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多举措</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做好新冠肺炎疫情防</w:t>
      </w:r>
      <w:r>
        <w:rPr>
          <w:rFonts w:hint="eastAsia" w:ascii="仿宋_GB2312" w:hAnsi="仿宋_GB2312" w:eastAsia="仿宋_GB2312" w:cs="仿宋_GB2312"/>
          <w:b w:val="0"/>
          <w:bCs w:val="0"/>
          <w:color w:val="auto"/>
          <w:sz w:val="32"/>
          <w:szCs w:val="32"/>
          <w:lang w:eastAsia="zh-CN"/>
        </w:rPr>
        <w:t>控。</w:t>
      </w:r>
      <w:r>
        <w:rPr>
          <w:rFonts w:hint="eastAsia" w:ascii="仿宋_GB2312" w:hAnsi="仿宋_GB2312" w:eastAsia="仿宋_GB2312" w:cs="仿宋_GB2312"/>
          <w:b w:val="0"/>
          <w:bCs w:val="0"/>
          <w:color w:val="auto"/>
          <w:sz w:val="32"/>
          <w:szCs w:val="32"/>
        </w:rPr>
        <w:t>成立防疫工作领导小组，制定应急预案、处置流程。做好野生动物驯养繁殖和经营利用单位管控；禁止野生动物交易</w:t>
      </w:r>
      <w:r>
        <w:rPr>
          <w:rFonts w:hint="eastAsia" w:ascii="仿宋_GB2312" w:hAnsi="仿宋_GB2312" w:eastAsia="仿宋_GB2312" w:cs="仿宋_GB2312"/>
          <w:b w:val="0"/>
          <w:bCs w:val="0"/>
          <w:color w:val="auto"/>
          <w:sz w:val="32"/>
          <w:szCs w:val="32"/>
          <w:lang w:eastAsia="zh-CN"/>
        </w:rPr>
        <w:t>。</w:t>
      </w:r>
    </w:p>
    <w:p>
      <w:pPr>
        <w:widowControl w:val="0"/>
        <w:numPr>
          <w:ilvl w:val="0"/>
          <w:numId w:val="3"/>
        </w:numPr>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巩固脱贫成果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入户核查建档立卡贫困户839户3315人，实现核查全覆盖。全区839户均达到“两不愁三保障”标准，需重点监测3户。</w:t>
      </w:r>
    </w:p>
    <w:p>
      <w:pPr>
        <w:widowControl w:val="0"/>
        <w:numPr>
          <w:ilvl w:val="0"/>
          <w:numId w:val="3"/>
        </w:numPr>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抓生态，推文明建设</w:t>
      </w:r>
      <w:r>
        <w:rPr>
          <w:rFonts w:hint="eastAsia" w:ascii="仿宋_GB2312" w:hAnsi="仿宋_GB2312" w:eastAsia="仿宋_GB2312" w:cs="仿宋_GB2312"/>
          <w:b w:val="0"/>
          <w:bCs w:val="0"/>
          <w:color w:val="auto"/>
          <w:sz w:val="32"/>
          <w:szCs w:val="32"/>
          <w:lang w:eastAsia="zh-CN"/>
        </w:rPr>
        <w:t>。全</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无</w:t>
      </w:r>
      <w:r>
        <w:rPr>
          <w:rFonts w:hint="eastAsia" w:ascii="仿宋_GB2312" w:hAnsi="仿宋_GB2312" w:eastAsia="仿宋_GB2312" w:cs="仿宋_GB2312"/>
          <w:b w:val="0"/>
          <w:bCs w:val="0"/>
          <w:color w:val="auto"/>
          <w:sz w:val="32"/>
          <w:szCs w:val="32"/>
        </w:rPr>
        <w:t>一般以上森林火灾和人员伤亡事故，火灾受害率为0</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做好森林督查</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规划编制、湿地保护与修复</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农改林土地整治</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林业有害生物防治</w:t>
      </w:r>
      <w:r>
        <w:rPr>
          <w:rFonts w:hint="eastAsia" w:ascii="仿宋_GB2312" w:hAnsi="仿宋_GB2312" w:eastAsia="仿宋_GB2312" w:cs="仿宋_GB2312"/>
          <w:b w:val="0"/>
          <w:bCs w:val="0"/>
          <w:color w:val="auto"/>
          <w:sz w:val="32"/>
          <w:szCs w:val="32"/>
          <w:lang w:eastAsia="zh-CN"/>
        </w:rPr>
        <w:t>等</w:t>
      </w:r>
      <w:r>
        <w:rPr>
          <w:rFonts w:hint="eastAsia" w:ascii="仿宋_GB2312" w:hAnsi="仿宋_GB2312" w:eastAsia="仿宋_GB2312" w:cs="仿宋_GB2312"/>
          <w:b w:val="0"/>
          <w:bCs w:val="0"/>
          <w:color w:val="auto"/>
          <w:sz w:val="32"/>
          <w:szCs w:val="32"/>
        </w:rPr>
        <w:t>工作。</w:t>
      </w:r>
    </w:p>
    <w:p>
      <w:pPr>
        <w:widowControl w:val="0"/>
        <w:numPr>
          <w:ilvl w:val="0"/>
          <w:numId w:val="3"/>
        </w:numPr>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加快乡村振兴规划，助推美丽乡村建设</w:t>
      </w:r>
      <w:r>
        <w:rPr>
          <w:rFonts w:hint="eastAsia" w:ascii="仿宋_GB2312" w:hAnsi="仿宋_GB2312" w:eastAsia="仿宋_GB2312" w:cs="仿宋_GB2312"/>
          <w:b w:val="0"/>
          <w:bCs w:val="0"/>
          <w:color w:val="auto"/>
          <w:sz w:val="32"/>
          <w:szCs w:val="32"/>
          <w:lang w:eastAsia="zh-CN"/>
        </w:rPr>
        <w:t>。完成</w:t>
      </w:r>
      <w:r>
        <w:rPr>
          <w:rFonts w:hint="eastAsia" w:ascii="仿宋_GB2312" w:hAnsi="仿宋_GB2312" w:eastAsia="仿宋_GB2312" w:cs="仿宋_GB2312"/>
          <w:b w:val="0"/>
          <w:bCs w:val="0"/>
          <w:color w:val="auto"/>
          <w:sz w:val="32"/>
          <w:szCs w:val="32"/>
        </w:rPr>
        <w:t>5个乡村振兴示范验收。</w:t>
      </w:r>
    </w:p>
    <w:p>
      <w:pPr>
        <w:widowControl w:val="0"/>
        <w:numPr>
          <w:ilvl w:val="0"/>
          <w:numId w:val="3"/>
        </w:numPr>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提升农村人居环境，推进厕所革命工作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建成农村生活污水处理设施268座，清运生活垃圾11936.89吨，完成62座公厕改建</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农村无害化卫生户厕改造8878座，建设</w:t>
      </w:r>
      <w:r>
        <w:rPr>
          <w:rFonts w:hint="eastAsia" w:ascii="仿宋_GB2312" w:hAnsi="仿宋_GB2312" w:eastAsia="仿宋_GB2312" w:cs="仿宋_GB2312"/>
          <w:b w:val="0"/>
          <w:bCs w:val="0"/>
          <w:color w:val="auto"/>
          <w:sz w:val="32"/>
          <w:szCs w:val="32"/>
          <w:lang w:val="en-US" w:eastAsia="zh-CN"/>
        </w:rPr>
        <w:t>6662</w:t>
      </w:r>
      <w:r>
        <w:rPr>
          <w:rFonts w:hint="eastAsia" w:ascii="仿宋_GB2312" w:hAnsi="仿宋_GB2312" w:eastAsia="仿宋_GB2312" w:cs="仿宋_GB2312"/>
          <w:b w:val="0"/>
          <w:bCs w:val="0"/>
          <w:color w:val="auto"/>
          <w:sz w:val="32"/>
          <w:szCs w:val="32"/>
        </w:rPr>
        <w:t>座</w:t>
      </w:r>
      <w:r>
        <w:rPr>
          <w:rFonts w:hint="eastAsia" w:ascii="仿宋_GB2312" w:hAnsi="仿宋_GB2312" w:eastAsia="仿宋_GB2312" w:cs="仿宋_GB2312"/>
          <w:b w:val="0"/>
          <w:bCs w:val="0"/>
          <w:color w:val="auto"/>
          <w:sz w:val="32"/>
          <w:szCs w:val="32"/>
          <w:lang w:eastAsia="zh-CN"/>
        </w:rPr>
        <w:t>。</w:t>
      </w:r>
    </w:p>
    <w:p>
      <w:pPr>
        <w:widowControl w:val="0"/>
        <w:numPr>
          <w:ilvl w:val="0"/>
          <w:numId w:val="3"/>
        </w:numPr>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做好农村集体产权制度改革工作</w:t>
      </w:r>
      <w:r>
        <w:rPr>
          <w:rFonts w:hint="eastAsia" w:ascii="仿宋_GB2312" w:hAnsi="仿宋_GB2312" w:eastAsia="仿宋_GB2312" w:cs="仿宋_GB2312"/>
          <w:b w:val="0"/>
          <w:bCs w:val="0"/>
          <w:color w:val="auto"/>
          <w:sz w:val="32"/>
          <w:szCs w:val="32"/>
          <w:lang w:eastAsia="zh-CN"/>
        </w:rPr>
        <w:t>。成立集体经济组织</w:t>
      </w:r>
      <w:r>
        <w:rPr>
          <w:rFonts w:hint="eastAsia" w:ascii="仿宋_GB2312" w:hAnsi="仿宋_GB2312" w:eastAsia="仿宋_GB2312" w:cs="仿宋_GB2312"/>
          <w:b w:val="0"/>
          <w:bCs w:val="0"/>
          <w:color w:val="auto"/>
          <w:sz w:val="32"/>
          <w:szCs w:val="32"/>
          <w:lang w:val="en-US" w:eastAsia="zh-CN"/>
        </w:rPr>
        <w:t>419个，</w:t>
      </w:r>
      <w:r>
        <w:rPr>
          <w:rFonts w:hint="eastAsia" w:ascii="仿宋_GB2312" w:hAnsi="仿宋_GB2312" w:eastAsia="仿宋_GB2312" w:cs="仿宋_GB2312"/>
          <w:b w:val="0"/>
          <w:bCs w:val="0"/>
          <w:color w:val="auto"/>
          <w:sz w:val="32"/>
          <w:szCs w:val="32"/>
          <w:lang w:eastAsia="zh-CN"/>
        </w:rPr>
        <w:t>调查农业人口102104人，资产总额65721.43万元</w:t>
      </w:r>
      <w:r>
        <w:rPr>
          <w:rFonts w:hint="eastAsia" w:ascii="仿宋_GB2312" w:hAnsi="仿宋_GB2312" w:eastAsia="仿宋_GB2312" w:cs="仿宋_GB2312"/>
          <w:b w:val="0"/>
          <w:bCs w:val="0"/>
          <w:color w:val="auto"/>
          <w:sz w:val="32"/>
          <w:szCs w:val="32"/>
          <w:lang w:val="en-US" w:eastAsia="zh-CN"/>
        </w:rPr>
        <w:t xml:space="preserve"> 。</w:t>
      </w:r>
    </w:p>
    <w:p>
      <w:pPr>
        <w:widowControl w:val="0"/>
        <w:wordWrap/>
        <w:adjustRightInd/>
        <w:snapToGrid/>
        <w:spacing w:line="560" w:lineRule="exact"/>
        <w:ind w:left="0" w:leftChars="0" w:right="0" w:firstLine="640" w:firstLineChars="200"/>
        <w:jc w:val="both"/>
        <w:textAlignment w:val="auto"/>
        <w:outlineLvl w:val="9"/>
        <w:rPr>
          <w:rFonts w:ascii="宋体" w:hAnsi="宋体" w:eastAsia="宋体" w:cs="宋体"/>
          <w:kern w:val="0"/>
          <w:sz w:val="32"/>
          <w:szCs w:val="32"/>
        </w:rPr>
      </w:pPr>
      <w:r>
        <w:rPr>
          <w:rFonts w:hint="eastAsia" w:ascii="仿宋_GB2312" w:hAnsi="仿宋_GB2312" w:eastAsia="仿宋_GB2312" w:cs="仿宋_GB2312"/>
          <w:b w:val="0"/>
          <w:bCs w:val="0"/>
          <w:color w:val="auto"/>
          <w:sz w:val="32"/>
          <w:szCs w:val="32"/>
          <w:lang w:val="en-US" w:eastAsia="zh-CN"/>
        </w:rPr>
        <w:t>（四）</w:t>
      </w:r>
      <w:r>
        <w:rPr>
          <w:rFonts w:hint="eastAsia" w:ascii="楷体" w:hAnsi="楷体" w:eastAsia="楷体" w:cs="宋体"/>
          <w:kern w:val="0"/>
          <w:sz w:val="32"/>
          <w:szCs w:val="32"/>
        </w:rPr>
        <w:t>部门管理制度</w:t>
      </w:r>
      <w:r>
        <w:rPr>
          <w:rFonts w:hint="eastAsia" w:ascii="楷体" w:hAnsi="楷体" w:eastAsia="楷体" w:cs="宋体"/>
          <w:kern w:val="0"/>
          <w:sz w:val="32"/>
          <w:szCs w:val="32"/>
          <w:lang w:eastAsia="zh-CN"/>
        </w:rPr>
        <w:t>。</w:t>
      </w:r>
    </w:p>
    <w:p>
      <w:pPr>
        <w:widowControl/>
        <w:numPr>
          <w:ilvl w:val="0"/>
          <w:numId w:val="0"/>
        </w:numPr>
        <w:topLinePunct/>
        <w:spacing w:line="520" w:lineRule="atLeast"/>
        <w:rPr>
          <w:rFonts w:hint="eastAsia" w:ascii="仿宋_GB2312" w:hAnsi="仿宋_GB2312" w:eastAsia="仿宋_GB2312" w:cs="仿宋_GB2312"/>
          <w:b w:val="0"/>
          <w:bCs w:val="0"/>
          <w:color w:val="auto"/>
          <w:sz w:val="32"/>
          <w:szCs w:val="32"/>
        </w:rPr>
      </w:pPr>
      <w:r>
        <w:rPr>
          <w:rFonts w:hint="eastAsia" w:ascii="楷体" w:hAnsi="楷体" w:eastAsia="楷体" w:cs="宋体"/>
          <w:kern w:val="0"/>
          <w:sz w:val="32"/>
          <w:szCs w:val="32"/>
          <w:lang w:val="en-US" w:eastAsia="zh-CN"/>
        </w:rPr>
        <w:t xml:space="preserve"> </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b w:val="0"/>
          <w:bCs w:val="0"/>
          <w:color w:val="auto"/>
          <w:sz w:val="32"/>
          <w:szCs w:val="32"/>
        </w:rPr>
        <w:t>为规范本单位内部控制管理，健全内部控制机制，提高风险防范能力，建立设计规范、运行有效的内部控制体系，保证单位经济业务安全稳健运行</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通过制定制度、实施措施和执行程序，强化内部控制，实现控制目标，对经济活动的风险进行防范和管控</w:t>
      </w:r>
      <w:r>
        <w:rPr>
          <w:rFonts w:hint="eastAsia" w:ascii="仿宋_GB2312" w:hAnsi="仿宋_GB2312" w:eastAsia="仿宋_GB2312" w:cs="仿宋_GB2312"/>
          <w:b w:val="0"/>
          <w:bCs w:val="0"/>
          <w:color w:val="auto"/>
          <w:sz w:val="32"/>
          <w:szCs w:val="32"/>
          <w:lang w:eastAsia="zh-CN"/>
        </w:rPr>
        <w:t>。</w:t>
      </w:r>
    </w:p>
    <w:p>
      <w:pPr>
        <w:widowControl/>
        <w:numPr>
          <w:ilvl w:val="0"/>
          <w:numId w:val="0"/>
        </w:numPr>
        <w:topLinePunct/>
        <w:spacing w:line="520" w:lineRule="atLeast"/>
        <w:rPr>
          <w:rFonts w:hint="eastAsia" w:ascii="仿宋_GB2312" w:hAnsi="仿宋_GB2312" w:eastAsia="仿宋_GB2312" w:cs="仿宋_GB2312"/>
          <w:kern w:val="0"/>
          <w:sz w:val="32"/>
          <w:szCs w:val="32"/>
          <w:lang w:val="en-US" w:eastAsia="zh-CN"/>
        </w:rPr>
      </w:pPr>
      <w:r>
        <w:rPr>
          <w:rFonts w:hint="eastAsia" w:ascii="楷体" w:hAnsi="楷体" w:eastAsia="楷体" w:cs="宋体"/>
          <w:kern w:val="0"/>
          <w:sz w:val="32"/>
          <w:szCs w:val="32"/>
          <w:lang w:val="en-US" w:eastAsia="zh-CN"/>
        </w:rPr>
        <w:t xml:space="preserve">    （五）</w:t>
      </w:r>
      <w:r>
        <w:rPr>
          <w:rFonts w:hint="eastAsia" w:ascii="楷体" w:hAnsi="楷体" w:eastAsia="楷体" w:cs="宋体"/>
          <w:kern w:val="0"/>
          <w:sz w:val="32"/>
          <w:szCs w:val="32"/>
        </w:rPr>
        <w:t>部门资金来源及使用情况。</w:t>
      </w:r>
    </w:p>
    <w:p>
      <w:pPr>
        <w:widowControl/>
        <w:numPr>
          <w:ilvl w:val="0"/>
          <w:numId w:val="0"/>
        </w:numPr>
        <w:topLinePunct/>
        <w:spacing w:line="520" w:lineRule="atLeas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2020年预算区级资金5112.45万元，一般公共预算财政拨8835.72万元。财政拨款决算收入9129.46万元，其中：基本支出收入947.86万元，专项支出收入8181.60万元。2020年度支出11124.38万元。其中：基本支出932.94万元，占总支出的8.38％；项目支出10191.44万元，占总支出的91.62％。 2020年末结转862.07万元，无结余情况，其中项目经费结转806.49万元。 </w:t>
      </w:r>
    </w:p>
    <w:p>
      <w:pPr>
        <w:widowControl/>
        <w:snapToGrid w:val="0"/>
        <w:spacing w:before="100" w:after="100" w:line="600" w:lineRule="exact"/>
        <w:ind w:firstLine="640" w:firstLineChars="200"/>
        <w:jc w:val="left"/>
        <w:rPr>
          <w:rFonts w:hint="default" w:ascii="仿宋_GB2312" w:hAnsi="仿宋_GB2312" w:eastAsia="仿宋_GB2312" w:cs="仿宋_GB2312"/>
          <w:kern w:val="0"/>
          <w:sz w:val="32"/>
          <w:szCs w:val="32"/>
          <w:lang w:val="en-US" w:eastAsia="zh-CN"/>
        </w:rPr>
      </w:pPr>
      <w:r>
        <w:rPr>
          <w:rFonts w:hint="eastAsia" w:ascii="仿宋_GB2312" w:hAnsi="仿宋_GB2312" w:eastAsia="仿宋_GB2312" w:cs="仿宋_GB2312"/>
          <w:sz w:val="32"/>
          <w:szCs w:val="32"/>
          <w:lang w:bidi="ar"/>
        </w:rPr>
        <w:t>20</w:t>
      </w:r>
      <w:r>
        <w:rPr>
          <w:rFonts w:hint="eastAsia" w:ascii="仿宋_GB2312" w:hAnsi="仿宋_GB2312" w:eastAsia="仿宋_GB2312" w:cs="仿宋_GB2312"/>
          <w:sz w:val="32"/>
          <w:szCs w:val="32"/>
          <w:lang w:val="en-US" w:eastAsia="zh-CN" w:bidi="ar"/>
        </w:rPr>
        <w:t>20</w:t>
      </w:r>
      <w:r>
        <w:rPr>
          <w:rFonts w:hint="eastAsia" w:ascii="仿宋_GB2312" w:hAnsi="仿宋_GB2312" w:eastAsia="仿宋_GB2312" w:cs="仿宋_GB2312"/>
          <w:sz w:val="32"/>
          <w:szCs w:val="32"/>
          <w:lang w:bidi="ar"/>
        </w:rPr>
        <w:t>年度一般公共预算财政拨款“三公”经费支出预算为</w:t>
      </w:r>
      <w:r>
        <w:rPr>
          <w:rFonts w:hint="eastAsia" w:ascii="仿宋_GB2312" w:hAnsi="仿宋_GB2312" w:eastAsia="仿宋_GB2312" w:cs="仿宋_GB2312"/>
          <w:sz w:val="32"/>
          <w:szCs w:val="32"/>
          <w:lang w:val="en-US" w:eastAsia="zh-CN" w:bidi="ar"/>
        </w:rPr>
        <w:t>11.8</w:t>
      </w:r>
      <w:r>
        <w:rPr>
          <w:rFonts w:hint="eastAsia" w:ascii="仿宋_GB2312" w:hAnsi="仿宋_GB2312" w:eastAsia="仿宋_GB2312" w:cs="仿宋_GB2312"/>
          <w:sz w:val="32"/>
          <w:szCs w:val="32"/>
          <w:lang w:bidi="ar"/>
        </w:rPr>
        <w:t>万元，支出决算为</w:t>
      </w:r>
      <w:r>
        <w:rPr>
          <w:rFonts w:hint="eastAsia" w:ascii="仿宋_GB2312" w:hAnsi="仿宋_GB2312" w:eastAsia="仿宋_GB2312" w:cs="仿宋_GB2312"/>
          <w:sz w:val="32"/>
          <w:szCs w:val="32"/>
          <w:lang w:val="en-US" w:eastAsia="zh-CN" w:bidi="ar"/>
        </w:rPr>
        <w:t>15.97</w:t>
      </w:r>
      <w:r>
        <w:rPr>
          <w:rFonts w:hint="eastAsia" w:ascii="仿宋_GB2312" w:hAnsi="仿宋_GB2312" w:eastAsia="仿宋_GB2312" w:cs="仿宋_GB2312"/>
          <w:sz w:val="32"/>
          <w:szCs w:val="32"/>
          <w:lang w:bidi="ar"/>
        </w:rPr>
        <w:t>万元，完成预算的</w:t>
      </w:r>
      <w:r>
        <w:rPr>
          <w:rFonts w:hint="eastAsia" w:ascii="仿宋_GB2312" w:hAnsi="仿宋_GB2312" w:eastAsia="仿宋_GB2312" w:cs="仿宋_GB2312"/>
          <w:sz w:val="32"/>
          <w:szCs w:val="32"/>
          <w:lang w:val="en-US" w:eastAsia="zh-CN" w:bidi="ar"/>
        </w:rPr>
        <w:t>135</w:t>
      </w:r>
      <w:r>
        <w:rPr>
          <w:rFonts w:hint="eastAsia" w:ascii="仿宋_GB2312" w:hAnsi="仿宋_GB2312" w:eastAsia="仿宋_GB2312" w:cs="仿宋_GB2312"/>
          <w:sz w:val="32"/>
          <w:szCs w:val="32"/>
          <w:lang w:bidi="ar"/>
        </w:rPr>
        <w:t>%。其中：因公出国（境）费支出决算为0万元；公务用车购置及运行费支出决算为</w:t>
      </w:r>
      <w:r>
        <w:rPr>
          <w:rFonts w:hint="eastAsia" w:ascii="仿宋_GB2312" w:hAnsi="仿宋_GB2312" w:eastAsia="仿宋_GB2312" w:cs="仿宋_GB2312"/>
          <w:sz w:val="32"/>
          <w:szCs w:val="32"/>
          <w:lang w:val="en-US" w:eastAsia="zh-CN" w:bidi="ar"/>
        </w:rPr>
        <w:t>15.27</w:t>
      </w:r>
      <w:r>
        <w:rPr>
          <w:rFonts w:hint="eastAsia" w:ascii="仿宋_GB2312" w:hAnsi="仿宋_GB2312" w:eastAsia="仿宋_GB2312" w:cs="仿宋_GB2312"/>
          <w:sz w:val="32"/>
          <w:szCs w:val="32"/>
          <w:lang w:bidi="ar"/>
        </w:rPr>
        <w:t>万元，完成预算的</w:t>
      </w:r>
      <w:r>
        <w:rPr>
          <w:rFonts w:hint="eastAsia" w:ascii="仿宋_GB2312" w:hAnsi="仿宋_GB2312" w:eastAsia="仿宋_GB2312" w:cs="仿宋_GB2312"/>
          <w:sz w:val="32"/>
          <w:szCs w:val="32"/>
          <w:lang w:val="en-US" w:eastAsia="zh-CN" w:bidi="ar"/>
        </w:rPr>
        <w:t>174</w:t>
      </w:r>
      <w:r>
        <w:rPr>
          <w:rFonts w:hint="eastAsia" w:ascii="仿宋_GB2312" w:hAnsi="仿宋_GB2312" w:eastAsia="仿宋_GB2312" w:cs="仿宋_GB2312"/>
          <w:sz w:val="32"/>
          <w:szCs w:val="32"/>
          <w:lang w:bidi="ar"/>
        </w:rPr>
        <w:t>%；公务接待费支出决算为</w:t>
      </w:r>
      <w:r>
        <w:rPr>
          <w:rFonts w:hint="eastAsia" w:ascii="仿宋_GB2312" w:hAnsi="仿宋_GB2312" w:eastAsia="仿宋_GB2312" w:cs="仿宋_GB2312"/>
          <w:sz w:val="32"/>
          <w:szCs w:val="32"/>
          <w:lang w:val="en-US" w:eastAsia="zh-CN" w:bidi="ar"/>
        </w:rPr>
        <w:t>0.7</w:t>
      </w:r>
      <w:r>
        <w:rPr>
          <w:rFonts w:hint="eastAsia" w:ascii="仿宋_GB2312" w:hAnsi="仿宋_GB2312" w:eastAsia="仿宋_GB2312" w:cs="仿宋_GB2312"/>
          <w:sz w:val="32"/>
          <w:szCs w:val="32"/>
          <w:lang w:bidi="ar"/>
        </w:rPr>
        <w:t>万元,完成预算的</w:t>
      </w:r>
      <w:r>
        <w:rPr>
          <w:rFonts w:hint="eastAsia" w:ascii="仿宋_GB2312" w:hAnsi="仿宋_GB2312" w:eastAsia="仿宋_GB2312" w:cs="仿宋_GB2312"/>
          <w:sz w:val="32"/>
          <w:szCs w:val="32"/>
          <w:lang w:val="en-US" w:eastAsia="zh-CN" w:bidi="ar"/>
        </w:rPr>
        <w:t>23</w:t>
      </w:r>
      <w:r>
        <w:rPr>
          <w:rFonts w:hint="eastAsia" w:ascii="仿宋_GB2312" w:hAnsi="仿宋_GB2312" w:eastAsia="仿宋_GB2312" w:cs="仿宋_GB2312"/>
          <w:sz w:val="32"/>
          <w:szCs w:val="32"/>
          <w:lang w:bidi="ar"/>
        </w:rPr>
        <w:t>%。</w:t>
      </w:r>
    </w:p>
    <w:p>
      <w:pPr>
        <w:widowControl/>
        <w:numPr>
          <w:ilvl w:val="0"/>
          <w:numId w:val="0"/>
        </w:numPr>
        <w:topLinePunct/>
        <w:spacing w:line="520" w:lineRule="atLeast"/>
        <w:ind w:firstLine="640" w:firstLineChars="200"/>
        <w:rPr>
          <w:rFonts w:hint="eastAsia" w:ascii="楷体" w:hAnsi="楷体" w:eastAsia="楷体" w:cs="宋体"/>
          <w:kern w:val="0"/>
          <w:sz w:val="32"/>
          <w:szCs w:val="32"/>
        </w:rPr>
      </w:pPr>
      <w:r>
        <w:rPr>
          <w:rFonts w:hint="eastAsia" w:ascii="楷体" w:hAnsi="楷体" w:eastAsia="楷体" w:cs="宋体"/>
          <w:kern w:val="0"/>
          <w:sz w:val="32"/>
          <w:szCs w:val="32"/>
          <w:lang w:eastAsia="zh-CN"/>
        </w:rPr>
        <w:t>（六）</w:t>
      </w:r>
      <w:r>
        <w:rPr>
          <w:rFonts w:hint="eastAsia" w:ascii="楷体" w:hAnsi="楷体" w:eastAsia="楷体" w:cs="宋体"/>
          <w:kern w:val="0"/>
          <w:sz w:val="32"/>
          <w:szCs w:val="32"/>
        </w:rPr>
        <w:t>政府采购情况。</w:t>
      </w:r>
    </w:p>
    <w:p>
      <w:pPr>
        <w:widowControl/>
        <w:numPr>
          <w:ilvl w:val="0"/>
          <w:numId w:val="0"/>
        </w:numPr>
        <w:topLinePunct/>
        <w:spacing w:line="520" w:lineRule="atLeas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2020年盘龙区农业农村局按财政要求，政府采购项目做到应采尽采。60万元以上采购项目进入财政采购系统办理，60万元以下按单位内控制度实行采购。</w:t>
      </w:r>
    </w:p>
    <w:p>
      <w:pPr>
        <w:widowControl/>
        <w:numPr>
          <w:ilvl w:val="0"/>
          <w:numId w:val="0"/>
        </w:numPr>
        <w:topLinePunct/>
        <w:spacing w:line="520" w:lineRule="atLeast"/>
        <w:ind w:firstLine="640" w:firstLineChars="200"/>
        <w:rPr>
          <w:rFonts w:hint="eastAsia" w:ascii="楷体" w:hAnsi="楷体" w:eastAsia="楷体" w:cs="宋体"/>
          <w:kern w:val="0"/>
          <w:sz w:val="32"/>
          <w:szCs w:val="32"/>
          <w:lang w:val="en-US" w:eastAsia="zh-CN"/>
        </w:rPr>
      </w:pPr>
      <w:r>
        <w:rPr>
          <w:rFonts w:hint="eastAsia" w:ascii="楷体" w:hAnsi="楷体" w:eastAsia="楷体" w:cs="宋体"/>
          <w:kern w:val="0"/>
          <w:sz w:val="32"/>
          <w:szCs w:val="32"/>
          <w:lang w:eastAsia="zh-CN"/>
        </w:rPr>
        <w:t>（七）</w:t>
      </w:r>
      <w:r>
        <w:rPr>
          <w:rFonts w:hint="eastAsia" w:ascii="楷体" w:hAnsi="楷体" w:eastAsia="楷体" w:cs="宋体"/>
          <w:kern w:val="0"/>
          <w:sz w:val="32"/>
          <w:szCs w:val="32"/>
        </w:rPr>
        <w:t>固定资产情况。</w:t>
      </w:r>
    </w:p>
    <w:p>
      <w:pPr>
        <w:widowControl/>
        <w:numPr>
          <w:ilvl w:val="0"/>
          <w:numId w:val="0"/>
        </w:numPr>
        <w:topLinePunct/>
        <w:spacing w:line="520" w:lineRule="atLeast"/>
        <w:rPr>
          <w:rFonts w:hint="eastAsia" w:ascii="楷体" w:hAnsi="楷体" w:eastAsia="楷体" w:cs="宋体"/>
          <w:kern w:val="0"/>
          <w:sz w:val="32"/>
          <w:szCs w:val="32"/>
          <w:lang w:val="en-US" w:eastAsia="zh-CN"/>
        </w:rPr>
      </w:pPr>
      <w:r>
        <w:rPr>
          <w:rFonts w:hint="eastAsia" w:ascii="楷体" w:hAnsi="楷体" w:eastAsia="楷体" w:cs="宋体"/>
          <w:kern w:val="0"/>
          <w:sz w:val="32"/>
          <w:szCs w:val="32"/>
          <w:lang w:val="en-US" w:eastAsia="zh-CN"/>
        </w:rPr>
        <w:t xml:space="preserve">    </w:t>
      </w:r>
      <w:r>
        <w:rPr>
          <w:rFonts w:hint="eastAsia" w:ascii="仿宋_GB2312" w:hAnsi="宋体" w:eastAsia="仿宋_GB2312" w:cs="方正小标宋简体"/>
          <w:color w:val="000000"/>
          <w:kern w:val="0"/>
          <w:sz w:val="32"/>
          <w:szCs w:val="32"/>
        </w:rPr>
        <w:t>20</w:t>
      </w:r>
      <w:r>
        <w:rPr>
          <w:rFonts w:hint="eastAsia" w:ascii="仿宋_GB2312" w:hAnsi="宋体" w:eastAsia="仿宋_GB2312" w:cs="方正小标宋简体"/>
          <w:color w:val="000000"/>
          <w:kern w:val="0"/>
          <w:sz w:val="32"/>
          <w:szCs w:val="32"/>
          <w:lang w:val="en-US" w:eastAsia="zh-CN"/>
        </w:rPr>
        <w:t>20</w:t>
      </w:r>
      <w:r>
        <w:rPr>
          <w:rFonts w:hint="eastAsia" w:ascii="仿宋_GB2312" w:hAnsi="宋体" w:eastAsia="仿宋_GB2312" w:cs="方正小标宋简体"/>
          <w:color w:val="000000"/>
          <w:kern w:val="0"/>
          <w:sz w:val="32"/>
          <w:szCs w:val="32"/>
        </w:rPr>
        <w:t>年盘龙区农业农村局资产总额</w:t>
      </w:r>
      <w:r>
        <w:rPr>
          <w:rFonts w:hint="eastAsia" w:ascii="仿宋_GB2312" w:hAnsi="宋体" w:eastAsia="仿宋_GB2312" w:cs="方正小标宋简体"/>
          <w:color w:val="000000"/>
          <w:kern w:val="0"/>
          <w:sz w:val="32"/>
          <w:szCs w:val="32"/>
          <w:lang w:val="en-US" w:eastAsia="zh-CN"/>
        </w:rPr>
        <w:t>12236.72</w:t>
      </w:r>
      <w:r>
        <w:rPr>
          <w:rFonts w:hint="eastAsia" w:ascii="仿宋_GB2312" w:hAnsi="宋体" w:eastAsia="仿宋_GB2312" w:cs="方正小标宋简体"/>
          <w:color w:val="000000"/>
          <w:kern w:val="0"/>
          <w:sz w:val="32"/>
          <w:szCs w:val="32"/>
        </w:rPr>
        <w:t>万元，其中，流动资产</w:t>
      </w:r>
      <w:r>
        <w:rPr>
          <w:rFonts w:hint="eastAsia" w:ascii="仿宋_GB2312" w:hAnsi="宋体" w:eastAsia="仿宋_GB2312" w:cs="方正小标宋简体"/>
          <w:color w:val="000000"/>
          <w:kern w:val="0"/>
          <w:sz w:val="32"/>
          <w:szCs w:val="32"/>
          <w:lang w:val="en-US" w:eastAsia="zh-CN"/>
        </w:rPr>
        <w:t>10553.02</w:t>
      </w:r>
      <w:r>
        <w:rPr>
          <w:rFonts w:hint="eastAsia" w:ascii="仿宋_GB2312" w:hAnsi="宋体" w:eastAsia="仿宋_GB2312" w:cs="方正小标宋简体"/>
          <w:color w:val="000000"/>
          <w:kern w:val="0"/>
          <w:sz w:val="32"/>
          <w:szCs w:val="32"/>
        </w:rPr>
        <w:t>万元，固定资产</w:t>
      </w:r>
      <w:r>
        <w:rPr>
          <w:rFonts w:hint="eastAsia" w:ascii="仿宋_GB2312" w:hAnsi="宋体" w:eastAsia="仿宋_GB2312" w:cs="方正小标宋简体"/>
          <w:color w:val="000000"/>
          <w:kern w:val="0"/>
          <w:sz w:val="32"/>
          <w:szCs w:val="32"/>
          <w:lang w:val="en-US" w:eastAsia="zh-CN"/>
        </w:rPr>
        <w:t>286.25</w:t>
      </w:r>
      <w:r>
        <w:rPr>
          <w:rFonts w:hint="eastAsia" w:ascii="仿宋_GB2312" w:hAnsi="宋体" w:eastAsia="仿宋_GB2312" w:cs="方正小标宋简体"/>
          <w:color w:val="000000"/>
          <w:kern w:val="0"/>
          <w:sz w:val="32"/>
          <w:szCs w:val="32"/>
        </w:rPr>
        <w:t>万元，无形资产</w:t>
      </w:r>
      <w:r>
        <w:rPr>
          <w:rFonts w:hint="eastAsia" w:ascii="仿宋_GB2312" w:hAnsi="宋体" w:eastAsia="仿宋_GB2312" w:cs="方正小标宋简体"/>
          <w:color w:val="000000"/>
          <w:kern w:val="0"/>
          <w:sz w:val="32"/>
          <w:szCs w:val="32"/>
          <w:lang w:val="en-US" w:eastAsia="zh-CN"/>
        </w:rPr>
        <w:t>0.82</w:t>
      </w:r>
      <w:r>
        <w:rPr>
          <w:rFonts w:hint="eastAsia" w:ascii="仿宋_GB2312" w:hAnsi="宋体" w:eastAsia="仿宋_GB2312" w:cs="方正小标宋简体"/>
          <w:color w:val="000000"/>
          <w:kern w:val="0"/>
          <w:sz w:val="32"/>
          <w:szCs w:val="32"/>
        </w:rPr>
        <w:t>万元，在建工1394.53万元。</w:t>
      </w:r>
      <w:r>
        <w:rPr>
          <w:rFonts w:hint="eastAsia" w:ascii="仿宋_GB2312" w:hAnsi="宋体" w:eastAsia="仿宋_GB2312" w:cs="方正小标宋简体"/>
          <w:color w:val="000000"/>
          <w:kern w:val="0"/>
          <w:sz w:val="32"/>
          <w:szCs w:val="32"/>
          <w:lang w:eastAsia="zh-CN"/>
        </w:rPr>
        <w:t>年终我局收到水源区生产生活补助作为往来款核算，固定资产增加了</w:t>
      </w:r>
      <w:r>
        <w:rPr>
          <w:rFonts w:hint="eastAsia" w:ascii="仿宋_GB2312" w:hAnsi="宋体" w:eastAsia="仿宋_GB2312" w:cs="方正小标宋简体"/>
          <w:color w:val="000000"/>
          <w:kern w:val="0"/>
          <w:sz w:val="32"/>
          <w:szCs w:val="32"/>
          <w:lang w:val="en-US" w:eastAsia="zh-CN"/>
        </w:rPr>
        <w:t>13辆车、2架无人机。</w:t>
      </w:r>
      <w:r>
        <w:rPr>
          <w:rFonts w:hint="eastAsia" w:ascii="仿宋_GB2312" w:hAnsi="宋体" w:eastAsia="仿宋_GB2312" w:cs="方正小标宋简体"/>
          <w:color w:val="000000"/>
          <w:kern w:val="0"/>
          <w:sz w:val="32"/>
          <w:szCs w:val="32"/>
        </w:rPr>
        <w:t>　</w:t>
      </w:r>
    </w:p>
    <w:p>
      <w:pPr>
        <w:widowControl/>
        <w:topLinePunct/>
        <w:spacing w:line="520" w:lineRule="atLeast"/>
        <w:ind w:firstLine="525"/>
        <w:rPr>
          <w:rFonts w:hint="eastAsia" w:ascii="黑体" w:hAnsi="黑体" w:eastAsia="黑体" w:cs="黑体"/>
          <w:kern w:val="0"/>
          <w:sz w:val="32"/>
          <w:szCs w:val="32"/>
        </w:rPr>
      </w:pPr>
      <w:r>
        <w:rPr>
          <w:rFonts w:hint="eastAsia" w:ascii="黑体" w:hAnsi="黑体" w:eastAsia="黑体" w:cs="黑体"/>
          <w:kern w:val="0"/>
          <w:sz w:val="32"/>
          <w:szCs w:val="32"/>
        </w:rPr>
        <w:t>二、绩效目标</w:t>
      </w:r>
    </w:p>
    <w:p>
      <w:pPr>
        <w:widowControl/>
        <w:topLinePunct/>
        <w:spacing w:line="520" w:lineRule="atLeast"/>
        <w:ind w:firstLine="525"/>
        <w:rPr>
          <w:rFonts w:hint="eastAsia" w:ascii="楷体" w:hAnsi="楷体" w:eastAsia="楷体" w:cs="楷体"/>
          <w:kern w:val="0"/>
          <w:sz w:val="32"/>
          <w:szCs w:val="32"/>
        </w:rPr>
      </w:pPr>
      <w:r>
        <w:rPr>
          <w:rFonts w:hint="eastAsia" w:ascii="楷体" w:hAnsi="楷体" w:eastAsia="楷体" w:cs="楷体"/>
          <w:kern w:val="0"/>
          <w:sz w:val="32"/>
          <w:szCs w:val="32"/>
        </w:rPr>
        <w:t>（一）部门总目标。</w:t>
      </w:r>
    </w:p>
    <w:p>
      <w:pPr>
        <w:widowControl/>
        <w:spacing w:line="360" w:lineRule="atLeast"/>
        <w:ind w:firstLine="516"/>
        <w:jc w:val="left"/>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2019-2021年,通过努力，高原特色都市现代农业发展取得新进展，力争基本实现农业现代化。农产品生产能力稳步提升，有效供给能力不断增强；农业生产条件明显改善，农业机械总动力、农业机械化水平持续增长；农业投入品科学运用水平大幅提升，农产品质量安全监管体系基本健全，农产品质量安全水平稳中有升；农业生态环境明显改善，可持续发展能力显著增强；农业法治建设加快推进，依法治农局面基本形成。农村产权流转交易服务平台、新型农民培养服务平台建设全面完成。农产品仓储设施和保鲜冷链设施建设进一步完善。到2021年，力争实现农业总产值达到</w:t>
      </w:r>
      <w:r>
        <w:rPr>
          <w:rFonts w:hint="eastAsia" w:ascii="仿宋_GB2312" w:hAnsi="仿宋_GB2312" w:eastAsia="仿宋_GB2312" w:cs="仿宋_GB2312"/>
          <w:color w:val="000000"/>
          <w:kern w:val="0"/>
          <w:sz w:val="32"/>
          <w:szCs w:val="32"/>
          <w:lang w:val="en-US" w:eastAsia="zh-CN"/>
        </w:rPr>
        <w:t>10</w:t>
      </w:r>
      <w:r>
        <w:rPr>
          <w:rFonts w:hint="eastAsia" w:ascii="仿宋_GB2312" w:hAnsi="仿宋_GB2312" w:eastAsia="仿宋_GB2312" w:cs="仿宋_GB2312"/>
          <w:color w:val="000000"/>
          <w:kern w:val="0"/>
          <w:sz w:val="32"/>
          <w:szCs w:val="32"/>
        </w:rPr>
        <w:t>亿元，农村常住居民人均可支配收入</w:t>
      </w:r>
      <w:r>
        <w:rPr>
          <w:rFonts w:hint="eastAsia" w:ascii="仿宋_GB2312" w:hAnsi="仿宋_GB2312" w:eastAsia="仿宋_GB2312" w:cs="仿宋_GB2312"/>
          <w:color w:val="000000"/>
          <w:kern w:val="0"/>
          <w:sz w:val="32"/>
          <w:szCs w:val="32"/>
          <w:lang w:eastAsia="zh-CN"/>
        </w:rPr>
        <w:t>同比</w:t>
      </w:r>
      <w:r>
        <w:rPr>
          <w:rFonts w:hint="eastAsia" w:ascii="仿宋_GB2312" w:hAnsi="仿宋_GB2312" w:eastAsia="仿宋_GB2312" w:cs="仿宋_GB2312"/>
          <w:color w:val="000000"/>
          <w:kern w:val="0"/>
          <w:sz w:val="32"/>
          <w:szCs w:val="32"/>
        </w:rPr>
        <w:t>增长</w:t>
      </w:r>
      <w:r>
        <w:rPr>
          <w:rFonts w:hint="eastAsia" w:ascii="仿宋_GB2312" w:hAnsi="仿宋_GB2312" w:eastAsia="仿宋_GB2312" w:cs="仿宋_GB2312"/>
          <w:color w:val="000000"/>
          <w:kern w:val="0"/>
          <w:sz w:val="32"/>
          <w:szCs w:val="32"/>
          <w:lang w:val="en-US" w:eastAsia="zh-CN"/>
        </w:rPr>
        <w:t>5.8</w:t>
      </w:r>
      <w:r>
        <w:rPr>
          <w:rFonts w:hint="eastAsia" w:ascii="仿宋_GB2312" w:hAnsi="仿宋_GB2312" w:eastAsia="仿宋_GB2312" w:cs="仿宋_GB2312"/>
          <w:color w:val="000000"/>
          <w:kern w:val="0"/>
          <w:sz w:val="32"/>
          <w:szCs w:val="32"/>
        </w:rPr>
        <w:t>%。</w:t>
      </w:r>
    </w:p>
    <w:p>
      <w:pPr>
        <w:widowControl/>
        <w:numPr>
          <w:ilvl w:val="0"/>
          <w:numId w:val="4"/>
        </w:numPr>
        <w:topLinePunct/>
        <w:spacing w:line="520" w:lineRule="atLeast"/>
        <w:ind w:firstLine="525"/>
        <w:rPr>
          <w:rFonts w:hint="eastAsia" w:ascii="楷体" w:hAnsi="楷体" w:eastAsia="楷体" w:cs="楷体"/>
          <w:kern w:val="0"/>
          <w:sz w:val="32"/>
          <w:szCs w:val="32"/>
        </w:rPr>
      </w:pPr>
      <w:r>
        <w:rPr>
          <w:rFonts w:hint="eastAsia" w:ascii="楷体" w:hAnsi="楷体" w:eastAsia="楷体" w:cs="楷体"/>
          <w:kern w:val="0"/>
          <w:sz w:val="32"/>
          <w:szCs w:val="32"/>
        </w:rPr>
        <w:t>部门项目具体计划目标。</w:t>
      </w:r>
    </w:p>
    <w:p>
      <w:pPr>
        <w:widowControl/>
        <w:spacing w:line="288" w:lineRule="atLeast"/>
        <w:ind w:firstLine="516"/>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1.农业履职保障与管理</w:t>
      </w:r>
    </w:p>
    <w:p>
      <w:pPr>
        <w:topLinePunct/>
        <w:spacing w:line="600" w:lineRule="exact"/>
        <w:ind w:firstLine="64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农业管理围绕“强职能、提素质、优服务、重创新”的目标，不断提高行政活动的效率，协调改善与服务对象的关系，提高群众满意度。加大对农技推广人员的培训力度，提升农业生产的科技贡献率；稳步推进农业供给侧改革，提供更多安全、优质的农产品，预算金额</w:t>
      </w:r>
      <w:r>
        <w:rPr>
          <w:rFonts w:hint="eastAsia" w:ascii="仿宋_GB2312" w:hAnsi="仿宋_GB2312" w:eastAsia="仿宋_GB2312" w:cs="仿宋_GB2312"/>
          <w:kern w:val="0"/>
          <w:sz w:val="32"/>
          <w:szCs w:val="32"/>
          <w:lang w:val="en-US" w:eastAsia="zh-CN"/>
        </w:rPr>
        <w:t>88</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lang w:val="en-US" w:eastAsia="zh-CN"/>
        </w:rPr>
        <w:t xml:space="preserve"> </w:t>
      </w:r>
    </w:p>
    <w:p>
      <w:pPr>
        <w:widowControl/>
        <w:spacing w:line="288" w:lineRule="atLeast"/>
        <w:ind w:firstLine="516"/>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2.农</w:t>
      </w:r>
      <w:r>
        <w:rPr>
          <w:rFonts w:hint="eastAsia" w:ascii="仿宋_GB2312" w:hAnsi="仿宋_GB2312" w:eastAsia="仿宋_GB2312" w:cs="仿宋_GB2312"/>
          <w:b/>
          <w:bCs/>
          <w:kern w:val="0"/>
          <w:sz w:val="32"/>
          <w:szCs w:val="32"/>
          <w:lang w:eastAsia="zh-CN"/>
        </w:rPr>
        <w:t>业</w:t>
      </w:r>
      <w:r>
        <w:rPr>
          <w:rFonts w:hint="eastAsia" w:ascii="仿宋_GB2312" w:hAnsi="仿宋_GB2312" w:eastAsia="仿宋_GB2312" w:cs="仿宋_GB2312"/>
          <w:b/>
          <w:bCs/>
          <w:kern w:val="0"/>
          <w:sz w:val="32"/>
          <w:szCs w:val="32"/>
        </w:rPr>
        <w:t>科技推广与产业发展</w:t>
      </w:r>
    </w:p>
    <w:p>
      <w:pPr>
        <w:topLinePunct/>
        <w:spacing w:line="600" w:lineRule="exact"/>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完成农作物、生态</w:t>
      </w:r>
      <w:r>
        <w:rPr>
          <w:rFonts w:hint="eastAsia" w:ascii="仿宋_GB2312" w:hAnsi="仿宋_GB2312" w:eastAsia="仿宋_GB2312" w:cs="仿宋_GB2312"/>
          <w:sz w:val="32"/>
          <w:szCs w:val="32"/>
        </w:rPr>
        <w:t>烟</w:t>
      </w:r>
      <w:r>
        <w:rPr>
          <w:rFonts w:hint="eastAsia" w:ascii="仿宋_GB2312" w:hAnsi="仿宋_GB2312" w:eastAsia="仿宋_GB2312" w:cs="仿宋_GB2312"/>
          <w:sz w:val="32"/>
          <w:szCs w:val="32"/>
          <w:lang w:eastAsia="zh-CN"/>
        </w:rPr>
        <w:t>叶</w:t>
      </w:r>
      <w:r>
        <w:rPr>
          <w:rFonts w:hint="eastAsia" w:ascii="仿宋_GB2312" w:hAnsi="仿宋_GB2312" w:eastAsia="仿宋_GB2312" w:cs="仿宋_GB2312"/>
          <w:sz w:val="32"/>
          <w:szCs w:val="32"/>
        </w:rPr>
        <w:t>推广</w:t>
      </w:r>
      <w:r>
        <w:rPr>
          <w:rFonts w:hint="eastAsia" w:ascii="仿宋_GB2312" w:hAnsi="仿宋_GB2312" w:eastAsia="仿宋_GB2312" w:cs="仿宋_GB2312"/>
          <w:sz w:val="32"/>
          <w:szCs w:val="32"/>
          <w:lang w:eastAsia="zh-CN"/>
        </w:rPr>
        <w:t>种植，实施烤烟种植面积2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84万亩</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预备</w:t>
      </w:r>
      <w:r>
        <w:rPr>
          <w:rFonts w:hint="eastAsia" w:ascii="仿宋_GB2312" w:hAnsi="仿宋_GB2312" w:eastAsia="仿宋_GB2312" w:cs="仿宋_GB2312"/>
          <w:sz w:val="32"/>
          <w:szCs w:val="32"/>
        </w:rPr>
        <w:t>自然灾害救助</w:t>
      </w:r>
      <w:r>
        <w:rPr>
          <w:rFonts w:hint="eastAsia" w:ascii="仿宋_GB2312" w:hAnsi="仿宋_GB2312" w:eastAsia="仿宋_GB2312" w:cs="仿宋_GB2312"/>
          <w:sz w:val="32"/>
          <w:szCs w:val="32"/>
          <w:lang w:eastAsia="zh-CN"/>
        </w:rPr>
        <w:t>，农业生产保险补贴、</w:t>
      </w:r>
      <w:r>
        <w:rPr>
          <w:rFonts w:hint="eastAsia" w:ascii="仿宋_GB2312" w:hAnsi="仿宋_GB2312" w:eastAsia="仿宋_GB2312" w:cs="仿宋_GB2312"/>
          <w:sz w:val="32"/>
          <w:szCs w:val="32"/>
        </w:rPr>
        <w:t>确保盘龙区粮食生产安全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完成重大动物疫病防控工作任务。重大动物疫病免疫应免密度均达100％。</w:t>
      </w:r>
      <w:r>
        <w:rPr>
          <w:rFonts w:hint="eastAsia" w:ascii="仿宋_GB2312" w:hAnsi="仿宋_GB2312" w:eastAsia="仿宋_GB2312" w:cs="仿宋_GB2312"/>
          <w:sz w:val="32"/>
          <w:szCs w:val="32"/>
          <w:lang w:eastAsia="zh-CN"/>
        </w:rPr>
        <w:t>力争</w:t>
      </w:r>
      <w:r>
        <w:rPr>
          <w:rFonts w:hint="eastAsia" w:ascii="仿宋_GB2312" w:hAnsi="仿宋_GB2312" w:eastAsia="仿宋_GB2312" w:cs="仿宋_GB2312"/>
          <w:sz w:val="32"/>
          <w:szCs w:val="32"/>
        </w:rPr>
        <w:t>农村常住居民人均可支配收入增长率8.3%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0"/>
          <w:sz w:val="32"/>
          <w:szCs w:val="32"/>
        </w:rPr>
        <w:t>预算金额</w:t>
      </w:r>
      <w:r>
        <w:rPr>
          <w:rFonts w:hint="eastAsia" w:ascii="仿宋_GB2312" w:hAnsi="仿宋_GB2312" w:eastAsia="仿宋_GB2312" w:cs="仿宋_GB2312"/>
          <w:kern w:val="0"/>
          <w:sz w:val="32"/>
          <w:szCs w:val="32"/>
          <w:lang w:val="en-US" w:eastAsia="zh-CN"/>
        </w:rPr>
        <w:t>341.27</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sz w:val="32"/>
          <w:szCs w:val="32"/>
          <w:lang w:val="en-US" w:eastAsia="zh-CN"/>
        </w:rPr>
        <w:t xml:space="preserve"> </w:t>
      </w:r>
    </w:p>
    <w:p>
      <w:pPr>
        <w:widowControl/>
        <w:spacing w:line="288" w:lineRule="atLeast"/>
        <w:ind w:firstLine="516"/>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3.生态</w:t>
      </w:r>
      <w:r>
        <w:rPr>
          <w:rFonts w:hint="eastAsia" w:ascii="仿宋_GB2312" w:hAnsi="仿宋_GB2312" w:eastAsia="仿宋_GB2312" w:cs="仿宋_GB2312"/>
          <w:b/>
          <w:bCs/>
          <w:kern w:val="0"/>
          <w:sz w:val="32"/>
          <w:szCs w:val="32"/>
          <w:lang w:eastAsia="zh-CN"/>
        </w:rPr>
        <w:t>环境</w:t>
      </w:r>
      <w:r>
        <w:rPr>
          <w:rFonts w:hint="eastAsia" w:ascii="仿宋_GB2312" w:hAnsi="仿宋_GB2312" w:eastAsia="仿宋_GB2312" w:cs="仿宋_GB2312"/>
          <w:b/>
          <w:bCs/>
          <w:kern w:val="0"/>
          <w:sz w:val="32"/>
          <w:szCs w:val="32"/>
        </w:rPr>
        <w:t>保护与农村能源</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rPr>
        <w:t>积极优化农村能源供给机构，提高农村能源的热效率。完成土壤质量普查及重金属污染普查，提高农业生产面源污染的治理面积及治理效果，推进水肥一体化，提高农业节水节肥效果，实施农药、化肥减量行动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t>完成所承担的滇池治理三年攻坚行动任务。推广测土配方施肥，覆盖率达90%以上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主要农作物绿色防控技术覆盖率达到42%以上。完成2020年度森林防火工作任务，</w:t>
      </w:r>
      <w:r>
        <w:rPr>
          <w:rFonts w:hint="eastAsia" w:ascii="仿宋_GB2312" w:hAnsi="仿宋_GB2312" w:eastAsia="仿宋_GB2312" w:cs="仿宋_GB2312"/>
          <w:color w:val="000000"/>
          <w:sz w:val="32"/>
          <w:szCs w:val="32"/>
          <w:lang w:eastAsia="zh-CN"/>
        </w:rPr>
        <w:t>确保</w:t>
      </w:r>
      <w:r>
        <w:rPr>
          <w:rFonts w:hint="eastAsia" w:ascii="仿宋_GB2312" w:hAnsi="仿宋_GB2312" w:eastAsia="仿宋_GB2312" w:cs="仿宋_GB2312"/>
          <w:color w:val="000000"/>
          <w:sz w:val="32"/>
          <w:szCs w:val="32"/>
        </w:rPr>
        <w:t>未发生火情</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兑现水源区群众生产生活补助。</w:t>
      </w:r>
      <w:r>
        <w:rPr>
          <w:rFonts w:hint="eastAsia" w:ascii="仿宋_GB2312" w:hAnsi="仿宋_GB2312" w:eastAsia="仿宋_GB2312" w:cs="仿宋_GB2312"/>
          <w:sz w:val="32"/>
          <w:szCs w:val="32"/>
        </w:rPr>
        <w:t>义务植树任务85万株，绿化美化村庄任务10个行政村。</w:t>
      </w:r>
      <w:r>
        <w:rPr>
          <w:rFonts w:hint="eastAsia" w:ascii="仿宋_GB2312" w:hAnsi="仿宋_GB2312" w:eastAsia="仿宋_GB2312" w:cs="仿宋_GB2312"/>
          <w:color w:val="000000"/>
          <w:sz w:val="32"/>
          <w:szCs w:val="32"/>
          <w:lang w:val="en-US" w:eastAsia="zh-CN"/>
        </w:rPr>
        <w:t>将林业有害生物普查、监测预报、植物检疫、疫情除治和防治基础设施建设等工作长足推进</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完成</w:t>
      </w:r>
      <w:r>
        <w:rPr>
          <w:rFonts w:hint="eastAsia" w:ascii="仿宋_GB2312" w:hAnsi="仿宋_GB2312" w:eastAsia="仿宋_GB2312" w:cs="仿宋_GB2312"/>
          <w:color w:val="000000"/>
          <w:sz w:val="32"/>
          <w:szCs w:val="32"/>
          <w:lang w:val="en-US" w:eastAsia="zh-CN"/>
        </w:rPr>
        <w:t>森林抚育任务15000亩，</w:t>
      </w:r>
      <w:r>
        <w:rPr>
          <w:rFonts w:hint="eastAsia" w:ascii="仿宋_GB2312" w:hAnsi="仿宋_GB2312" w:eastAsia="仿宋_GB2312" w:cs="仿宋_GB2312"/>
          <w:color w:val="000000"/>
          <w:sz w:val="32"/>
          <w:szCs w:val="32"/>
          <w:lang w:eastAsia="zh-CN"/>
        </w:rPr>
        <w:t>成</w:t>
      </w:r>
      <w:r>
        <w:rPr>
          <w:rFonts w:hint="eastAsia" w:ascii="仿宋_GB2312" w:hAnsi="仿宋_GB2312" w:eastAsia="仿宋_GB2312" w:cs="仿宋_GB2312"/>
          <w:color w:val="000000"/>
          <w:sz w:val="32"/>
          <w:szCs w:val="32"/>
          <w:lang w:val="en-US" w:eastAsia="zh-CN"/>
        </w:rPr>
        <w:t>滇池流域面山植被修复建设工程2000亩，“五采区”植被修复项目。</w:t>
      </w:r>
      <w:r>
        <w:rPr>
          <w:rFonts w:hint="eastAsia" w:ascii="仿宋_GB2312" w:hAnsi="仿宋_GB2312" w:eastAsia="仿宋_GB2312" w:cs="仿宋_GB2312"/>
          <w:kern w:val="0"/>
          <w:sz w:val="32"/>
          <w:szCs w:val="32"/>
        </w:rPr>
        <w:t>预算金额</w:t>
      </w:r>
      <w:r>
        <w:rPr>
          <w:rFonts w:hint="eastAsia" w:ascii="仿宋_GB2312" w:hAnsi="仿宋_GB2312" w:eastAsia="仿宋_GB2312" w:cs="仿宋_GB2312"/>
          <w:kern w:val="0"/>
          <w:sz w:val="32"/>
          <w:szCs w:val="32"/>
          <w:lang w:val="en-US" w:eastAsia="zh-CN"/>
        </w:rPr>
        <w:t>2699.17</w:t>
      </w:r>
      <w:r>
        <w:rPr>
          <w:rFonts w:hint="eastAsia" w:ascii="仿宋_GB2312" w:hAnsi="仿宋_GB2312" w:eastAsia="仿宋_GB2312" w:cs="仿宋_GB2312"/>
          <w:kern w:val="0"/>
          <w:sz w:val="32"/>
          <w:szCs w:val="32"/>
        </w:rPr>
        <w:t>万元。</w:t>
      </w:r>
    </w:p>
    <w:p>
      <w:pPr>
        <w:widowControl/>
        <w:spacing w:line="288" w:lineRule="atLeast"/>
        <w:ind w:firstLine="516"/>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 xml:space="preserve"> 4</w:t>
      </w:r>
      <w:r>
        <w:rPr>
          <w:rFonts w:hint="eastAsia" w:ascii="仿宋_GB2312" w:hAnsi="仿宋_GB2312" w:eastAsia="仿宋_GB2312" w:cs="仿宋_GB2312"/>
          <w:b/>
          <w:bCs/>
          <w:sz w:val="32"/>
          <w:szCs w:val="32"/>
        </w:rPr>
        <w:t>.巩固提升脱贫攻坚成效任务及“挂包帮”帮扶成效</w:t>
      </w:r>
      <w:r>
        <w:rPr>
          <w:rFonts w:hint="eastAsia" w:ascii="仿宋_GB2312" w:hAnsi="仿宋_GB2312" w:eastAsia="仿宋_GB2312" w:cs="仿宋_GB2312"/>
          <w:b/>
          <w:bCs/>
          <w:sz w:val="32"/>
          <w:szCs w:val="32"/>
          <w:lang w:eastAsia="zh-CN"/>
        </w:rPr>
        <w:t>。</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全面巩固“两不愁三保障”指标；加快资金投入和项目建设；推进小额扶贫信贷工作</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完成2020年脱贫攻坚工作成效考核工作</w:t>
      </w:r>
      <w:r>
        <w:rPr>
          <w:rFonts w:hint="eastAsia" w:ascii="仿宋_GB2312" w:hAnsi="仿宋_GB2312" w:eastAsia="仿宋_GB2312" w:cs="仿宋_GB2312"/>
          <w:sz w:val="32"/>
          <w:szCs w:val="32"/>
          <w:lang w:eastAsia="zh-CN"/>
        </w:rPr>
        <w:t>。预算资金</w:t>
      </w:r>
      <w:r>
        <w:rPr>
          <w:rFonts w:hint="eastAsia" w:ascii="仿宋_GB2312" w:hAnsi="仿宋_GB2312" w:eastAsia="仿宋_GB2312" w:cs="仿宋_GB2312"/>
          <w:sz w:val="32"/>
          <w:szCs w:val="32"/>
          <w:lang w:val="en-US" w:eastAsia="zh-CN"/>
        </w:rPr>
        <w:t>58.56万元。</w:t>
      </w:r>
    </w:p>
    <w:p>
      <w:pPr>
        <w:widowControl w:val="0"/>
        <w:wordWrap/>
        <w:adjustRightInd/>
        <w:snapToGrid/>
        <w:spacing w:line="560" w:lineRule="exact"/>
        <w:ind w:left="0" w:leftChars="0" w:right="0" w:firstLine="643" w:firstLineChars="20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 5.</w:t>
      </w:r>
      <w:r>
        <w:rPr>
          <w:rFonts w:hint="eastAsia" w:ascii="仿宋_GB2312" w:hAnsi="仿宋_GB2312" w:eastAsia="仿宋_GB2312" w:cs="仿宋_GB2312"/>
          <w:b/>
          <w:bCs/>
          <w:sz w:val="32"/>
          <w:szCs w:val="32"/>
        </w:rPr>
        <w:t>统筹推进农村人居环境达标。</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kern w:val="0"/>
          <w:sz w:val="32"/>
          <w:szCs w:val="32"/>
          <w:lang w:val="en-US"/>
        </w:rPr>
      </w:pPr>
      <w:r>
        <w:rPr>
          <w:rFonts w:hint="eastAsia" w:ascii="仿宋_GB2312" w:hAnsi="仿宋_GB2312" w:eastAsia="仿宋_GB2312" w:cs="仿宋_GB2312"/>
          <w:sz w:val="32"/>
          <w:szCs w:val="32"/>
        </w:rPr>
        <w:t>无害化卫生公厕100%全覆盖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无害化卫生户厕率达90.1%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生活垃圾收集处理率达到100%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集镇、村生活污水处理设施覆盖率100%。</w:t>
      </w:r>
      <w:r>
        <w:rPr>
          <w:rFonts w:hint="eastAsia" w:ascii="仿宋_GB2312" w:hAnsi="仿宋_GB2312" w:eastAsia="仿宋_GB2312" w:cs="仿宋_GB2312"/>
          <w:sz w:val="32"/>
          <w:szCs w:val="32"/>
          <w:lang w:eastAsia="zh-CN"/>
        </w:rPr>
        <w:t>实施乡</w:t>
      </w:r>
      <w:r>
        <w:rPr>
          <w:rFonts w:hint="eastAsia" w:ascii="仿宋_GB2312" w:hAnsi="仿宋_GB2312" w:eastAsia="仿宋_GB2312" w:cs="仿宋_GB2312"/>
          <w:sz w:val="32"/>
          <w:szCs w:val="32"/>
        </w:rPr>
        <w:t>村振兴战略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以“产业兴旺”为重点，提升高原特色现代农业发展水平。盘龙区“绿色食品牌”主导重点产业有机蔬菜综合产值预计达到12418万元，以“生态宜居”为关键，促进农村人居环境提升。以“乡风文明”以“生活富裕”为根本，提高乡村民生保障水平。</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lang w:val="en-US" w:eastAsia="zh-CN"/>
        </w:rPr>
        <w:t>1000万元。</w:t>
      </w:r>
    </w:p>
    <w:p>
      <w:pPr>
        <w:widowControl/>
        <w:spacing w:line="288" w:lineRule="atLeast"/>
        <w:ind w:firstLine="516"/>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lang w:val="en-US" w:eastAsia="zh-CN"/>
        </w:rPr>
        <w:t xml:space="preserve"> 6</w:t>
      </w:r>
      <w:r>
        <w:rPr>
          <w:rFonts w:hint="eastAsia" w:ascii="仿宋_GB2312" w:hAnsi="仿宋_GB2312" w:eastAsia="仿宋_GB2312" w:cs="仿宋_GB2312"/>
          <w:b/>
          <w:bCs/>
          <w:kern w:val="0"/>
          <w:sz w:val="32"/>
          <w:szCs w:val="32"/>
        </w:rPr>
        <w:t>.履行农业局部门职责、保障机构运转</w:t>
      </w:r>
    </w:p>
    <w:p>
      <w:pPr>
        <w:widowControl/>
        <w:spacing w:line="288" w:lineRule="atLeast"/>
        <w:ind w:firstLine="516"/>
        <w:rPr>
          <w:rFonts w:hint="eastAsia" w:ascii="仿宋_GB2312" w:hAnsi="仿宋_GB2312" w:eastAsia="仿宋_GB2312" w:cs="仿宋_GB2312"/>
          <w:sz w:val="32"/>
          <w:szCs w:val="32"/>
          <w:lang w:val="en-US"/>
        </w:rPr>
      </w:pPr>
      <w:r>
        <w:rPr>
          <w:rFonts w:hint="eastAsia" w:ascii="仿宋_GB2312" w:hAnsi="仿宋_GB2312" w:eastAsia="仿宋_GB2312" w:cs="仿宋_GB2312"/>
          <w:kern w:val="0"/>
          <w:sz w:val="32"/>
          <w:szCs w:val="32"/>
        </w:rPr>
        <w:t>履行</w:t>
      </w:r>
      <w:r>
        <w:rPr>
          <w:rFonts w:hint="eastAsia" w:ascii="仿宋_GB2312" w:hAnsi="仿宋_GB2312" w:eastAsia="仿宋_GB2312" w:cs="仿宋_GB2312"/>
          <w:kern w:val="0"/>
          <w:sz w:val="32"/>
          <w:szCs w:val="32"/>
          <w:lang w:eastAsia="zh-CN"/>
        </w:rPr>
        <w:t>区</w:t>
      </w:r>
      <w:r>
        <w:rPr>
          <w:rFonts w:hint="eastAsia" w:ascii="仿宋_GB2312" w:hAnsi="仿宋_GB2312" w:eastAsia="仿宋_GB2312" w:cs="仿宋_GB2312"/>
          <w:kern w:val="0"/>
          <w:sz w:val="32"/>
          <w:szCs w:val="32"/>
        </w:rPr>
        <w:t>农业局作为</w:t>
      </w:r>
      <w:r>
        <w:rPr>
          <w:rFonts w:hint="eastAsia" w:ascii="仿宋_GB2312" w:hAnsi="仿宋_GB2312" w:eastAsia="仿宋_GB2312" w:cs="仿宋_GB2312"/>
          <w:kern w:val="0"/>
          <w:sz w:val="32"/>
          <w:szCs w:val="32"/>
          <w:lang w:eastAsia="zh-CN"/>
        </w:rPr>
        <w:t>盘龙区</w:t>
      </w:r>
      <w:r>
        <w:rPr>
          <w:rFonts w:hint="eastAsia" w:ascii="仿宋_GB2312" w:hAnsi="仿宋_GB2312" w:eastAsia="仿宋_GB2312" w:cs="仿宋_GB2312"/>
          <w:kern w:val="0"/>
          <w:sz w:val="32"/>
          <w:szCs w:val="32"/>
        </w:rPr>
        <w:t>主管农业农村经济工作的基本职能，预算金额</w:t>
      </w:r>
      <w:r>
        <w:rPr>
          <w:rFonts w:hint="eastAsia" w:ascii="仿宋_GB2312" w:hAnsi="仿宋_GB2312" w:eastAsia="仿宋_GB2312" w:cs="仿宋_GB2312"/>
          <w:kern w:val="0"/>
          <w:sz w:val="32"/>
          <w:szCs w:val="32"/>
          <w:lang w:val="en-US" w:eastAsia="zh-CN"/>
        </w:rPr>
        <w:t>932.94</w:t>
      </w:r>
      <w:r>
        <w:rPr>
          <w:rFonts w:hint="eastAsia" w:ascii="仿宋_GB2312" w:hAnsi="仿宋_GB2312" w:eastAsia="仿宋_GB2312" w:cs="仿宋_GB2312"/>
          <w:kern w:val="0"/>
          <w:sz w:val="32"/>
          <w:szCs w:val="32"/>
        </w:rPr>
        <w:t>万元。</w:t>
      </w:r>
    </w:p>
    <w:p>
      <w:pPr>
        <w:widowControl/>
        <w:topLinePunct/>
        <w:spacing w:line="520" w:lineRule="atLeast"/>
        <w:ind w:firstLine="525"/>
        <w:rPr>
          <w:rFonts w:hint="eastAsia" w:ascii="黑体" w:hAnsi="黑体" w:eastAsia="黑体" w:cs="宋体"/>
          <w:kern w:val="0"/>
          <w:sz w:val="32"/>
          <w:szCs w:val="32"/>
        </w:rPr>
      </w:pPr>
      <w:r>
        <w:rPr>
          <w:rFonts w:hint="eastAsia" w:ascii="楷体_GB2312" w:hAnsi="楷体_GB2312" w:eastAsia="楷体_GB2312" w:cs="楷体_GB2312"/>
          <w:sz w:val="32"/>
          <w:szCs w:val="32"/>
          <w:lang w:val="en-US" w:eastAsia="zh-CN"/>
        </w:rPr>
        <w:t xml:space="preserve"> </w:t>
      </w:r>
      <w:r>
        <w:rPr>
          <w:rFonts w:hint="eastAsia" w:ascii="黑体" w:hAnsi="黑体" w:eastAsia="黑体" w:cs="宋体"/>
          <w:kern w:val="0"/>
          <w:sz w:val="32"/>
          <w:szCs w:val="32"/>
        </w:rPr>
        <w:t>三、评价思路和过程</w:t>
      </w:r>
    </w:p>
    <w:p>
      <w:pPr>
        <w:widowControl/>
        <w:numPr>
          <w:ilvl w:val="0"/>
          <w:numId w:val="5"/>
        </w:numPr>
        <w:topLinePunct/>
        <w:spacing w:line="520" w:lineRule="atLeast"/>
        <w:ind w:firstLine="525"/>
        <w:rPr>
          <w:rFonts w:hint="eastAsia" w:ascii="楷体" w:hAnsi="楷体" w:eastAsia="楷体" w:cs="宋体"/>
          <w:kern w:val="0"/>
          <w:sz w:val="32"/>
          <w:szCs w:val="32"/>
        </w:rPr>
      </w:pPr>
      <w:r>
        <w:rPr>
          <w:rFonts w:hint="eastAsia" w:ascii="楷体" w:hAnsi="楷体" w:eastAsia="楷体" w:cs="宋体"/>
          <w:kern w:val="0"/>
          <w:sz w:val="32"/>
          <w:szCs w:val="32"/>
        </w:rPr>
        <w:t>评价思路</w:t>
      </w:r>
    </w:p>
    <w:p>
      <w:pPr>
        <w:widowControl/>
        <w:numPr>
          <w:ilvl w:val="0"/>
          <w:numId w:val="0"/>
        </w:numPr>
        <w:topLinePunct/>
        <w:spacing w:line="520" w:lineRule="atLeast"/>
        <w:rPr>
          <w:rFonts w:hint="eastAsia" w:ascii="仿宋_GB2312" w:hAnsi="Calibri" w:eastAsia="仿宋_GB2312" w:cs="宋体"/>
          <w:kern w:val="0"/>
          <w:sz w:val="32"/>
          <w:szCs w:val="32"/>
        </w:rPr>
      </w:pPr>
      <w:r>
        <w:rPr>
          <w:rFonts w:hint="eastAsia" w:ascii="仿宋_GB2312" w:eastAsia="仿宋_GB2312" w:cs="宋体"/>
          <w:kern w:val="0"/>
          <w:sz w:val="32"/>
          <w:szCs w:val="32"/>
          <w:lang w:val="en-US" w:eastAsia="zh-CN"/>
        </w:rPr>
        <w:t xml:space="preserve">    </w:t>
      </w:r>
      <w:r>
        <w:rPr>
          <w:rFonts w:hint="eastAsia" w:ascii="仿宋_GB2312" w:hAnsi="Calibri" w:eastAsia="仿宋_GB2312" w:cs="宋体"/>
          <w:kern w:val="0"/>
          <w:sz w:val="32"/>
          <w:szCs w:val="32"/>
        </w:rPr>
        <w:t>确认当年度部门整体支出的绩效目标→梳理部门内部管理制度及存量资源→分析确定当年度部门整体支出的评价重点→构建绩效评价指标体系。</w:t>
      </w:r>
    </w:p>
    <w:p>
      <w:pPr>
        <w:widowControl/>
        <w:numPr>
          <w:ilvl w:val="0"/>
          <w:numId w:val="5"/>
        </w:numPr>
        <w:adjustRightInd w:val="0"/>
        <w:spacing w:line="520" w:lineRule="atLeast"/>
        <w:ind w:firstLine="420" w:firstLineChars="0"/>
        <w:rPr>
          <w:rFonts w:hint="eastAsia" w:ascii="楷体" w:hAnsi="楷体" w:eastAsia="楷体" w:cs="宋体"/>
          <w:kern w:val="0"/>
          <w:sz w:val="32"/>
          <w:szCs w:val="32"/>
        </w:rPr>
      </w:pPr>
      <w:r>
        <w:rPr>
          <w:rFonts w:hint="eastAsia" w:ascii="楷体" w:hAnsi="楷体" w:eastAsia="楷体" w:cs="宋体"/>
          <w:kern w:val="0"/>
          <w:sz w:val="32"/>
          <w:szCs w:val="32"/>
        </w:rPr>
        <w:t>评价目的</w:t>
      </w:r>
    </w:p>
    <w:p>
      <w:pPr>
        <w:adjustRightInd w:val="0"/>
        <w:spacing w:line="560" w:lineRule="exact"/>
        <w:ind w:firstLine="640" w:firstLineChars="200"/>
        <w:rPr>
          <w:rFonts w:hint="eastAsia" w:ascii="仿宋_GB2312" w:hAnsi="Calibri" w:eastAsia="仿宋_GB2312" w:cs="宋体"/>
          <w:kern w:val="0"/>
          <w:sz w:val="32"/>
          <w:szCs w:val="32"/>
        </w:rPr>
      </w:pPr>
      <w:r>
        <w:rPr>
          <w:rFonts w:hint="eastAsia" w:ascii="仿宋_GB2312" w:hAnsi="Calibri" w:eastAsia="仿宋_GB2312" w:cs="宋体"/>
          <w:color w:val="000000"/>
          <w:kern w:val="0"/>
          <w:sz w:val="32"/>
          <w:szCs w:val="32"/>
        </w:rPr>
        <w:t>通过收集</w:t>
      </w:r>
      <w:r>
        <w:rPr>
          <w:rFonts w:hint="eastAsia" w:ascii="仿宋_GB2312" w:eastAsia="仿宋_GB2312" w:cs="宋体"/>
          <w:color w:val="000000"/>
          <w:kern w:val="0"/>
          <w:sz w:val="32"/>
          <w:szCs w:val="32"/>
          <w:lang w:eastAsia="zh-CN"/>
        </w:rPr>
        <w:t>部门</w:t>
      </w:r>
      <w:r>
        <w:rPr>
          <w:rFonts w:hint="eastAsia" w:ascii="仿宋_GB2312" w:hAnsi="Calibri" w:eastAsia="仿宋_GB2312" w:cs="宋体"/>
          <w:color w:val="000000"/>
          <w:kern w:val="0"/>
          <w:sz w:val="32"/>
          <w:szCs w:val="32"/>
        </w:rPr>
        <w:t>基本情况、预算制定与明细、部门中长期规划目标及组织架构等信息，分析部门资源配置的合理性及中长期规划目标完成与履职情况，</w:t>
      </w:r>
      <w:r>
        <w:rPr>
          <w:rFonts w:ascii="Times New Roman" w:hAnsi="Times New Roman" w:eastAsia="仿宋_GB2312"/>
          <w:sz w:val="32"/>
          <w:szCs w:val="32"/>
          <w:shd w:val="clear" w:color="auto" w:fill="FFFFFF"/>
        </w:rPr>
        <w:t>及时总结经验，改进管理措施，不断增强和落实绩效管理责任，完善工作机制，有效提高资金管理水平和使用效益，牢固树立“讲绩效、重绩效、用绩效”的绩效管理理念</w:t>
      </w:r>
      <w:r>
        <w:rPr>
          <w:rFonts w:hint="eastAsia" w:ascii="Times New Roman" w:hAnsi="Times New Roman" w:eastAsia="仿宋_GB2312"/>
          <w:sz w:val="32"/>
          <w:szCs w:val="32"/>
          <w:shd w:val="clear" w:color="auto" w:fill="FFFFFF"/>
          <w:lang w:eastAsia="zh-CN"/>
        </w:rPr>
        <w:t>。</w:t>
      </w:r>
    </w:p>
    <w:p>
      <w:pPr>
        <w:widowControl/>
        <w:numPr>
          <w:ilvl w:val="0"/>
          <w:numId w:val="5"/>
        </w:numPr>
        <w:topLinePunct/>
        <w:spacing w:line="520" w:lineRule="atLeast"/>
        <w:ind w:firstLine="525" w:firstLineChars="0"/>
        <w:rPr>
          <w:rFonts w:hint="eastAsia" w:ascii="楷体" w:hAnsi="楷体" w:eastAsia="楷体" w:cs="宋体"/>
          <w:kern w:val="0"/>
          <w:sz w:val="32"/>
          <w:szCs w:val="32"/>
        </w:rPr>
      </w:pPr>
      <w:r>
        <w:rPr>
          <w:rFonts w:hint="eastAsia" w:ascii="楷体" w:hAnsi="楷体" w:eastAsia="楷体" w:cs="宋体"/>
          <w:kern w:val="0"/>
          <w:sz w:val="32"/>
          <w:szCs w:val="32"/>
        </w:rPr>
        <w:t>评价依据。</w:t>
      </w:r>
    </w:p>
    <w:p>
      <w:pPr>
        <w:spacing w:line="560" w:lineRule="exact"/>
        <w:ind w:firstLine="640" w:firstLineChars="200"/>
        <w:rPr>
          <w:rFonts w:hint="eastAsia" w:ascii="楷体" w:hAnsi="楷体" w:eastAsia="楷体" w:cs="宋体"/>
          <w:kern w:val="0"/>
          <w:sz w:val="32"/>
          <w:szCs w:val="32"/>
          <w:lang w:val="en-US" w:eastAsia="zh-CN"/>
        </w:rPr>
      </w:pPr>
      <w:r>
        <w:rPr>
          <w:rFonts w:ascii="Times New Roman" w:hAnsi="Times New Roman" w:eastAsia="仿宋_GB2312"/>
          <w:sz w:val="32"/>
          <w:szCs w:val="32"/>
        </w:rPr>
        <w:t>盘龙区区级部门预算绩效自评管理暂行办法。</w:t>
      </w:r>
    </w:p>
    <w:p>
      <w:pPr>
        <w:widowControl/>
        <w:numPr>
          <w:ilvl w:val="0"/>
          <w:numId w:val="5"/>
        </w:numPr>
        <w:topLinePunct/>
        <w:spacing w:line="520" w:lineRule="atLeast"/>
        <w:ind w:firstLine="525" w:firstLineChars="0"/>
        <w:rPr>
          <w:rFonts w:hint="eastAsia" w:ascii="楷体" w:hAnsi="楷体" w:eastAsia="楷体" w:cs="宋体"/>
          <w:kern w:val="0"/>
          <w:sz w:val="32"/>
          <w:szCs w:val="32"/>
        </w:rPr>
      </w:pPr>
      <w:r>
        <w:rPr>
          <w:rFonts w:hint="eastAsia" w:ascii="楷体" w:hAnsi="楷体" w:eastAsia="楷体" w:cs="宋体"/>
          <w:kern w:val="0"/>
          <w:sz w:val="32"/>
          <w:szCs w:val="32"/>
        </w:rPr>
        <w:t>评价对象及评价时段。</w:t>
      </w:r>
    </w:p>
    <w:p>
      <w:pPr>
        <w:spacing w:line="560" w:lineRule="exact"/>
        <w:ind w:firstLine="640" w:firstLineChars="200"/>
        <w:rPr>
          <w:rFonts w:hint="eastAsia" w:ascii="楷体" w:hAnsi="楷体" w:eastAsia="楷体" w:cs="宋体"/>
          <w:kern w:val="0"/>
          <w:sz w:val="32"/>
          <w:szCs w:val="32"/>
          <w:lang w:val="en-US" w:eastAsia="zh-CN"/>
        </w:rPr>
      </w:pPr>
      <w:r>
        <w:rPr>
          <w:rFonts w:hint="eastAsia" w:ascii="楷体" w:hAnsi="楷体" w:eastAsia="楷体" w:cs="宋体"/>
          <w:kern w:val="0"/>
          <w:sz w:val="32"/>
          <w:szCs w:val="32"/>
          <w:lang w:val="en-US" w:eastAsia="zh-CN"/>
        </w:rPr>
        <w:t xml:space="preserve"> </w:t>
      </w:r>
      <w:r>
        <w:rPr>
          <w:rFonts w:ascii="Times New Roman" w:hAnsi="Times New Roman" w:eastAsia="仿宋_GB2312"/>
          <w:sz w:val="32"/>
          <w:szCs w:val="32"/>
        </w:rPr>
        <w:t>20</w:t>
      </w:r>
      <w:r>
        <w:rPr>
          <w:rFonts w:hint="eastAsia" w:ascii="Times New Roman" w:hAnsi="Times New Roman" w:eastAsia="仿宋_GB2312"/>
          <w:sz w:val="32"/>
          <w:szCs w:val="32"/>
          <w:lang w:val="en-US" w:eastAsia="zh-CN"/>
        </w:rPr>
        <w:t>20</w:t>
      </w:r>
      <w:r>
        <w:rPr>
          <w:rFonts w:ascii="Times New Roman" w:hAnsi="Times New Roman" w:eastAsia="仿宋_GB2312"/>
          <w:sz w:val="32"/>
          <w:szCs w:val="32"/>
        </w:rPr>
        <w:t>年1月1日至12月31日，昆明市盘龙区</w:t>
      </w:r>
      <w:r>
        <w:rPr>
          <w:rFonts w:hint="eastAsia" w:ascii="Times New Roman" w:hAnsi="Times New Roman" w:eastAsia="仿宋_GB2312"/>
          <w:sz w:val="32"/>
          <w:szCs w:val="32"/>
          <w:lang w:eastAsia="zh-CN"/>
        </w:rPr>
        <w:t>农业农村局</w:t>
      </w:r>
      <w:r>
        <w:rPr>
          <w:rFonts w:ascii="Times New Roman" w:hAnsi="Times New Roman" w:eastAsia="仿宋_GB2312"/>
          <w:sz w:val="32"/>
          <w:szCs w:val="32"/>
        </w:rPr>
        <w:t>部门整体支出情况。</w:t>
      </w:r>
    </w:p>
    <w:p>
      <w:pPr>
        <w:widowControl/>
        <w:topLinePunct/>
        <w:spacing w:line="520" w:lineRule="atLeast"/>
        <w:ind w:firstLine="525"/>
        <w:rPr>
          <w:rFonts w:hint="eastAsia" w:ascii="黑体" w:hAnsi="黑体" w:eastAsia="黑体" w:cs="宋体"/>
          <w:kern w:val="0"/>
          <w:sz w:val="32"/>
          <w:szCs w:val="32"/>
        </w:rPr>
      </w:pPr>
      <w:r>
        <w:rPr>
          <w:rFonts w:hint="eastAsia" w:ascii="黑体" w:hAnsi="黑体" w:eastAsia="黑体" w:cs="宋体"/>
          <w:kern w:val="0"/>
          <w:sz w:val="32"/>
          <w:szCs w:val="32"/>
        </w:rPr>
        <w:t>四、评价结论和绩效分析</w:t>
      </w:r>
    </w:p>
    <w:p>
      <w:pPr>
        <w:widowControl/>
        <w:topLinePunct/>
        <w:spacing w:line="520" w:lineRule="atLeast"/>
        <w:ind w:firstLine="525"/>
        <w:rPr>
          <w:rFonts w:hint="eastAsia" w:ascii="楷体" w:hAnsi="楷体" w:eastAsia="楷体" w:cs="宋体"/>
          <w:kern w:val="0"/>
          <w:sz w:val="32"/>
          <w:szCs w:val="32"/>
        </w:rPr>
      </w:pPr>
      <w:r>
        <w:rPr>
          <w:rFonts w:hint="eastAsia" w:ascii="楷体" w:hAnsi="楷体" w:eastAsia="楷体" w:cs="宋体"/>
          <w:kern w:val="0"/>
          <w:sz w:val="32"/>
          <w:szCs w:val="32"/>
        </w:rPr>
        <w:t>（一）评价结论</w:t>
      </w:r>
    </w:p>
    <w:p>
      <w:pPr>
        <w:widowControl/>
        <w:topLinePunct/>
        <w:spacing w:line="520" w:lineRule="atLeast"/>
        <w:ind w:firstLine="525"/>
        <w:rPr>
          <w:rFonts w:hint="eastAsia" w:ascii="仿宋" w:hAnsi="仿宋" w:eastAsia="仿宋" w:cs="宋体"/>
          <w:kern w:val="0"/>
          <w:sz w:val="32"/>
          <w:szCs w:val="32"/>
        </w:rPr>
      </w:pPr>
      <w:r>
        <w:rPr>
          <w:rFonts w:hint="eastAsia" w:ascii="仿宋" w:hAnsi="仿宋" w:eastAsia="仿宋" w:cs="宋体"/>
          <w:kern w:val="0"/>
          <w:sz w:val="32"/>
          <w:szCs w:val="32"/>
        </w:rPr>
        <w:t>1.评价结果</w:t>
      </w:r>
    </w:p>
    <w:p>
      <w:pPr>
        <w:widowControl/>
        <w:topLinePunct/>
        <w:spacing w:line="520" w:lineRule="atLeast"/>
        <w:ind w:firstLine="525"/>
        <w:rPr>
          <w:rFonts w:hint="eastAsia" w:ascii="仿宋" w:hAnsi="仿宋" w:eastAsia="仿宋" w:cs="宋体"/>
          <w:kern w:val="0"/>
          <w:sz w:val="32"/>
          <w:szCs w:val="32"/>
        </w:rPr>
      </w:pPr>
      <w:r>
        <w:rPr>
          <w:rFonts w:hint="eastAsia" w:ascii="仿宋_GB2312" w:hAnsi="宋体" w:eastAsia="仿宋_GB2312" w:cs="宋体"/>
          <w:kern w:val="0"/>
          <w:sz w:val="32"/>
          <w:szCs w:val="32"/>
        </w:rPr>
        <w:t>通过实施整体支出绩效自评，我局顺利完成各项工作与年初设立的阶段绩效目标，各项指标顺利完成。整体支出绩效根据我局20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年工作计划安排，各工作由各处室负责具体实施。按照党政机关工作的惯例，结合工作的实效性，合理安排支出进度和支出项目，加强资金使用管理，支出依据合规，无虚列项目支出情况；无截留挤占挪用情况，无超标准开支情况，无超预算情况。各项支出实施达到预期目标。经评价，昆明市</w:t>
      </w:r>
      <w:r>
        <w:rPr>
          <w:rFonts w:hint="eastAsia" w:ascii="仿宋_GB2312" w:hAnsi="宋体" w:eastAsia="仿宋_GB2312" w:cs="宋体"/>
          <w:kern w:val="0"/>
          <w:sz w:val="32"/>
          <w:szCs w:val="32"/>
          <w:lang w:eastAsia="zh-CN"/>
        </w:rPr>
        <w:t>盘龙区</w:t>
      </w:r>
      <w:r>
        <w:rPr>
          <w:rFonts w:hint="eastAsia" w:ascii="仿宋_GB2312" w:hAnsi="宋体" w:eastAsia="仿宋_GB2312" w:cs="宋体"/>
          <w:kern w:val="0"/>
          <w:sz w:val="32"/>
          <w:szCs w:val="32"/>
        </w:rPr>
        <w:t>农业农村局2</w:t>
      </w:r>
      <w:r>
        <w:rPr>
          <w:rFonts w:hint="eastAsia" w:ascii="仿宋_GB2312" w:hAnsi="宋体" w:eastAsia="仿宋_GB2312" w:cs="宋体"/>
          <w:kern w:val="0"/>
          <w:sz w:val="32"/>
          <w:szCs w:val="32"/>
          <w:lang w:val="en-US" w:eastAsia="zh-CN"/>
        </w:rPr>
        <w:t>020</w:t>
      </w:r>
      <w:r>
        <w:rPr>
          <w:rFonts w:hint="eastAsia" w:ascii="仿宋_GB2312" w:hAnsi="宋体" w:eastAsia="仿宋_GB2312" w:cs="宋体"/>
          <w:kern w:val="0"/>
          <w:sz w:val="32"/>
          <w:szCs w:val="32"/>
        </w:rPr>
        <w:t>年度财政预算资金部门整体支出绩效评价综合得分为94分，评定等级为“优”。具体评分详见后附评分表</w:t>
      </w:r>
      <w:r>
        <w:rPr>
          <w:rFonts w:hint="eastAsia" w:ascii="仿宋_GB2312" w:hAnsi="宋体" w:eastAsia="仿宋_GB2312" w:cs="宋体"/>
          <w:kern w:val="0"/>
          <w:sz w:val="32"/>
          <w:szCs w:val="32"/>
          <w:lang w:eastAsia="zh-CN"/>
        </w:rPr>
        <w:t>。</w:t>
      </w:r>
    </w:p>
    <w:p>
      <w:pPr>
        <w:widowControl/>
        <w:numPr>
          <w:ilvl w:val="0"/>
          <w:numId w:val="6"/>
        </w:numPr>
        <w:topLinePunct/>
        <w:spacing w:line="520" w:lineRule="atLeast"/>
        <w:ind w:firstLine="525"/>
        <w:rPr>
          <w:rFonts w:hint="eastAsia" w:ascii="仿宋" w:hAnsi="仿宋" w:eastAsia="仿宋" w:cs="宋体"/>
          <w:kern w:val="0"/>
          <w:sz w:val="32"/>
          <w:szCs w:val="32"/>
        </w:rPr>
      </w:pPr>
      <w:r>
        <w:rPr>
          <w:rFonts w:hint="eastAsia" w:ascii="仿宋" w:hAnsi="仿宋" w:eastAsia="仿宋" w:cs="宋体"/>
          <w:kern w:val="0"/>
          <w:sz w:val="32"/>
          <w:szCs w:val="32"/>
        </w:rPr>
        <w:t>主要绩效。</w:t>
      </w:r>
    </w:p>
    <w:p>
      <w:pPr>
        <w:widowControl w:val="0"/>
        <w:wordWrap/>
        <w:adjustRightInd/>
        <w:snapToGrid/>
        <w:spacing w:line="560" w:lineRule="exact"/>
        <w:ind w:right="0"/>
        <w:jc w:val="both"/>
        <w:textAlignment w:val="auto"/>
        <w:outlineLvl w:val="9"/>
        <w:rPr>
          <w:rFonts w:ascii="宋体" w:hAnsi="宋体" w:eastAsia="宋体" w:cs="宋体"/>
          <w:kern w:val="0"/>
          <w:sz w:val="32"/>
          <w:szCs w:val="32"/>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（1）巩固稳定粮食产能。</w:t>
      </w:r>
      <w:r>
        <w:rPr>
          <w:rFonts w:hint="eastAsia" w:ascii="仿宋_GB2312" w:hAnsi="宋体" w:eastAsia="仿宋_GB2312" w:cs="宋体"/>
          <w:kern w:val="0"/>
          <w:sz w:val="32"/>
          <w:szCs w:val="32"/>
          <w:lang w:val="en-US" w:eastAsia="zh-CN"/>
        </w:rPr>
        <w:t xml:space="preserve"> 一</w:t>
      </w:r>
      <w:r>
        <w:rPr>
          <w:rFonts w:hint="eastAsia" w:ascii="仿宋_GB2312" w:hAnsi="宋体" w:eastAsia="仿宋_GB2312" w:cs="宋体"/>
          <w:kern w:val="0"/>
          <w:sz w:val="32"/>
          <w:szCs w:val="32"/>
        </w:rPr>
        <w:t>是开展高标准农田建设。</w:t>
      </w:r>
      <w:r>
        <w:rPr>
          <w:rFonts w:hint="eastAsia" w:ascii="仿宋_GB2312" w:hAnsi="宋体" w:eastAsia="仿宋_GB2312" w:cs="宋体"/>
          <w:kern w:val="0"/>
          <w:sz w:val="32"/>
          <w:szCs w:val="32"/>
          <w:lang w:eastAsia="zh-CN"/>
        </w:rPr>
        <w:t>二</w:t>
      </w:r>
      <w:r>
        <w:rPr>
          <w:rFonts w:hint="eastAsia" w:ascii="仿宋_GB2312" w:hAnsi="宋体" w:eastAsia="仿宋_GB2312" w:cs="宋体"/>
          <w:kern w:val="0"/>
          <w:sz w:val="32"/>
          <w:szCs w:val="32"/>
        </w:rPr>
        <w:t>是深入推进农业供给侧结构性改革，调减籽粒玉米面积，扩大青贮玉米、鲜食玉米面积。</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rPr>
        <w:t>是抓好草地贪夜蛾的防治，加强培训，开展技术指导。</w:t>
      </w:r>
      <w:r>
        <w:rPr>
          <w:rFonts w:hint="eastAsia" w:ascii="仿宋_GB2312" w:hAnsi="仿宋_GB2312" w:eastAsia="仿宋_GB2312" w:cs="仿宋_GB2312"/>
          <w:color w:val="auto"/>
          <w:sz w:val="32"/>
          <w:szCs w:val="40"/>
        </w:rPr>
        <w:t>2020年</w:t>
      </w:r>
      <w:r>
        <w:rPr>
          <w:rFonts w:hint="eastAsia" w:ascii="仿宋_GB2312" w:hAnsi="仿宋_GB2312" w:eastAsia="仿宋_GB2312" w:cs="仿宋_GB2312"/>
          <w:color w:val="auto"/>
          <w:sz w:val="32"/>
          <w:szCs w:val="40"/>
          <w:lang w:eastAsia="zh-CN"/>
        </w:rPr>
        <w:t>全区</w:t>
      </w:r>
      <w:r>
        <w:rPr>
          <w:rFonts w:hint="eastAsia" w:ascii="仿宋_GB2312" w:hAnsi="仿宋_GB2312" w:eastAsia="仿宋_GB2312" w:cs="仿宋_GB2312"/>
          <w:color w:val="auto"/>
          <w:sz w:val="32"/>
          <w:szCs w:val="40"/>
        </w:rPr>
        <w:t>粮食作物收获13.92万亩，实现总产</w:t>
      </w:r>
      <w:r>
        <w:rPr>
          <w:rFonts w:hint="eastAsia" w:ascii="仿宋_GB2312" w:hAnsi="仿宋_GB2312" w:eastAsia="仿宋_GB2312" w:cs="仿宋_GB2312"/>
          <w:color w:val="auto"/>
          <w:sz w:val="32"/>
          <w:szCs w:val="40"/>
          <w:lang w:val="en-US" w:eastAsia="zh-CN"/>
        </w:rPr>
        <w:t>4.29万吨。</w:t>
      </w:r>
      <w:r>
        <w:rPr>
          <w:rFonts w:hint="eastAsia" w:ascii="仿宋_GB2312" w:hAnsi="仿宋_GB2312" w:eastAsia="仿宋_GB2312" w:cs="仿宋_GB2312"/>
          <w:color w:val="auto"/>
          <w:sz w:val="32"/>
          <w:szCs w:val="40"/>
        </w:rPr>
        <w:t>蔬菜</w:t>
      </w:r>
      <w:r>
        <w:rPr>
          <w:rFonts w:hint="eastAsia" w:ascii="仿宋_GB2312" w:hAnsi="仿宋_GB2312" w:eastAsia="仿宋_GB2312" w:cs="仿宋_GB2312"/>
          <w:color w:val="auto"/>
          <w:sz w:val="32"/>
          <w:szCs w:val="40"/>
          <w:lang w:eastAsia="zh-CN"/>
        </w:rPr>
        <w:t>种植</w:t>
      </w:r>
      <w:r>
        <w:rPr>
          <w:rFonts w:hint="eastAsia" w:ascii="仿宋_GB2312" w:hAnsi="仿宋_GB2312" w:eastAsia="仿宋_GB2312" w:cs="仿宋_GB2312"/>
          <w:color w:val="auto"/>
          <w:sz w:val="32"/>
          <w:szCs w:val="40"/>
          <w:lang w:val="en-US" w:eastAsia="zh-CN"/>
        </w:rPr>
        <w:t>4.5</w:t>
      </w:r>
      <w:r>
        <w:rPr>
          <w:rFonts w:hint="eastAsia" w:ascii="仿宋_GB2312" w:hAnsi="仿宋_GB2312" w:eastAsia="仿宋_GB2312" w:cs="仿宋_GB2312"/>
          <w:color w:val="auto"/>
          <w:sz w:val="32"/>
          <w:szCs w:val="40"/>
        </w:rPr>
        <w:t>万亩，单产2吨/亩，</w:t>
      </w:r>
      <w:r>
        <w:rPr>
          <w:rFonts w:hint="eastAsia" w:ascii="仿宋_GB2312" w:hAnsi="仿宋_GB2312" w:eastAsia="仿宋_GB2312" w:cs="仿宋_GB2312"/>
          <w:color w:val="auto"/>
          <w:sz w:val="32"/>
          <w:szCs w:val="40"/>
          <w:lang w:eastAsia="zh-CN"/>
        </w:rPr>
        <w:t>总产量</w:t>
      </w:r>
      <w:r>
        <w:rPr>
          <w:rFonts w:hint="eastAsia" w:ascii="仿宋_GB2312" w:hAnsi="仿宋_GB2312" w:eastAsia="仿宋_GB2312" w:cs="仿宋_GB2312"/>
          <w:color w:val="auto"/>
          <w:sz w:val="32"/>
          <w:szCs w:val="40"/>
          <w:lang w:val="en-US" w:eastAsia="zh-CN"/>
        </w:rPr>
        <w:t>9</w:t>
      </w:r>
      <w:r>
        <w:rPr>
          <w:rFonts w:hint="eastAsia" w:ascii="仿宋_GB2312" w:hAnsi="仿宋_GB2312" w:eastAsia="仿宋_GB2312" w:cs="仿宋_GB2312"/>
          <w:color w:val="auto"/>
          <w:sz w:val="32"/>
          <w:szCs w:val="40"/>
        </w:rPr>
        <w:t>万吨。种植烤烟2.12万亩，完成烟叶收购6.33万担，实现经济收入9138.34万元，税收2010.57万元以上。</w:t>
      </w:r>
    </w:p>
    <w:p>
      <w:pPr>
        <w:widowControl w:val="0"/>
        <w:wordWrap/>
        <w:adjustRightInd/>
        <w:snapToGrid/>
        <w:spacing w:line="560" w:lineRule="exact"/>
        <w:ind w:left="0" w:leftChars="0" w:right="0" w:firstLine="640" w:firstLineChars="200"/>
        <w:jc w:val="both"/>
        <w:textAlignment w:val="auto"/>
        <w:outlineLvl w:val="9"/>
        <w:rPr>
          <w:rFonts w:ascii="宋体" w:hAnsi="宋体" w:eastAsia="宋体" w:cs="宋体"/>
          <w:kern w:val="0"/>
          <w:sz w:val="32"/>
          <w:szCs w:val="32"/>
        </w:rPr>
      </w:pPr>
      <w:r>
        <w:rPr>
          <w:rFonts w:hint="eastAsia" w:ascii="仿宋_GB2312" w:hAnsi="宋体" w:eastAsia="仿宋_GB2312" w:cs="宋体"/>
          <w:kern w:val="0"/>
          <w:sz w:val="32"/>
          <w:szCs w:val="32"/>
        </w:rPr>
        <w:t>（2）稳定主要畜禽产品生产供应</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狠抓非洲猪瘟防控</w:t>
      </w:r>
      <w:r>
        <w:rPr>
          <w:rFonts w:hint="eastAsia" w:ascii="仿宋_GB2312" w:hAnsi="宋体" w:eastAsia="仿宋_GB2312" w:cs="宋体"/>
          <w:kern w:val="0"/>
          <w:sz w:val="32"/>
          <w:szCs w:val="32"/>
          <w:lang w:val="en-US" w:eastAsia="zh-CN"/>
        </w:rPr>
        <w:t xml:space="preserve"> 。</w:t>
      </w:r>
      <w:r>
        <w:rPr>
          <w:rFonts w:hint="eastAsia" w:ascii="仿宋_GB2312" w:hAnsi="仿宋_GB2312" w:eastAsia="仿宋_GB2312" w:cs="仿宋_GB2312"/>
          <w:color w:val="auto"/>
          <w:sz w:val="32"/>
          <w:szCs w:val="40"/>
        </w:rPr>
        <w:t>2020年三季度畜牧生产完成：肉类总产2182.1吨，其中牛肉产量123吨、猪肉产量1526.7吨、羊肉产量156.3吨、禽肉产量376.1吨；禽蛋产量732吨。畜牧业产值14582万元。</w:t>
      </w:r>
      <w:r>
        <w:rPr>
          <w:rFonts w:hint="eastAsia" w:ascii="仿宋_GB2312" w:hAnsi="宋体" w:eastAsia="仿宋_GB2312" w:cs="宋体"/>
          <w:kern w:val="0"/>
          <w:sz w:val="32"/>
          <w:szCs w:val="32"/>
          <w:lang w:val="en-US" w:eastAsia="zh-CN"/>
        </w:rPr>
        <w:t xml:space="preserve"> </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rPr>
        <w:t>）强化农业设施装备建设。一是推动农业机械化发展。落实好农机购机补贴政策，下拨昆明市购机补贴资金</w:t>
      </w:r>
      <w:r>
        <w:rPr>
          <w:rFonts w:hint="eastAsia" w:ascii="仿宋_GB2312" w:hAnsi="宋体" w:eastAsia="仿宋_GB2312" w:cs="宋体"/>
          <w:kern w:val="0"/>
          <w:sz w:val="32"/>
          <w:szCs w:val="32"/>
          <w:lang w:val="en-US" w:eastAsia="zh-CN"/>
        </w:rPr>
        <w:t>92</w:t>
      </w:r>
      <w:r>
        <w:rPr>
          <w:rFonts w:hint="eastAsia" w:ascii="仿宋_GB2312" w:hAnsi="宋体" w:eastAsia="仿宋_GB2312" w:cs="宋体"/>
          <w:kern w:val="0"/>
          <w:sz w:val="32"/>
          <w:szCs w:val="32"/>
        </w:rPr>
        <w:t>万元。做好春耕备耕及三夏的准备和服务保障工作，开展精量播种、机械深松、节水灌溉等新技术的示范推广。二是狠抓安全生产。构建安全生产管理体系，落实安全生产责任，开展4次安全生产检查。农机安全、农机事故三项指标（事故率、重伤率、死亡率）均控制在4%、3%、2%以内。</w:t>
      </w:r>
      <w:r>
        <w:rPr>
          <w:rFonts w:hint="eastAsia" w:ascii="仿宋_GB2312" w:hAnsi="宋体" w:eastAsia="仿宋_GB2312" w:cs="宋体"/>
          <w:kern w:val="0"/>
          <w:sz w:val="32"/>
          <w:szCs w:val="32"/>
          <w:lang w:val="en-US" w:eastAsia="zh-CN"/>
        </w:rPr>
        <w:t xml:space="preserve"> </w:t>
      </w:r>
    </w:p>
    <w:p>
      <w:pPr>
        <w:widowControl/>
        <w:spacing w:line="288" w:lineRule="atLeast"/>
        <w:ind w:firstLine="384"/>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rPr>
        <w:t>）农业科技投入持续强化。一是建设现代农业产业技术体系。病虫害防治和新技术试验示范，进一步促进科学实验站步入领先的推广试验前列。二是大力开展农业科技推广。做好基层农技推广补助项目，继续加强村级农技推广体系建设</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培育新型职业农民200</w:t>
      </w:r>
      <w:r>
        <w:rPr>
          <w:rFonts w:hint="eastAsia" w:ascii="仿宋_GB2312" w:hAnsi="宋体" w:eastAsia="仿宋_GB2312" w:cs="宋体"/>
          <w:kern w:val="0"/>
          <w:sz w:val="32"/>
          <w:szCs w:val="32"/>
          <w:lang w:eastAsia="zh-CN"/>
        </w:rPr>
        <w:t>余</w:t>
      </w:r>
      <w:r>
        <w:rPr>
          <w:rFonts w:hint="eastAsia" w:ascii="仿宋_GB2312" w:hAnsi="宋体" w:eastAsia="仿宋_GB2312" w:cs="宋体"/>
          <w:kern w:val="0"/>
          <w:sz w:val="32"/>
          <w:szCs w:val="32"/>
        </w:rPr>
        <w:t>人。</w:t>
      </w:r>
      <w:r>
        <w:rPr>
          <w:rFonts w:hint="eastAsia" w:ascii="仿宋_GB2312" w:hAnsi="宋体" w:eastAsia="仿宋_GB2312" w:cs="宋体"/>
          <w:kern w:val="0"/>
          <w:sz w:val="32"/>
          <w:szCs w:val="32"/>
          <w:lang w:val="en-US" w:eastAsia="zh-CN"/>
        </w:rPr>
        <w:t xml:space="preserve"> </w:t>
      </w:r>
    </w:p>
    <w:p>
      <w:pPr>
        <w:widowControl w:val="0"/>
        <w:wordWrap/>
        <w:adjustRightInd/>
        <w:snapToGrid/>
        <w:spacing w:line="560" w:lineRule="exact"/>
        <w:ind w:left="0" w:leftChars="0" w:right="0" w:firstLine="640" w:firstLineChars="200"/>
        <w:jc w:val="both"/>
        <w:textAlignment w:val="auto"/>
        <w:outlineLvl w:val="9"/>
        <w:rPr>
          <w:rFonts w:hint="eastAsia" w:ascii="仿宋" w:hAnsi="仿宋" w:eastAsia="仿宋" w:cs="宋体"/>
          <w:kern w:val="0"/>
          <w:sz w:val="32"/>
          <w:szCs w:val="32"/>
          <w:lang w:val="en-US" w:eastAsia="zh-CN"/>
        </w:rPr>
      </w:pP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 xml:space="preserve"> 大力发展林业生态保护。一是</w:t>
      </w:r>
      <w:r>
        <w:rPr>
          <w:rFonts w:hint="eastAsia" w:ascii="仿宋_GB2312" w:hAnsi="仿宋_GB2312" w:eastAsia="仿宋_GB2312" w:cs="仿宋_GB2312"/>
          <w:b w:val="0"/>
          <w:bCs w:val="0"/>
          <w:color w:val="auto"/>
          <w:sz w:val="32"/>
          <w:szCs w:val="40"/>
        </w:rPr>
        <w:t>抓好森林资源管理。</w:t>
      </w:r>
      <w:r>
        <w:rPr>
          <w:rFonts w:hint="eastAsia" w:ascii="仿宋_GB2312" w:hAnsi="仿宋_GB2312" w:eastAsia="仿宋_GB2312" w:cs="仿宋_GB2312"/>
          <w:color w:val="auto"/>
          <w:sz w:val="32"/>
          <w:szCs w:val="40"/>
        </w:rPr>
        <w:t>完成142个涉嫌违法图斑查处</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rPr>
        <w:t>整改</w:t>
      </w:r>
      <w:r>
        <w:rPr>
          <w:rFonts w:hint="eastAsia" w:ascii="仿宋_GB2312" w:hAnsi="仿宋_GB2312" w:eastAsia="仿宋_GB2312" w:cs="仿宋_GB2312"/>
          <w:color w:val="auto"/>
          <w:sz w:val="32"/>
          <w:szCs w:val="40"/>
          <w:lang w:eastAsia="zh-CN"/>
        </w:rPr>
        <w:t>工作</w:t>
      </w:r>
      <w:r>
        <w:rPr>
          <w:rFonts w:hint="eastAsia" w:ascii="仿宋_GB2312" w:hAnsi="仿宋_GB2312" w:eastAsia="仿宋_GB2312" w:cs="仿宋_GB2312"/>
          <w:color w:val="auto"/>
          <w:sz w:val="32"/>
          <w:szCs w:val="40"/>
        </w:rPr>
        <w:t>；做好非法侵占林地</w:t>
      </w:r>
      <w:r>
        <w:rPr>
          <w:rFonts w:hint="eastAsia" w:ascii="仿宋_GB2312" w:hAnsi="仿宋_GB2312" w:eastAsia="仿宋_GB2312" w:cs="仿宋_GB2312"/>
          <w:color w:val="auto"/>
          <w:sz w:val="32"/>
          <w:szCs w:val="40"/>
          <w:lang w:eastAsia="zh-CN"/>
        </w:rPr>
        <w:t>等</w:t>
      </w:r>
      <w:r>
        <w:rPr>
          <w:rFonts w:hint="eastAsia" w:ascii="仿宋_GB2312" w:hAnsi="仿宋_GB2312" w:eastAsia="仿宋_GB2312" w:cs="仿宋_GB2312"/>
          <w:color w:val="auto"/>
          <w:sz w:val="32"/>
          <w:szCs w:val="40"/>
        </w:rPr>
        <w:t>611个疑似图斑专项整治工作；开展2020年森林督查68个疑似图斑的查处、整改工作。做好盘龙区“十四五”森林采伐限额编制、盘龙区“十四五”林业和草原发展规划编制、盘龙区湿地保护与修复规划（2020-2025）及野鸭湖湿地保护小区建设方案编制工作。</w:t>
      </w:r>
      <w:r>
        <w:rPr>
          <w:rFonts w:hint="eastAsia" w:ascii="仿宋_GB2312" w:hAnsi="仿宋_GB2312" w:eastAsia="仿宋_GB2312" w:cs="仿宋_GB2312"/>
          <w:color w:val="auto"/>
          <w:sz w:val="32"/>
          <w:szCs w:val="40"/>
          <w:lang w:eastAsia="zh-CN"/>
        </w:rPr>
        <w:t>二是</w:t>
      </w:r>
      <w:r>
        <w:rPr>
          <w:rFonts w:hint="eastAsia" w:ascii="仿宋_GB2312" w:hAnsi="仿宋_GB2312" w:eastAsia="仿宋_GB2312" w:cs="仿宋_GB2312"/>
          <w:b w:val="0"/>
          <w:bCs w:val="0"/>
          <w:color w:val="auto"/>
          <w:sz w:val="32"/>
          <w:szCs w:val="40"/>
        </w:rPr>
        <w:t>做好农改林土地整治工作</w:t>
      </w:r>
      <w:r>
        <w:rPr>
          <w:rFonts w:hint="eastAsia" w:ascii="仿宋_GB2312" w:hAnsi="仿宋_GB2312" w:eastAsia="仿宋_GB2312" w:cs="仿宋_GB2312"/>
          <w:b/>
          <w:bCs/>
          <w:color w:val="auto"/>
          <w:sz w:val="32"/>
          <w:szCs w:val="40"/>
        </w:rPr>
        <w:t>。</w:t>
      </w:r>
      <w:r>
        <w:rPr>
          <w:rFonts w:hint="eastAsia" w:ascii="仿宋_GB2312" w:hAnsi="仿宋_GB2312" w:eastAsia="仿宋_GB2312" w:cs="仿宋_GB2312"/>
          <w:color w:val="auto"/>
          <w:sz w:val="32"/>
          <w:szCs w:val="40"/>
        </w:rPr>
        <w:t>建立“一案一档” 127宗，建档完成率100%。占用“农改林”建设公益性设施建立“一案一档”43宗，建档完成率100%</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rPr>
        <w:t>整治占用“农改林”建房问题共累计4宗。整治占用“农改林”复耕问题</w:t>
      </w:r>
      <w:r>
        <w:rPr>
          <w:rFonts w:hint="eastAsia" w:ascii="仿宋_GB2312" w:hAnsi="仿宋_GB2312" w:eastAsia="仿宋_GB2312" w:cs="仿宋_GB2312"/>
          <w:color w:val="auto"/>
          <w:sz w:val="32"/>
          <w:szCs w:val="40"/>
          <w:lang w:eastAsia="zh-CN"/>
        </w:rPr>
        <w:t>，完成</w:t>
      </w:r>
      <w:r>
        <w:rPr>
          <w:rFonts w:hint="eastAsia" w:ascii="仿宋_GB2312" w:hAnsi="仿宋_GB2312" w:eastAsia="仿宋_GB2312" w:cs="仿宋_GB2312"/>
          <w:color w:val="auto"/>
          <w:sz w:val="32"/>
          <w:szCs w:val="40"/>
        </w:rPr>
        <w:t>勘测</w:t>
      </w:r>
      <w:r>
        <w:rPr>
          <w:rFonts w:hint="eastAsia" w:ascii="仿宋_GB2312" w:hAnsi="仿宋_GB2312" w:eastAsia="仿宋_GB2312" w:cs="仿宋_GB2312"/>
          <w:color w:val="auto"/>
          <w:sz w:val="32"/>
          <w:szCs w:val="40"/>
          <w:lang w:eastAsia="zh-CN"/>
        </w:rPr>
        <w:t>定界</w:t>
      </w:r>
      <w:r>
        <w:rPr>
          <w:rFonts w:hint="eastAsia" w:ascii="仿宋_GB2312" w:hAnsi="仿宋_GB2312" w:eastAsia="仿宋_GB2312" w:cs="仿宋_GB2312"/>
          <w:color w:val="auto"/>
          <w:sz w:val="32"/>
          <w:szCs w:val="40"/>
        </w:rPr>
        <w:t>。</w:t>
      </w:r>
    </w:p>
    <w:p>
      <w:pPr>
        <w:widowControl/>
        <w:spacing w:line="444" w:lineRule="atLeast"/>
        <w:ind w:firstLine="504"/>
        <w:rPr>
          <w:rFonts w:hint="eastAsia" w:ascii="楷体" w:hAnsi="楷体" w:eastAsia="楷体" w:cs="宋体"/>
          <w:kern w:val="0"/>
          <w:sz w:val="32"/>
          <w:szCs w:val="32"/>
        </w:rPr>
      </w:pPr>
      <w:r>
        <w:rPr>
          <w:rFonts w:hint="eastAsia" w:ascii="楷体" w:hAnsi="楷体" w:eastAsia="楷体" w:cs="宋体"/>
          <w:kern w:val="0"/>
          <w:sz w:val="32"/>
          <w:szCs w:val="32"/>
        </w:rPr>
        <w:t>（二）具体绩效分析</w:t>
      </w:r>
    </w:p>
    <w:p>
      <w:pPr>
        <w:widowControl/>
        <w:spacing w:line="444" w:lineRule="atLeast"/>
        <w:ind w:firstLine="504"/>
        <w:rPr>
          <w:rFonts w:ascii="宋体" w:hAnsi="宋体" w:eastAsia="宋体" w:cs="宋体"/>
          <w:kern w:val="0"/>
          <w:sz w:val="32"/>
          <w:szCs w:val="32"/>
        </w:rPr>
      </w:pPr>
      <w:r>
        <w:rPr>
          <w:rFonts w:hint="eastAsia" w:ascii="仿宋_GB2312" w:hAnsi="宋体" w:eastAsia="仿宋_GB2312" w:cs="宋体"/>
          <w:kern w:val="0"/>
          <w:sz w:val="32"/>
          <w:szCs w:val="32"/>
        </w:rPr>
        <w:t>1.经济性分析</w:t>
      </w:r>
    </w:p>
    <w:p>
      <w:pPr>
        <w:widowControl/>
        <w:spacing w:line="360" w:lineRule="atLeast"/>
        <w:ind w:firstLine="516"/>
        <w:rPr>
          <w:rFonts w:ascii="宋体" w:hAnsi="宋体" w:eastAsia="宋体" w:cs="宋体"/>
          <w:kern w:val="0"/>
          <w:sz w:val="32"/>
          <w:szCs w:val="32"/>
        </w:rPr>
      </w:pPr>
      <w:r>
        <w:rPr>
          <w:rFonts w:hint="eastAsia" w:ascii="仿宋_GB2312" w:hAnsi="宋体" w:eastAsia="仿宋_GB2312" w:cs="宋体"/>
          <w:kern w:val="0"/>
          <w:sz w:val="32"/>
          <w:szCs w:val="32"/>
        </w:rPr>
        <w:t>（1）成本（预算）控制情况</w:t>
      </w:r>
    </w:p>
    <w:p>
      <w:pPr>
        <w:widowControl/>
        <w:spacing w:line="360" w:lineRule="atLeast"/>
        <w:ind w:firstLine="516"/>
        <w:rPr>
          <w:rFonts w:ascii="宋体" w:hAnsi="宋体" w:eastAsia="宋体" w:cs="宋体"/>
          <w:kern w:val="0"/>
          <w:sz w:val="32"/>
          <w:szCs w:val="32"/>
        </w:rPr>
      </w:pPr>
      <w:r>
        <w:rPr>
          <w:rFonts w:hint="eastAsia" w:ascii="仿宋_GB2312" w:hAnsi="宋体" w:eastAsia="仿宋_GB2312" w:cs="宋体"/>
          <w:kern w:val="0"/>
          <w:sz w:val="32"/>
          <w:szCs w:val="32"/>
        </w:rPr>
        <w:t>对于基本支出中的工资福利支出（人员支出）和对个人和家庭的补助支出按照实际在编人员及进度均衡支付；对于商品及服务支出（公用支出）按照下达的预算执行，实现内部报告审批制度，实时监控支出情况；对于项目支出的经费使用情况进行监督检查，超过金额规定的支出委托政府采购中心或有政府采购资质的代理机构采购。</w:t>
      </w:r>
    </w:p>
    <w:p>
      <w:pPr>
        <w:widowControl/>
        <w:spacing w:line="360" w:lineRule="atLeast"/>
        <w:ind w:firstLine="516"/>
        <w:rPr>
          <w:rFonts w:ascii="宋体" w:hAnsi="宋体" w:eastAsia="宋体" w:cs="宋体"/>
          <w:kern w:val="0"/>
          <w:sz w:val="32"/>
          <w:szCs w:val="32"/>
        </w:rPr>
      </w:pPr>
      <w:r>
        <w:rPr>
          <w:rFonts w:hint="eastAsia" w:ascii="仿宋_GB2312" w:hAnsi="宋体" w:eastAsia="仿宋_GB2312" w:cs="宋体"/>
          <w:kern w:val="0"/>
          <w:sz w:val="32"/>
          <w:szCs w:val="32"/>
        </w:rPr>
        <w:t>（2）预决算结余情况</w:t>
      </w:r>
    </w:p>
    <w:p>
      <w:pPr>
        <w:widowControl/>
        <w:spacing w:line="360" w:lineRule="atLeast"/>
        <w:ind w:firstLine="636"/>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年局机关整体支出财政资金下达预算指标为</w:t>
      </w:r>
      <w:r>
        <w:rPr>
          <w:rFonts w:hint="eastAsia" w:ascii="仿宋_GB2312" w:hAnsi="宋体" w:eastAsia="仿宋_GB2312" w:cs="宋体"/>
          <w:kern w:val="0"/>
          <w:sz w:val="32"/>
          <w:szCs w:val="32"/>
          <w:lang w:val="en-US" w:eastAsia="zh-CN"/>
        </w:rPr>
        <w:t>925.45</w:t>
      </w:r>
      <w:r>
        <w:rPr>
          <w:rFonts w:hint="eastAsia" w:ascii="仿宋_GB2312" w:hAnsi="宋体" w:eastAsia="仿宋_GB2312" w:cs="宋体"/>
          <w:kern w:val="0"/>
          <w:sz w:val="32"/>
          <w:szCs w:val="32"/>
        </w:rPr>
        <w:t>万元，实际部门年度财政资金支出共计</w:t>
      </w:r>
      <w:r>
        <w:rPr>
          <w:rFonts w:hint="eastAsia" w:ascii="仿宋_GB2312" w:hAnsi="宋体" w:eastAsia="仿宋_GB2312" w:cs="宋体"/>
          <w:kern w:val="0"/>
          <w:sz w:val="32"/>
          <w:szCs w:val="32"/>
          <w:lang w:val="en-US" w:eastAsia="zh-CN"/>
        </w:rPr>
        <w:t>932.94</w:t>
      </w:r>
      <w:r>
        <w:rPr>
          <w:rFonts w:hint="eastAsia" w:ascii="仿宋_GB2312" w:hAnsi="宋体" w:eastAsia="仿宋_GB2312" w:cs="宋体"/>
          <w:kern w:val="0"/>
          <w:sz w:val="32"/>
          <w:szCs w:val="32"/>
        </w:rPr>
        <w:t>万元</w:t>
      </w:r>
      <w:r>
        <w:rPr>
          <w:rFonts w:hint="eastAsia" w:ascii="仿宋_GB2312" w:hAnsi="宋体" w:eastAsia="仿宋_GB2312" w:cs="宋体"/>
          <w:kern w:val="0"/>
          <w:sz w:val="32"/>
          <w:szCs w:val="32"/>
          <w:lang w:eastAsia="zh-CN"/>
        </w:rPr>
        <w:t>，主要原因是人员经费增加。</w:t>
      </w:r>
      <w:r>
        <w:rPr>
          <w:rFonts w:hint="eastAsia" w:ascii="仿宋_GB2312" w:hAnsi="宋体" w:eastAsia="仿宋_GB2312" w:cs="宋体"/>
          <w:kern w:val="0"/>
          <w:sz w:val="32"/>
          <w:szCs w:val="32"/>
          <w:lang w:val="en-US" w:eastAsia="zh-CN"/>
        </w:rPr>
        <w:t xml:space="preserve"> </w:t>
      </w:r>
    </w:p>
    <w:p>
      <w:pPr>
        <w:widowControl/>
        <w:spacing w:line="360" w:lineRule="atLeast"/>
        <w:ind w:firstLine="636"/>
        <w:rPr>
          <w:rFonts w:ascii="宋体" w:hAnsi="宋体" w:eastAsia="宋体" w:cs="宋体"/>
          <w:kern w:val="0"/>
          <w:sz w:val="32"/>
          <w:szCs w:val="32"/>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2.效率性分析</w:t>
      </w:r>
    </w:p>
    <w:p>
      <w:pPr>
        <w:widowControl/>
        <w:spacing w:line="360"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（1）实施进度</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20</w:t>
      </w:r>
      <w:r>
        <w:rPr>
          <w:rFonts w:hint="eastAsia" w:ascii="仿宋_GB2312" w:hAnsi="宋体" w:eastAsia="仿宋_GB2312" w:cs="宋体"/>
          <w:kern w:val="0"/>
          <w:sz w:val="32"/>
          <w:szCs w:val="32"/>
          <w:lang w:val="en-US" w:eastAsia="zh-CN"/>
        </w:rPr>
        <w:t>20</w:t>
      </w:r>
      <w:r>
        <w:rPr>
          <w:rFonts w:hint="eastAsia" w:ascii="仿宋_GB2312" w:hAnsi="宋体" w:eastAsia="仿宋_GB2312" w:cs="宋体"/>
          <w:kern w:val="0"/>
          <w:sz w:val="32"/>
          <w:szCs w:val="32"/>
        </w:rPr>
        <w:t>年</w:t>
      </w:r>
      <w:r>
        <w:rPr>
          <w:rFonts w:hint="eastAsia" w:ascii="仿宋_GB2312" w:hAnsi="宋体" w:eastAsia="仿宋_GB2312" w:cs="宋体"/>
          <w:kern w:val="0"/>
          <w:sz w:val="32"/>
          <w:szCs w:val="32"/>
          <w:lang w:eastAsia="zh-CN"/>
        </w:rPr>
        <w:t>全</w:t>
      </w:r>
      <w:r>
        <w:rPr>
          <w:rFonts w:hint="eastAsia" w:ascii="仿宋_GB2312" w:hAnsi="宋体" w:eastAsia="仿宋_GB2312" w:cs="宋体"/>
          <w:kern w:val="0"/>
          <w:sz w:val="32"/>
          <w:szCs w:val="32"/>
        </w:rPr>
        <w:t>局各项日常性工作正常有效开展，基本支出预算执行进度为100%，项目支出预算执行进度为</w:t>
      </w:r>
      <w:r>
        <w:rPr>
          <w:rFonts w:hint="eastAsia" w:ascii="仿宋_GB2312" w:hAnsi="宋体" w:eastAsia="仿宋_GB2312" w:cs="宋体"/>
          <w:kern w:val="0"/>
          <w:sz w:val="32"/>
          <w:szCs w:val="32"/>
          <w:lang w:val="en-US" w:eastAsia="zh-CN"/>
        </w:rPr>
        <w:t>99</w:t>
      </w:r>
      <w:r>
        <w:rPr>
          <w:rFonts w:hint="eastAsia" w:ascii="仿宋_GB2312" w:hAnsi="宋体" w:eastAsia="仿宋_GB2312" w:cs="宋体"/>
          <w:kern w:val="0"/>
          <w:sz w:val="32"/>
          <w:szCs w:val="32"/>
        </w:rPr>
        <w:t>%（依据昆明市</w:t>
      </w:r>
      <w:r>
        <w:rPr>
          <w:rFonts w:hint="eastAsia" w:ascii="仿宋_GB2312" w:hAnsi="宋体" w:eastAsia="仿宋_GB2312" w:cs="宋体"/>
          <w:kern w:val="0"/>
          <w:sz w:val="32"/>
          <w:szCs w:val="32"/>
          <w:lang w:eastAsia="zh-CN"/>
        </w:rPr>
        <w:t>盘龙区</w:t>
      </w:r>
      <w:r>
        <w:rPr>
          <w:rFonts w:hint="eastAsia" w:ascii="仿宋_GB2312" w:hAnsi="宋体" w:eastAsia="仿宋_GB2312" w:cs="宋体"/>
          <w:kern w:val="0"/>
          <w:sz w:val="32"/>
          <w:szCs w:val="32"/>
        </w:rPr>
        <w:t>财政局实际下达预算指标数计算）。</w:t>
      </w:r>
      <w:r>
        <w:rPr>
          <w:rFonts w:hint="eastAsia" w:ascii="仿宋_GB2312" w:hAnsi="宋体" w:eastAsia="仿宋_GB2312" w:cs="宋体"/>
          <w:kern w:val="0"/>
          <w:sz w:val="32"/>
          <w:szCs w:val="32"/>
          <w:lang w:eastAsia="zh-CN"/>
        </w:rPr>
        <w:t>因疫情影响，农博会没有开展。</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(2)完成质量</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lang w:val="en-US" w:eastAsia="zh-CN"/>
        </w:rPr>
        <w:t xml:space="preserve"> 全</w:t>
      </w:r>
      <w:r>
        <w:rPr>
          <w:rFonts w:hint="eastAsia" w:ascii="仿宋_GB2312" w:hAnsi="宋体" w:eastAsia="仿宋_GB2312" w:cs="宋体"/>
          <w:kern w:val="0"/>
          <w:sz w:val="32"/>
          <w:szCs w:val="32"/>
        </w:rPr>
        <w:t>局完成了2</w:t>
      </w:r>
      <w:r>
        <w:rPr>
          <w:rFonts w:hint="eastAsia" w:ascii="仿宋_GB2312" w:hAnsi="宋体" w:eastAsia="仿宋_GB2312" w:cs="宋体"/>
          <w:kern w:val="0"/>
          <w:sz w:val="32"/>
          <w:szCs w:val="32"/>
          <w:lang w:val="en-US" w:eastAsia="zh-CN"/>
        </w:rPr>
        <w:t>020</w:t>
      </w:r>
      <w:r>
        <w:rPr>
          <w:rFonts w:hint="eastAsia" w:ascii="仿宋_GB2312" w:hAnsi="宋体" w:eastAsia="仿宋_GB2312" w:cs="宋体"/>
          <w:kern w:val="0"/>
          <w:sz w:val="32"/>
          <w:szCs w:val="32"/>
        </w:rPr>
        <w:t>年度目标任务。在费用性支出中，依据“中央八项规定”及《党政机关厉行节约反对浪费条例》等制度，在保障日常工作的正常有序开展的情况下，资金使用未超支。项目支出方面，严格审查编制方案和执行政府采购程序，保证了项目资金使用的合规、有效。</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3.效益性分析</w:t>
      </w:r>
    </w:p>
    <w:p>
      <w:pPr>
        <w:widowControl/>
        <w:spacing w:line="288" w:lineRule="atLeast"/>
        <w:ind w:firstLine="384"/>
        <w:rPr>
          <w:rFonts w:hint="eastAsia" w:ascii="仿宋_GB2312" w:hAnsi="宋体" w:eastAsia="仿宋_GB2312" w:cs="宋体"/>
          <w:kern w:val="0"/>
          <w:sz w:val="32"/>
          <w:szCs w:val="32"/>
        </w:rPr>
      </w:pPr>
      <w:r>
        <w:rPr>
          <w:rFonts w:hint="eastAsia" w:ascii="仿宋_GB2312" w:hAnsi="宋体" w:eastAsia="仿宋_GB2312" w:cs="宋体"/>
          <w:kern w:val="0"/>
          <w:sz w:val="32"/>
          <w:szCs w:val="32"/>
        </w:rPr>
        <w:t>（1）取得的经济效益</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color w:val="000000"/>
          <w:kern w:val="0"/>
          <w:sz w:val="32"/>
          <w:szCs w:val="32"/>
          <w:lang w:val="en-US" w:eastAsia="zh-CN"/>
        </w:rPr>
        <w:t>全年</w:t>
      </w:r>
      <w:r>
        <w:rPr>
          <w:rFonts w:hint="eastAsia" w:ascii="仿宋_GB2312" w:hAnsi="宋体" w:eastAsia="仿宋_GB2312" w:cs="宋体"/>
          <w:color w:val="000000"/>
          <w:kern w:val="0"/>
          <w:sz w:val="32"/>
          <w:szCs w:val="32"/>
          <w:lang w:eastAsia="zh-CN"/>
        </w:rPr>
        <w:t>农林牧渔业总产值9.51亿元，同比增长1.5%，农林牧渔业增加值</w:t>
      </w:r>
      <w:r>
        <w:rPr>
          <w:rFonts w:hint="eastAsia" w:ascii="仿宋_GB2312" w:hAnsi="宋体" w:eastAsia="仿宋_GB2312" w:cs="宋体"/>
          <w:color w:val="000000"/>
          <w:kern w:val="0"/>
          <w:sz w:val="32"/>
          <w:szCs w:val="32"/>
          <w:lang w:val="en-US" w:eastAsia="zh-CN"/>
        </w:rPr>
        <w:t>6.04</w:t>
      </w:r>
      <w:r>
        <w:rPr>
          <w:rFonts w:hint="eastAsia" w:ascii="仿宋_GB2312" w:hAnsi="宋体" w:eastAsia="仿宋_GB2312" w:cs="宋体"/>
          <w:color w:val="000000"/>
          <w:kern w:val="0"/>
          <w:sz w:val="32"/>
          <w:szCs w:val="32"/>
          <w:lang w:eastAsia="zh-CN"/>
        </w:rPr>
        <w:t>亿元，同比增长</w:t>
      </w:r>
      <w:r>
        <w:rPr>
          <w:rFonts w:hint="eastAsia" w:ascii="仿宋_GB2312" w:hAnsi="宋体" w:eastAsia="仿宋_GB2312" w:cs="宋体"/>
          <w:color w:val="000000"/>
          <w:kern w:val="0"/>
          <w:sz w:val="32"/>
          <w:szCs w:val="32"/>
          <w:lang w:val="en-US" w:eastAsia="zh-CN"/>
        </w:rPr>
        <w:t>2.4</w:t>
      </w:r>
      <w:r>
        <w:rPr>
          <w:rFonts w:hint="eastAsia" w:ascii="仿宋_GB2312" w:hAnsi="宋体" w:eastAsia="仿宋_GB2312" w:cs="宋体"/>
          <w:color w:val="000000"/>
          <w:kern w:val="0"/>
          <w:sz w:val="32"/>
          <w:szCs w:val="32"/>
          <w:lang w:eastAsia="zh-CN"/>
        </w:rPr>
        <w:t>%，农村常住居民人均可支配收入</w:t>
      </w:r>
      <w:r>
        <w:rPr>
          <w:rFonts w:hint="eastAsia" w:ascii="仿宋_GB2312" w:hAnsi="宋体" w:eastAsia="仿宋_GB2312" w:cs="宋体"/>
          <w:color w:val="000000"/>
          <w:kern w:val="0"/>
          <w:sz w:val="32"/>
          <w:szCs w:val="32"/>
          <w:lang w:val="en-US" w:eastAsia="zh-CN"/>
        </w:rPr>
        <w:t>22954</w:t>
      </w:r>
      <w:r>
        <w:rPr>
          <w:rFonts w:hint="eastAsia" w:ascii="仿宋_GB2312" w:hAnsi="宋体" w:eastAsia="仿宋_GB2312" w:cs="宋体"/>
          <w:color w:val="000000"/>
          <w:kern w:val="0"/>
          <w:sz w:val="32"/>
          <w:szCs w:val="32"/>
          <w:lang w:eastAsia="zh-CN"/>
        </w:rPr>
        <w:t>元，同比增长</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lang w:eastAsia="zh-CN"/>
        </w:rPr>
        <w:t>%。</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（2）取得的社会效益</w:t>
      </w:r>
    </w:p>
    <w:p>
      <w:pPr>
        <w:widowControl/>
        <w:spacing w:line="288"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①“绿色食品牌</w:t>
      </w:r>
      <w:r>
        <w:rPr>
          <w:rFonts w:ascii="Times New Roman" w:hAnsi="Times New Roman" w:eastAsia="仿宋_GB2312" w:cs="Times New Roman"/>
          <w:kern w:val="0"/>
          <w:sz w:val="32"/>
          <w:szCs w:val="32"/>
        </w:rPr>
        <w:t>”</w:t>
      </w:r>
      <w:r>
        <w:rPr>
          <w:rFonts w:hint="eastAsia" w:ascii="仿宋_GB2312" w:hAnsi="宋体" w:eastAsia="仿宋_GB2312" w:cs="宋体"/>
          <w:kern w:val="0"/>
          <w:sz w:val="32"/>
          <w:szCs w:val="32"/>
        </w:rPr>
        <w:t>培育成效明显。</w:t>
      </w:r>
      <w:r>
        <w:rPr>
          <w:rFonts w:hint="eastAsia" w:ascii="仿宋_GB2312" w:hAnsi="仿宋_GB2312" w:eastAsia="仿宋_GB2312" w:cs="仿宋_GB2312"/>
          <w:color w:val="auto"/>
          <w:sz w:val="32"/>
          <w:szCs w:val="40"/>
        </w:rPr>
        <w:t>我区共有“三品一标”企业8家，有机认证产品283个，绿色认证29个，无公害产品认证2个，欧盟有机认证2个，有机种植16465亩，1</w:t>
      </w:r>
      <w:r>
        <w:rPr>
          <w:rFonts w:hint="eastAsia" w:ascii="仿宋_GB2312" w:hAnsi="仿宋_GB2312" w:eastAsia="仿宋_GB2312" w:cs="仿宋_GB2312"/>
          <w:color w:val="auto"/>
          <w:sz w:val="32"/>
          <w:szCs w:val="40"/>
          <w:lang w:val="en-US" w:eastAsia="zh-CN"/>
        </w:rPr>
        <w:t>3</w:t>
      </w:r>
      <w:r>
        <w:rPr>
          <w:rFonts w:hint="eastAsia" w:ascii="仿宋_GB2312" w:hAnsi="仿宋_GB2312" w:eastAsia="仿宋_GB2312" w:cs="仿宋_GB2312"/>
          <w:color w:val="auto"/>
          <w:sz w:val="32"/>
          <w:szCs w:val="40"/>
        </w:rPr>
        <w:t>家企业的产品录入到云南省农产品质量安全追溯信息平台系统。</w:t>
      </w:r>
    </w:p>
    <w:p>
      <w:pPr>
        <w:widowControl/>
        <w:spacing w:line="288" w:lineRule="atLeast"/>
        <w:ind w:firstLine="384"/>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rPr>
        <w:t>②</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新型农业经营主体培育进一步优化。农业产业化主体作用发挥明显。全</w:t>
      </w:r>
      <w:r>
        <w:rPr>
          <w:rFonts w:hint="eastAsia" w:ascii="仿宋_GB2312" w:hAnsi="宋体" w:eastAsia="仿宋_GB2312" w:cs="宋体"/>
          <w:kern w:val="0"/>
          <w:sz w:val="32"/>
          <w:szCs w:val="32"/>
          <w:lang w:val="en-US" w:eastAsia="zh-CN"/>
        </w:rPr>
        <w:t>区</w:t>
      </w:r>
      <w:r>
        <w:rPr>
          <w:rFonts w:hint="eastAsia" w:ascii="仿宋_GB2312" w:hAnsi="宋体" w:eastAsia="仿宋_GB2312" w:cs="宋体"/>
          <w:kern w:val="0"/>
          <w:sz w:val="32"/>
          <w:szCs w:val="32"/>
        </w:rPr>
        <w:t>共有省级</w:t>
      </w:r>
      <w:r>
        <w:rPr>
          <w:rFonts w:hint="eastAsia" w:ascii="仿宋_GB2312" w:hAnsi="宋体" w:eastAsia="仿宋_GB2312" w:cs="宋体"/>
          <w:kern w:val="0"/>
          <w:sz w:val="32"/>
          <w:szCs w:val="32"/>
          <w:lang w:eastAsia="zh-CN"/>
        </w:rPr>
        <w:t>及以上</w:t>
      </w:r>
      <w:r>
        <w:rPr>
          <w:rFonts w:hint="eastAsia" w:ascii="仿宋_GB2312" w:hAnsi="宋体" w:eastAsia="仿宋_GB2312" w:cs="宋体"/>
          <w:kern w:val="0"/>
          <w:sz w:val="32"/>
          <w:szCs w:val="32"/>
        </w:rPr>
        <w:t>农业龙头企业</w:t>
      </w:r>
      <w:r>
        <w:rPr>
          <w:rFonts w:hint="eastAsia" w:ascii="仿宋_GB2312" w:hAnsi="宋体" w:eastAsia="仿宋_GB2312" w:cs="宋体"/>
          <w:kern w:val="0"/>
          <w:sz w:val="32"/>
          <w:szCs w:val="32"/>
          <w:lang w:val="en-US" w:eastAsia="zh-CN"/>
        </w:rPr>
        <w:t>7</w:t>
      </w:r>
      <w:r>
        <w:rPr>
          <w:rFonts w:hint="eastAsia" w:ascii="仿宋_GB2312" w:hAnsi="宋体" w:eastAsia="仿宋_GB2312" w:cs="宋体"/>
          <w:kern w:val="0"/>
          <w:sz w:val="32"/>
          <w:szCs w:val="32"/>
        </w:rPr>
        <w:t>家、市级农业龙头企业</w:t>
      </w:r>
      <w:r>
        <w:rPr>
          <w:rFonts w:hint="eastAsia" w:ascii="仿宋_GB2312" w:hAnsi="宋体" w:eastAsia="仿宋_GB2312" w:cs="宋体"/>
          <w:kern w:val="0"/>
          <w:sz w:val="32"/>
          <w:szCs w:val="32"/>
          <w:lang w:val="en-US" w:eastAsia="zh-CN"/>
        </w:rPr>
        <w:t>7</w:t>
      </w:r>
      <w:r>
        <w:rPr>
          <w:rFonts w:hint="eastAsia" w:ascii="仿宋_GB2312" w:hAnsi="宋体" w:eastAsia="仿宋_GB2312" w:cs="宋体"/>
          <w:kern w:val="0"/>
          <w:sz w:val="32"/>
          <w:szCs w:val="32"/>
        </w:rPr>
        <w:t>家。加大农业产业化各级龙头企业培育力度，</w:t>
      </w:r>
      <w:r>
        <w:rPr>
          <w:rFonts w:hint="eastAsia" w:ascii="仿宋_GB2312" w:hAnsi="宋体" w:eastAsia="仿宋_GB2312" w:cs="宋体"/>
          <w:kern w:val="0"/>
          <w:sz w:val="32"/>
          <w:szCs w:val="32"/>
          <w:lang w:eastAsia="zh-CN"/>
        </w:rPr>
        <w:t>其中新认定</w:t>
      </w: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rPr>
        <w:t>家省级</w:t>
      </w:r>
      <w:r>
        <w:rPr>
          <w:rFonts w:hint="eastAsia" w:ascii="仿宋_GB2312" w:hAnsi="宋体" w:eastAsia="仿宋_GB2312" w:cs="宋体"/>
          <w:kern w:val="0"/>
          <w:sz w:val="32"/>
          <w:szCs w:val="32"/>
          <w:lang w:eastAsia="zh-CN"/>
        </w:rPr>
        <w:t>龙头企业</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14</w:t>
      </w:r>
      <w:r>
        <w:rPr>
          <w:rFonts w:hint="eastAsia" w:ascii="仿宋_GB2312" w:hAnsi="宋体" w:eastAsia="仿宋_GB2312" w:cs="宋体"/>
          <w:kern w:val="0"/>
          <w:sz w:val="32"/>
          <w:szCs w:val="32"/>
        </w:rPr>
        <w:t>家市级</w:t>
      </w:r>
      <w:r>
        <w:rPr>
          <w:rFonts w:hint="eastAsia" w:ascii="仿宋_GB2312" w:hAnsi="宋体" w:eastAsia="仿宋_GB2312" w:cs="宋体"/>
          <w:kern w:val="0"/>
          <w:sz w:val="32"/>
          <w:szCs w:val="32"/>
          <w:lang w:eastAsia="zh-CN"/>
        </w:rPr>
        <w:t>及以上</w:t>
      </w:r>
      <w:r>
        <w:rPr>
          <w:rFonts w:hint="eastAsia" w:ascii="仿宋_GB2312" w:hAnsi="宋体" w:eastAsia="仿宋_GB2312" w:cs="宋体"/>
          <w:kern w:val="0"/>
          <w:sz w:val="32"/>
          <w:szCs w:val="32"/>
        </w:rPr>
        <w:t>龙头企业运行进行监测。</w:t>
      </w:r>
      <w:r>
        <w:rPr>
          <w:rFonts w:hint="eastAsia" w:ascii="仿宋_GB2312" w:hAnsi="宋体" w:eastAsia="仿宋_GB2312" w:cs="宋体"/>
          <w:kern w:val="0"/>
          <w:sz w:val="32"/>
          <w:szCs w:val="32"/>
          <w:lang w:val="en-US" w:eastAsia="zh-CN"/>
        </w:rPr>
        <w:t xml:space="preserve"> </w:t>
      </w:r>
    </w:p>
    <w:p>
      <w:pPr>
        <w:widowControl/>
        <w:numPr>
          <w:ilvl w:val="0"/>
          <w:numId w:val="7"/>
        </w:numPr>
        <w:spacing w:line="288" w:lineRule="atLeast"/>
        <w:ind w:firstLine="384"/>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取得的环境效益</w:t>
      </w:r>
    </w:p>
    <w:p>
      <w:pPr>
        <w:widowControl/>
        <w:numPr>
          <w:ilvl w:val="0"/>
          <w:numId w:val="0"/>
        </w:numPr>
        <w:spacing w:line="288" w:lineRule="atLeast"/>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①统筹推进农村人居环境整治工作。</w:t>
      </w:r>
      <w:r>
        <w:rPr>
          <w:rFonts w:hint="eastAsia" w:ascii="仿宋_GB2312" w:hAnsi="宋体" w:eastAsia="仿宋_GB2312" w:cs="宋体"/>
          <w:kern w:val="0"/>
          <w:sz w:val="32"/>
          <w:szCs w:val="32"/>
          <w:lang w:val="en-US" w:eastAsia="zh-CN"/>
        </w:rPr>
        <w:t xml:space="preserve"> 一</w:t>
      </w:r>
      <w:r>
        <w:rPr>
          <w:rFonts w:hint="eastAsia" w:ascii="仿宋_GB2312" w:hAnsi="仿宋_GB2312" w:eastAsia="仿宋_GB2312" w:cs="仿宋_GB2312"/>
          <w:color w:val="auto"/>
          <w:sz w:val="32"/>
          <w:szCs w:val="40"/>
        </w:rPr>
        <w:t>是提升巩固农村污水治理。街道集镇均全部建设生活污水处理厂，乡镇生活污水处理设施覆盖率100%，建成农村生活污水处理设施268座，覆盖43个行政村284个自然村，集镇、村生活污水处理设施覆盖率100%；</w:t>
      </w:r>
      <w:r>
        <w:rPr>
          <w:rFonts w:hint="eastAsia" w:ascii="仿宋_GB2312" w:hAnsi="仿宋_GB2312" w:eastAsia="仿宋_GB2312" w:cs="仿宋_GB2312"/>
          <w:color w:val="auto"/>
          <w:sz w:val="32"/>
          <w:szCs w:val="40"/>
          <w:lang w:eastAsia="zh-CN"/>
        </w:rPr>
        <w:t>二</w:t>
      </w:r>
      <w:r>
        <w:rPr>
          <w:rFonts w:hint="eastAsia" w:ascii="仿宋_GB2312" w:hAnsi="仿宋_GB2312" w:eastAsia="仿宋_GB2312" w:cs="仿宋_GB2312"/>
          <w:color w:val="auto"/>
          <w:sz w:val="32"/>
          <w:szCs w:val="40"/>
        </w:rPr>
        <w:t>是推进农村生活垃圾精准治理。涉农街道生活垃圾处理设施覆盖率达到100％，2020年以来共计清运生活垃圾11936.89吨，日清运垃圾量约45.5吨左右。</w:t>
      </w:r>
      <w:r>
        <w:rPr>
          <w:rFonts w:hint="eastAsia" w:ascii="仿宋_GB2312" w:hAnsi="仿宋_GB2312" w:eastAsia="仿宋_GB2312" w:cs="仿宋_GB2312"/>
          <w:color w:val="auto"/>
          <w:sz w:val="32"/>
          <w:szCs w:val="40"/>
          <w:lang w:eastAsia="zh-CN"/>
        </w:rPr>
        <w:t>三</w:t>
      </w:r>
      <w:r>
        <w:rPr>
          <w:rFonts w:hint="eastAsia" w:ascii="仿宋_GB2312" w:hAnsi="仿宋_GB2312" w:eastAsia="仿宋_GB2312" w:cs="仿宋_GB2312"/>
          <w:color w:val="auto"/>
          <w:sz w:val="32"/>
          <w:szCs w:val="40"/>
        </w:rPr>
        <w:t>是加快推进农村“厕所革命”，</w:t>
      </w:r>
      <w:r>
        <w:rPr>
          <w:rFonts w:hint="eastAsia" w:ascii="仿宋_GB2312" w:hAnsi="仿宋_GB2312" w:eastAsia="仿宋_GB2312" w:cs="仿宋_GB2312"/>
          <w:b w:val="0"/>
          <w:bCs w:val="0"/>
          <w:color w:val="auto"/>
          <w:sz w:val="32"/>
          <w:szCs w:val="32"/>
        </w:rPr>
        <w:t>建成农村生活污水处理设施268座，完成62座公厕改建</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农村无害化卫生户厕改造8878座，建设</w:t>
      </w:r>
      <w:r>
        <w:rPr>
          <w:rFonts w:hint="eastAsia" w:ascii="仿宋_GB2312" w:hAnsi="仿宋_GB2312" w:eastAsia="仿宋_GB2312" w:cs="仿宋_GB2312"/>
          <w:b w:val="0"/>
          <w:bCs w:val="0"/>
          <w:color w:val="auto"/>
          <w:sz w:val="32"/>
          <w:szCs w:val="32"/>
          <w:lang w:val="en-US" w:eastAsia="zh-CN"/>
        </w:rPr>
        <w:t>6662</w:t>
      </w:r>
      <w:r>
        <w:rPr>
          <w:rFonts w:hint="eastAsia" w:ascii="仿宋_GB2312" w:hAnsi="仿宋_GB2312" w:eastAsia="仿宋_GB2312" w:cs="仿宋_GB2312"/>
          <w:b w:val="0"/>
          <w:bCs w:val="0"/>
          <w:color w:val="auto"/>
          <w:sz w:val="32"/>
          <w:szCs w:val="32"/>
        </w:rPr>
        <w:t>座</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40"/>
        </w:rPr>
        <w:t>五是推进示范村建设。完成松华街道小河社区小河小组、滇源街道中所村中所小组、白邑村新庵小组、阿子营街道铁冲村委会铁冲村、甸头村甸下小组5个乡村振兴示范村建设及验收</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rPr>
        <w:t>2020年积极创建滇源街道为市级脱贫攻坚与乡村振兴有效衔接示范创建乡镇，创建双龙街道麦冲社区、滇源街道中所村为市级人居环境整治示范村。</w:t>
      </w:r>
    </w:p>
    <w:p>
      <w:pPr>
        <w:widowControl w:val="0"/>
        <w:wordWrap/>
        <w:adjustRightInd/>
        <w:snapToGrid/>
        <w:spacing w:line="56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40"/>
        </w:rPr>
      </w:pPr>
      <w:r>
        <w:rPr>
          <w:rFonts w:hint="eastAsia" w:ascii="仿宋_GB2312" w:hAnsi="宋体" w:eastAsia="仿宋_GB2312" w:cs="宋体"/>
          <w:kern w:val="0"/>
          <w:sz w:val="32"/>
          <w:szCs w:val="32"/>
        </w:rPr>
        <w:t>②扎实推进农业</w:t>
      </w:r>
      <w:r>
        <w:rPr>
          <w:rFonts w:hint="eastAsia" w:ascii="仿宋_GB2312" w:hAnsi="宋体" w:eastAsia="仿宋_GB2312" w:cs="宋体"/>
          <w:kern w:val="0"/>
          <w:sz w:val="32"/>
          <w:szCs w:val="32"/>
          <w:lang w:eastAsia="zh-CN"/>
        </w:rPr>
        <w:t>、林业</w:t>
      </w:r>
      <w:r>
        <w:rPr>
          <w:rFonts w:hint="eastAsia" w:ascii="仿宋_GB2312" w:hAnsi="宋体" w:eastAsia="仿宋_GB2312" w:cs="宋体"/>
          <w:kern w:val="0"/>
          <w:sz w:val="32"/>
          <w:szCs w:val="32"/>
        </w:rPr>
        <w:t>污染防治工作。</w:t>
      </w:r>
      <w:r>
        <w:rPr>
          <w:rFonts w:hint="eastAsia" w:ascii="仿宋_GB2312" w:hAnsi="仿宋_GB2312" w:eastAsia="仿宋_GB2312" w:cs="仿宋_GB2312"/>
          <w:sz w:val="32"/>
          <w:szCs w:val="32"/>
        </w:rPr>
        <w:t>一是推广测土配方施肥7万亩，覆盖率达90%以上；主要农作物绿色防控技术覆盖率达到42%以上；专业统防统治率达到66%以上；农膜回收率达到95%。</w:t>
      </w: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b w:val="0"/>
          <w:bCs w:val="0"/>
          <w:color w:val="auto"/>
          <w:sz w:val="32"/>
          <w:szCs w:val="40"/>
          <w:lang w:val="en-US" w:eastAsia="zh-CN"/>
        </w:rPr>
        <w:t>贯彻落实“十年禁渔”。三是</w:t>
      </w:r>
      <w:r>
        <w:rPr>
          <w:rFonts w:hint="eastAsia" w:ascii="仿宋_GB2312" w:hAnsi="仿宋_GB2312" w:eastAsia="仿宋_GB2312" w:cs="仿宋_GB2312"/>
          <w:color w:val="auto"/>
          <w:sz w:val="32"/>
          <w:szCs w:val="40"/>
        </w:rPr>
        <w:t>2020年</w:t>
      </w:r>
      <w:r>
        <w:rPr>
          <w:rFonts w:hint="eastAsia" w:ascii="仿宋_GB2312" w:hAnsi="仿宋_GB2312" w:eastAsia="仿宋_GB2312" w:cs="仿宋_GB2312"/>
          <w:color w:val="auto"/>
          <w:sz w:val="32"/>
          <w:szCs w:val="40"/>
          <w:lang w:eastAsia="zh-CN"/>
        </w:rPr>
        <w:t>全区</w:t>
      </w:r>
      <w:r>
        <w:rPr>
          <w:rFonts w:hint="eastAsia" w:ascii="仿宋_GB2312" w:hAnsi="仿宋_GB2312" w:eastAsia="仿宋_GB2312" w:cs="仿宋_GB2312"/>
          <w:color w:val="auto"/>
          <w:sz w:val="32"/>
          <w:szCs w:val="40"/>
        </w:rPr>
        <w:t>林业有害生物寄主面积84</w:t>
      </w:r>
      <w:r>
        <w:rPr>
          <w:rFonts w:hint="eastAsia" w:ascii="仿宋_GB2312" w:hAnsi="仿宋_GB2312" w:eastAsia="仿宋_GB2312" w:cs="仿宋_GB2312"/>
          <w:color w:val="auto"/>
          <w:sz w:val="32"/>
          <w:szCs w:val="40"/>
          <w:lang w:val="en-US" w:eastAsia="zh-CN"/>
        </w:rPr>
        <w:t>.</w:t>
      </w:r>
      <w:r>
        <w:rPr>
          <w:rFonts w:hint="eastAsia" w:ascii="仿宋_GB2312" w:hAnsi="仿宋_GB2312" w:eastAsia="仿宋_GB2312" w:cs="仿宋_GB2312"/>
          <w:color w:val="auto"/>
          <w:sz w:val="32"/>
          <w:szCs w:val="40"/>
        </w:rPr>
        <w:t>0</w:t>
      </w:r>
      <w:r>
        <w:rPr>
          <w:rFonts w:hint="eastAsia" w:ascii="仿宋_GB2312" w:hAnsi="仿宋_GB2312" w:eastAsia="仿宋_GB2312" w:cs="仿宋_GB2312"/>
          <w:color w:val="auto"/>
          <w:sz w:val="32"/>
          <w:szCs w:val="40"/>
          <w:lang w:val="en-US" w:eastAsia="zh-CN"/>
        </w:rPr>
        <w:t>9万</w:t>
      </w:r>
      <w:r>
        <w:rPr>
          <w:rFonts w:hint="eastAsia" w:ascii="仿宋_GB2312" w:hAnsi="仿宋_GB2312" w:eastAsia="仿宋_GB2312" w:cs="仿宋_GB2312"/>
          <w:color w:val="auto"/>
          <w:sz w:val="32"/>
          <w:szCs w:val="40"/>
        </w:rPr>
        <w:t>亩,监测覆盖率达100%；林业有害生物成灾控制率为0‰，无公害防治率达100%；种苗产地检疫率达100%；灾害测报准确率达95%。完成2020年春、秋季松材线虫普查</w:t>
      </w:r>
      <w:r>
        <w:rPr>
          <w:rFonts w:hint="eastAsia" w:ascii="仿宋_GB2312" w:hAnsi="仿宋_GB2312" w:eastAsia="仿宋_GB2312" w:cs="仿宋_GB2312"/>
          <w:color w:val="auto"/>
          <w:sz w:val="32"/>
          <w:szCs w:val="40"/>
          <w:lang w:eastAsia="zh-CN"/>
        </w:rPr>
        <w:t>及</w:t>
      </w:r>
      <w:r>
        <w:rPr>
          <w:rFonts w:hint="eastAsia" w:ascii="仿宋_GB2312" w:hAnsi="仿宋_GB2312" w:eastAsia="仿宋_GB2312" w:cs="仿宋_GB2312"/>
          <w:color w:val="auto"/>
          <w:sz w:val="32"/>
          <w:szCs w:val="40"/>
        </w:rPr>
        <w:t>冬春季林业有害生物调查</w:t>
      </w:r>
      <w:r>
        <w:rPr>
          <w:rFonts w:hint="eastAsia" w:ascii="仿宋_GB2312" w:hAnsi="仿宋_GB2312" w:eastAsia="仿宋_GB2312" w:cs="仿宋_GB2312"/>
          <w:color w:val="auto"/>
          <w:sz w:val="32"/>
          <w:szCs w:val="40"/>
          <w:lang w:eastAsia="zh-CN"/>
        </w:rPr>
        <w:t>工作。</w:t>
      </w:r>
    </w:p>
    <w:p>
      <w:pPr>
        <w:widowControl/>
        <w:spacing w:line="288" w:lineRule="atLeast"/>
        <w:ind w:firstLine="384"/>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 xml:space="preserve"> （4）</w:t>
      </w:r>
      <w:r>
        <w:rPr>
          <w:rFonts w:hint="eastAsia" w:ascii="仿宋_GB2312" w:hAnsi="宋体" w:eastAsia="仿宋_GB2312" w:cs="宋体"/>
          <w:kern w:val="0"/>
          <w:sz w:val="32"/>
          <w:szCs w:val="32"/>
        </w:rPr>
        <w:t>取得的产业扶贫效益</w:t>
      </w:r>
    </w:p>
    <w:p>
      <w:pPr>
        <w:widowControl w:val="0"/>
        <w:wordWrap/>
        <w:adjustRightInd/>
        <w:snapToGrid/>
        <w:spacing w:line="560" w:lineRule="exact"/>
        <w:ind w:right="0"/>
        <w:jc w:val="both"/>
        <w:textAlignment w:val="auto"/>
        <w:outlineLvl w:val="9"/>
        <w:rPr>
          <w:rFonts w:hint="eastAsia" w:ascii="仿宋_GB2312" w:hAnsi="仿宋_GB2312" w:eastAsia="仿宋_GB2312" w:cs="仿宋_GB2312"/>
          <w:color w:val="auto"/>
          <w:sz w:val="32"/>
          <w:szCs w:val="40"/>
        </w:rPr>
      </w:pPr>
      <w:r>
        <w:rPr>
          <w:rFonts w:hint="eastAsia" w:ascii="仿宋_GB2312" w:hAnsi="仿宋_GB2312" w:eastAsia="仿宋_GB2312" w:cs="仿宋_GB2312"/>
          <w:color w:val="auto"/>
          <w:sz w:val="32"/>
          <w:szCs w:val="40"/>
          <w:lang w:val="en-US" w:eastAsia="zh-CN"/>
        </w:rPr>
        <w:t xml:space="preserve">    </w:t>
      </w:r>
      <w:r>
        <w:rPr>
          <w:rFonts w:hint="eastAsia" w:ascii="仿宋_GB2312" w:hAnsi="仿宋_GB2312" w:eastAsia="仿宋_GB2312" w:cs="仿宋_GB2312"/>
          <w:color w:val="auto"/>
          <w:sz w:val="32"/>
          <w:szCs w:val="40"/>
        </w:rPr>
        <w:t>加大产业、就业扶贫，增加群众收入，今年以来围绕贫困户增收，投入产业专项扶贫资金1251.41万元，用于阿子营环水有机种植项目建设，覆盖阿子营街道393户建档立卡户，预计平均每户可分红536元，提供100个以上就业岗位。共实现转移就业4236人（其中建档立卡206人），完成全年目标任务的3600人的117.67%；实现农村劳动力转移收入2623.02万元，完成全年目标任务的54.65%。</w:t>
      </w:r>
    </w:p>
    <w:p>
      <w:pPr>
        <w:widowControl/>
        <w:spacing w:line="360" w:lineRule="atLeast"/>
        <w:ind w:firstLine="516"/>
        <w:rPr>
          <w:rFonts w:ascii="宋体" w:hAnsi="宋体" w:eastAsia="宋体" w:cs="宋体"/>
          <w:kern w:val="0"/>
          <w:sz w:val="32"/>
          <w:szCs w:val="32"/>
        </w:rPr>
      </w:pPr>
      <w:r>
        <w:rPr>
          <w:rFonts w:hint="eastAsia" w:ascii="仿宋_GB2312" w:hAnsi="仿宋_GB2312" w:eastAsia="仿宋_GB2312" w:cs="仿宋_GB2312"/>
          <w:color w:val="auto"/>
          <w:sz w:val="32"/>
          <w:szCs w:val="40"/>
          <w:lang w:val="en-US" w:eastAsia="zh-CN"/>
        </w:rPr>
        <w:t xml:space="preserve"> </w:t>
      </w: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4.可持续性分析</w:t>
      </w:r>
    </w:p>
    <w:p>
      <w:pPr>
        <w:widowControl/>
        <w:spacing w:line="360" w:lineRule="atLeast"/>
        <w:ind w:firstLine="516"/>
        <w:rPr>
          <w:rFonts w:ascii="宋体" w:hAnsi="宋体" w:eastAsia="宋体" w:cs="宋体"/>
          <w:kern w:val="0"/>
          <w:sz w:val="32"/>
          <w:szCs w:val="32"/>
        </w:rPr>
      </w:pPr>
      <w:r>
        <w:rPr>
          <w:rFonts w:hint="eastAsia" w:ascii="仿宋_GB2312" w:hAnsi="宋体" w:eastAsia="仿宋_GB2312" w:cs="宋体"/>
          <w:kern w:val="0"/>
          <w:sz w:val="32"/>
          <w:szCs w:val="32"/>
        </w:rPr>
        <w:t>昆明市</w:t>
      </w:r>
      <w:r>
        <w:rPr>
          <w:rFonts w:hint="eastAsia" w:ascii="仿宋_GB2312" w:hAnsi="宋体" w:eastAsia="仿宋_GB2312" w:cs="宋体"/>
          <w:kern w:val="0"/>
          <w:sz w:val="32"/>
          <w:szCs w:val="32"/>
          <w:lang w:eastAsia="zh-CN"/>
        </w:rPr>
        <w:t>盘龙区</w:t>
      </w:r>
      <w:r>
        <w:rPr>
          <w:rFonts w:hint="eastAsia" w:ascii="仿宋_GB2312" w:hAnsi="宋体" w:eastAsia="仿宋_GB2312" w:cs="宋体"/>
          <w:kern w:val="0"/>
          <w:sz w:val="32"/>
          <w:szCs w:val="32"/>
        </w:rPr>
        <w:t>农业农村局有利地调动了人员的积极性，保证日常工作的正常有序开展，确保</w:t>
      </w:r>
      <w:r>
        <w:rPr>
          <w:rFonts w:hint="eastAsia" w:ascii="仿宋_GB2312" w:hAnsi="宋体" w:eastAsia="仿宋_GB2312" w:cs="宋体"/>
          <w:kern w:val="0"/>
          <w:sz w:val="32"/>
          <w:szCs w:val="32"/>
          <w:lang w:eastAsia="zh-CN"/>
        </w:rPr>
        <w:t>区</w:t>
      </w:r>
      <w:r>
        <w:rPr>
          <w:rFonts w:hint="eastAsia" w:ascii="仿宋_GB2312" w:hAnsi="宋体" w:eastAsia="仿宋_GB2312" w:cs="宋体"/>
          <w:kern w:val="0"/>
          <w:sz w:val="32"/>
          <w:szCs w:val="32"/>
        </w:rPr>
        <w:t>农业农村局能有效履行部门职责。</w:t>
      </w:r>
    </w:p>
    <w:p>
      <w:pPr>
        <w:widowControl/>
        <w:spacing w:line="288" w:lineRule="atLeast"/>
        <w:ind w:firstLine="516"/>
        <w:rPr>
          <w:rFonts w:ascii="宋体" w:hAnsi="宋体" w:eastAsia="宋体" w:cs="宋体"/>
          <w:kern w:val="0"/>
          <w:sz w:val="32"/>
          <w:szCs w:val="32"/>
        </w:rPr>
      </w:pPr>
      <w:r>
        <w:rPr>
          <w:rFonts w:hint="eastAsia" w:ascii="仿宋_GB2312" w:hAnsi="宋体" w:eastAsia="仿宋_GB2312" w:cs="宋体"/>
          <w:kern w:val="0"/>
          <w:sz w:val="32"/>
          <w:szCs w:val="32"/>
        </w:rPr>
        <w:t>农业农村局专项项目支出，对</w:t>
      </w:r>
      <w:r>
        <w:rPr>
          <w:rFonts w:hint="eastAsia" w:ascii="仿宋_GB2312" w:hAnsi="宋体" w:eastAsia="仿宋_GB2312" w:cs="宋体"/>
          <w:kern w:val="0"/>
          <w:sz w:val="32"/>
          <w:szCs w:val="32"/>
          <w:lang w:eastAsia="zh-CN"/>
        </w:rPr>
        <w:t>盘龙区</w:t>
      </w:r>
      <w:r>
        <w:rPr>
          <w:rFonts w:hint="eastAsia" w:ascii="仿宋_GB2312" w:hAnsi="宋体" w:eastAsia="仿宋_GB2312" w:cs="宋体"/>
          <w:kern w:val="0"/>
          <w:sz w:val="32"/>
          <w:szCs w:val="32"/>
        </w:rPr>
        <w:t>城乡及农村规划理念的探索、论理的传播、实践的交流、人才的成长具有重要的作用，有利于编制出</w:t>
      </w:r>
      <w:r>
        <w:rPr>
          <w:rFonts w:hint="eastAsia" w:ascii="仿宋_GB2312" w:hAnsi="宋体" w:eastAsia="仿宋_GB2312" w:cs="宋体"/>
          <w:kern w:val="0"/>
          <w:sz w:val="32"/>
          <w:szCs w:val="32"/>
          <w:lang w:eastAsia="zh-CN"/>
        </w:rPr>
        <w:t>盘龙区</w:t>
      </w:r>
      <w:r>
        <w:rPr>
          <w:rFonts w:hint="eastAsia" w:ascii="仿宋_GB2312" w:hAnsi="宋体" w:eastAsia="仿宋_GB2312" w:cs="宋体"/>
          <w:kern w:val="0"/>
          <w:sz w:val="32"/>
          <w:szCs w:val="32"/>
        </w:rPr>
        <w:t>高标准农业农村规划。</w:t>
      </w:r>
    </w:p>
    <w:p>
      <w:pPr>
        <w:widowControl/>
        <w:numPr>
          <w:ilvl w:val="0"/>
          <w:numId w:val="8"/>
        </w:numPr>
        <w:topLinePunct/>
        <w:spacing w:line="520" w:lineRule="atLeast"/>
        <w:ind w:firstLine="525"/>
        <w:rPr>
          <w:rFonts w:hint="eastAsia" w:ascii="黑体" w:hAnsi="黑体" w:eastAsia="黑体" w:cs="宋体"/>
          <w:kern w:val="0"/>
          <w:sz w:val="32"/>
          <w:szCs w:val="32"/>
        </w:rPr>
      </w:pPr>
      <w:r>
        <w:rPr>
          <w:rFonts w:hint="eastAsia" w:ascii="仿宋" w:hAnsi="仿宋" w:eastAsia="仿宋" w:cs="宋体"/>
          <w:kern w:val="0"/>
          <w:sz w:val="32"/>
          <w:szCs w:val="32"/>
          <w:lang w:val="en-US" w:eastAsia="zh-CN"/>
        </w:rPr>
        <w:t xml:space="preserve"> </w:t>
      </w:r>
      <w:r>
        <w:rPr>
          <w:rFonts w:hint="eastAsia" w:ascii="黑体" w:hAnsi="黑体" w:eastAsia="黑体" w:cs="宋体"/>
          <w:kern w:val="0"/>
          <w:sz w:val="32"/>
          <w:szCs w:val="32"/>
        </w:rPr>
        <w:t>主要经验做法</w:t>
      </w:r>
    </w:p>
    <w:p>
      <w:pPr>
        <w:widowControl/>
        <w:spacing w:line="360" w:lineRule="atLeast"/>
        <w:rPr>
          <w:rFonts w:ascii="宋体" w:hAnsi="宋体" w:eastAsia="宋体" w:cs="宋体"/>
          <w:kern w:val="0"/>
          <w:sz w:val="32"/>
          <w:szCs w:val="32"/>
          <w:lang w:val="en-US"/>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（一）制定出台乡村振兴战略规划及相关文件。</w:t>
      </w:r>
    </w:p>
    <w:p>
      <w:pPr>
        <w:widowControl/>
        <w:spacing w:line="360" w:lineRule="atLeast"/>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（二）按照乡村振兴规划体系编制要求，编制县级乡村振兴总体规划</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加快乡村振兴战略的实施。</w:t>
      </w:r>
    </w:p>
    <w:p>
      <w:pPr>
        <w:widowControl/>
        <w:spacing w:line="360" w:lineRule="atLeast"/>
        <w:rPr>
          <w:rFonts w:hint="eastAsia" w:ascii="黑体" w:hAnsi="黑体" w:eastAsia="黑体" w:cs="宋体"/>
          <w:kern w:val="0"/>
          <w:sz w:val="32"/>
          <w:szCs w:val="32"/>
          <w:lang w:val="en-US" w:eastAsia="zh-CN"/>
        </w:rPr>
      </w:pPr>
      <w:r>
        <w:rPr>
          <w:rFonts w:hint="eastAsia" w:ascii="仿宋_GB2312" w:hAnsi="宋体" w:eastAsia="仿宋_GB2312" w:cs="宋体"/>
          <w:kern w:val="0"/>
          <w:sz w:val="32"/>
          <w:szCs w:val="32"/>
          <w:lang w:val="en-US" w:eastAsia="zh-CN"/>
        </w:rPr>
        <w:t xml:space="preserve">   </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rPr>
        <w:t>）打造乡村振兴示范典型。选取集聚提升、城郊融合、特色保护等不同类型村，开展都市驱动型乡村振兴创新实验区建设，分别进行综合实验和单项实验，打造一批可借鉴、可复制、可推广的示范村，为乡村振兴战略实施提供典型样板。  </w:t>
      </w:r>
    </w:p>
    <w:p>
      <w:pPr>
        <w:widowControl/>
        <w:topLinePunct/>
        <w:spacing w:line="520" w:lineRule="atLeast"/>
        <w:ind w:firstLine="525"/>
        <w:rPr>
          <w:rFonts w:hint="eastAsia" w:ascii="黑体" w:hAnsi="黑体" w:eastAsia="黑体" w:cs="宋体"/>
          <w:kern w:val="0"/>
          <w:sz w:val="32"/>
          <w:szCs w:val="32"/>
        </w:rPr>
      </w:pPr>
      <w:r>
        <w:rPr>
          <w:rFonts w:hint="eastAsia" w:ascii="黑体" w:hAnsi="黑体" w:eastAsia="黑体" w:cs="宋体"/>
          <w:kern w:val="0"/>
          <w:sz w:val="32"/>
          <w:szCs w:val="32"/>
        </w:rPr>
        <w:t>六、存在的问题</w:t>
      </w:r>
    </w:p>
    <w:p>
      <w:pPr>
        <w:widowControl/>
        <w:spacing w:line="360" w:lineRule="atLeast"/>
        <w:ind w:firstLine="504"/>
        <w:rPr>
          <w:rFonts w:ascii="宋体" w:hAnsi="宋体" w:eastAsia="宋体" w:cs="宋体"/>
          <w:kern w:val="0"/>
          <w:sz w:val="32"/>
          <w:szCs w:val="32"/>
        </w:rPr>
      </w:pPr>
      <w:r>
        <w:rPr>
          <w:rFonts w:hint="eastAsia" w:ascii="仿宋_GB2312" w:hAnsi="宋体" w:eastAsia="仿宋_GB2312" w:cs="宋体"/>
          <w:kern w:val="0"/>
          <w:sz w:val="32"/>
          <w:szCs w:val="32"/>
        </w:rPr>
        <w:t>（一）项目资金拨付进度较慢。我单位专项资金较多，年中追加的各类项目资金繁多、任务重、压力大，然而专项资金拨付缓慢，影响项目的实施。</w:t>
      </w:r>
    </w:p>
    <w:p>
      <w:pPr>
        <w:widowControl/>
        <w:spacing w:line="360" w:lineRule="atLeast"/>
        <w:ind w:firstLine="504"/>
        <w:rPr>
          <w:rFonts w:hint="eastAsia" w:ascii="仿宋_GB2312" w:hAnsi="仿宋_GB2312" w:eastAsia="仿宋_GB2312" w:cs="仿宋_GB2312"/>
          <w:color w:val="auto"/>
          <w:sz w:val="32"/>
          <w:szCs w:val="40"/>
          <w:lang w:val="en-US" w:eastAsia="zh-CN"/>
        </w:rPr>
      </w:pPr>
      <w:r>
        <w:rPr>
          <w:rFonts w:hint="eastAsia" w:ascii="仿宋_GB2312" w:hAnsi="宋体" w:eastAsia="仿宋_GB2312" w:cs="宋体"/>
          <w:kern w:val="0"/>
          <w:sz w:val="32"/>
          <w:szCs w:val="32"/>
        </w:rPr>
        <w:t>（二）</w:t>
      </w:r>
      <w:r>
        <w:rPr>
          <w:rFonts w:hint="eastAsia" w:ascii="仿宋_GB2312" w:hAnsi="仿宋_GB2312" w:eastAsia="仿宋_GB2312" w:cs="仿宋_GB2312"/>
          <w:color w:val="auto"/>
          <w:sz w:val="32"/>
          <w:szCs w:val="40"/>
          <w:lang w:val="en-US" w:eastAsia="zh-CN"/>
        </w:rPr>
        <w:t>农业综合效益不高。</w:t>
      </w:r>
      <w:r>
        <w:rPr>
          <w:rFonts w:hint="eastAsia" w:ascii="仿宋_GB2312" w:hAnsi="宋体" w:eastAsia="仿宋_GB2312" w:cs="宋体"/>
          <w:kern w:val="0"/>
          <w:sz w:val="32"/>
          <w:szCs w:val="32"/>
          <w:lang w:val="en-US" w:eastAsia="zh-CN"/>
        </w:rPr>
        <w:t xml:space="preserve"> </w:t>
      </w:r>
      <w:r>
        <w:rPr>
          <w:rFonts w:hint="eastAsia" w:ascii="仿宋_GB2312" w:hAnsi="仿宋_GB2312" w:eastAsia="仿宋_GB2312" w:cs="仿宋_GB2312"/>
          <w:color w:val="auto"/>
          <w:sz w:val="32"/>
          <w:szCs w:val="40"/>
          <w:lang w:val="en-US" w:eastAsia="zh-CN"/>
        </w:rPr>
        <w:t xml:space="preserve">一是农业产业现代化水平较低，优质农产品特色不突出，产品附加值不高，农业供给侧结构性改革任务艰巨。二是农村基础设施薄弱。农村道路、人畜饮水、农田灌溉、生活配套、污染治理等基础设施欠账较多，农民生产生活条件有待改善。三是产业结构调整难度较大。受水源保护区政策限制，引入产业项目受限较多，生态绿色产业尚未形成规模，农民持续增收乏力。四是脱贫攻坚仍存在薄弱环节。危房改造、教育扶贫、健康扶贫、饮水安全保障工作方面还存在薄弱环节，部分贫困群众增收基础还不稳固、稳定脱贫机制还不健全。 </w:t>
      </w:r>
    </w:p>
    <w:p>
      <w:pPr>
        <w:widowControl/>
        <w:numPr>
          <w:ilvl w:val="0"/>
          <w:numId w:val="9"/>
        </w:numPr>
        <w:topLinePunct/>
        <w:spacing w:line="520" w:lineRule="atLeast"/>
        <w:ind w:firstLine="525"/>
        <w:rPr>
          <w:rFonts w:hint="eastAsia" w:ascii="黑体" w:hAnsi="黑体" w:eastAsia="黑体" w:cs="宋体"/>
          <w:kern w:val="0"/>
          <w:sz w:val="32"/>
          <w:szCs w:val="32"/>
        </w:rPr>
      </w:pPr>
      <w:r>
        <w:rPr>
          <w:rFonts w:hint="eastAsia" w:ascii="仿宋_GB2312" w:hAnsi="宋体" w:eastAsia="仿宋_GB2312" w:cs="宋体"/>
          <w:kern w:val="0"/>
          <w:sz w:val="32"/>
          <w:szCs w:val="32"/>
          <w:lang w:val="en-US" w:eastAsia="zh-CN"/>
        </w:rPr>
        <w:t xml:space="preserve"> </w:t>
      </w:r>
      <w:r>
        <w:rPr>
          <w:rFonts w:hint="eastAsia" w:ascii="黑体" w:hAnsi="黑体" w:eastAsia="黑体" w:cs="宋体"/>
          <w:kern w:val="0"/>
          <w:sz w:val="32"/>
          <w:szCs w:val="32"/>
        </w:rPr>
        <w:t>改进措施及建议</w:t>
      </w:r>
    </w:p>
    <w:p>
      <w:pPr>
        <w:widowControl/>
        <w:spacing w:line="360" w:lineRule="atLeast"/>
        <w:ind w:firstLine="504"/>
        <w:rPr>
          <w:rFonts w:ascii="宋体" w:hAnsi="宋体" w:eastAsia="宋体" w:cs="宋体"/>
          <w:kern w:val="0"/>
          <w:sz w:val="32"/>
          <w:szCs w:val="32"/>
        </w:rPr>
      </w:pPr>
      <w:r>
        <w:rPr>
          <w:rFonts w:hint="eastAsia" w:ascii="仿宋_GB2312" w:hAnsi="宋体" w:eastAsia="仿宋_GB2312" w:cs="宋体"/>
          <w:kern w:val="0"/>
          <w:sz w:val="32"/>
          <w:szCs w:val="32"/>
        </w:rPr>
        <w:t>(一)强化绩效管理意识，进一步强化绩效理念，将绩效管理理念贯穿于资金分配到资金使用全过程，加大资金整合力度，强化专项资金管理，把有限的资金用在刀刃上，提高财政资金使用效益。</w:t>
      </w:r>
    </w:p>
    <w:p>
      <w:pPr>
        <w:widowControl/>
        <w:spacing w:line="360" w:lineRule="atLeast"/>
        <w:ind w:firstLine="504"/>
        <w:rPr>
          <w:rFonts w:ascii="宋体" w:hAnsi="宋体" w:eastAsia="宋体" w:cs="宋体"/>
          <w:kern w:val="0"/>
          <w:sz w:val="32"/>
          <w:szCs w:val="32"/>
        </w:rPr>
      </w:pPr>
      <w:r>
        <w:rPr>
          <w:rFonts w:hint="eastAsia" w:ascii="仿宋_GB2312" w:hAnsi="宋体" w:eastAsia="仿宋_GB2312" w:cs="宋体"/>
          <w:kern w:val="0"/>
          <w:sz w:val="32"/>
          <w:szCs w:val="32"/>
        </w:rPr>
        <w:t>(二)优化预算编制，加强预算执行力。增加农业财政投入。应进一步充实农业专业技术人员。</w:t>
      </w:r>
    </w:p>
    <w:p>
      <w:pPr>
        <w:widowControl/>
        <w:spacing w:line="360" w:lineRule="atLeast"/>
        <w:ind w:firstLine="384"/>
        <w:rPr>
          <w:rFonts w:ascii="宋体" w:hAnsi="宋体" w:eastAsia="宋体" w:cs="宋体"/>
          <w:kern w:val="0"/>
          <w:sz w:val="32"/>
          <w:szCs w:val="32"/>
        </w:rPr>
      </w:pPr>
      <w:r>
        <w:rPr>
          <w:rFonts w:hint="eastAsia" w:ascii="仿宋_GB2312" w:hAnsi="宋体" w:eastAsia="仿宋_GB2312" w:cs="宋体"/>
          <w:kern w:val="0"/>
          <w:sz w:val="32"/>
          <w:szCs w:val="32"/>
        </w:rPr>
        <w:t>（三）通过绩效自评工作，进一步提高资金预算水平，加强资金使用跟踪监督管理，提高资金使用效率，对实施完成的项目建设按规定及时组织检查验收，组织绩效评价。</w:t>
      </w:r>
    </w:p>
    <w:p>
      <w:pPr>
        <w:widowControl/>
        <w:numPr>
          <w:ilvl w:val="0"/>
          <w:numId w:val="0"/>
        </w:numPr>
        <w:topLinePunct/>
        <w:spacing w:line="520" w:lineRule="atLeast"/>
        <w:rPr>
          <w:rFonts w:hint="eastAsia" w:ascii="黑体" w:hAnsi="黑体" w:eastAsia="黑体" w:cs="宋体"/>
          <w:kern w:val="0"/>
          <w:sz w:val="32"/>
          <w:szCs w:val="32"/>
          <w:lang w:val="en-US" w:eastAsia="zh-CN"/>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widowControl/>
        <w:spacing w:line="520" w:lineRule="atLeast"/>
        <w:jc w:val="center"/>
        <w:rPr>
          <w:rFonts w:hint="eastAsia" w:ascii="方正小标宋_GBK" w:hAnsi="Calibri" w:eastAsia="方正小标宋_GBK" w:cs="宋体"/>
          <w:kern w:val="0"/>
          <w:szCs w:val="21"/>
        </w:rPr>
      </w:pPr>
    </w:p>
    <w:p>
      <w:pPr>
        <w:rPr>
          <w:rFonts w:hint="eastAsia" w:ascii="方正小标宋_GBK" w:eastAsia="方正小标宋_GBK" w:cs="宋体"/>
          <w:kern w:val="0"/>
          <w:szCs w:val="21"/>
          <w:lang w:val="en-US" w:eastAsia="zh-CN"/>
        </w:rPr>
      </w:pPr>
      <w:r>
        <w:rPr>
          <w:rFonts w:hint="eastAsia" w:ascii="方正小标宋_GBK" w:eastAsia="方正小标宋_GBK" w:cs="宋体"/>
          <w:kern w:val="0"/>
          <w:szCs w:val="21"/>
          <w:lang w:val="en-US" w:eastAsia="zh-CN"/>
        </w:rPr>
        <w:t xml:space="preserve"> </w:t>
      </w:r>
    </w:p>
    <w:p>
      <w:pPr>
        <w:rPr>
          <w:rFonts w:hint="eastAsia" w:ascii="仿宋" w:hAnsi="仿宋" w:eastAsia="仿宋" w:cs="仿宋"/>
          <w:i w:val="0"/>
          <w:caps w:val="0"/>
          <w:spacing w:val="0"/>
          <w:sz w:val="32"/>
          <w:szCs w:val="32"/>
          <w:bdr w:val="none" w:color="auto" w:sz="0" w:space="0"/>
          <w:shd w:val="clear" w:fill="FFFFFF"/>
        </w:rPr>
      </w:pPr>
      <w:r>
        <w:rPr>
          <w:rFonts w:hint="eastAsia" w:ascii="仿宋" w:hAnsi="仿宋" w:eastAsia="仿宋" w:cs="仿宋"/>
          <w:kern w:val="0"/>
          <w:sz w:val="32"/>
          <w:szCs w:val="32"/>
          <w:lang w:val="en-US" w:eastAsia="zh-CN"/>
        </w:rPr>
        <w:t>附：</w:t>
      </w:r>
      <w:r>
        <w:rPr>
          <w:rFonts w:hint="eastAsia" w:ascii="仿宋" w:hAnsi="仿宋" w:eastAsia="仿宋" w:cs="仿宋"/>
          <w:i w:val="0"/>
          <w:caps w:val="0"/>
          <w:spacing w:val="0"/>
          <w:sz w:val="32"/>
          <w:szCs w:val="32"/>
          <w:bdr w:val="none" w:color="auto" w:sz="0" w:space="0"/>
          <w:shd w:val="clear" w:fill="FFFFFF"/>
        </w:rPr>
        <w:t>绩效评价项目报告材料</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机场高速两侧冻害桉树改造绿化租地专项资金；</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水源保护区农改林市级收租；</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84-86退耕还林补助；</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水源保护区市级退耕还林补助；</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“农改林”勘测定界费；</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九龙湾项目后续管养费；</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2020年水源区太阳能热水器补助；</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能源补助；</w:t>
      </w:r>
    </w:p>
    <w:p>
      <w:pPr>
        <w:numPr>
          <w:ilvl w:val="0"/>
          <w:numId w:val="10"/>
        </w:numPr>
        <w:ind w:left="160" w:leftChars="0" w:firstLine="0" w:firstLine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2020年云南省10大名品和绿色食品奖励专项资；</w:t>
      </w:r>
    </w:p>
    <w:p>
      <w:pPr>
        <w:numPr>
          <w:numId w:val="0"/>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10.2020年重点农业龙头企业培育提升奖补资金；</w:t>
      </w:r>
    </w:p>
    <w:p>
      <w:pPr>
        <w:numPr>
          <w:numId w:val="0"/>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11.绿色生物质生产补助经费；</w:t>
      </w:r>
    </w:p>
    <w:p>
      <w:pPr>
        <w:numPr>
          <w:numId w:val="0"/>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12滇池流域及补水区减肥技术推广经费；</w:t>
      </w:r>
    </w:p>
    <w:p>
      <w:pPr>
        <w:numPr>
          <w:numId w:val="0"/>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13.2020年生物质新能源小烤房改造项目；</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农业保险费专项经费；</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购买森林消防车辆资金；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森林防火护卫人员经费；</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森林防火综合经费；</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水源区森林防火群众责任制奖励专项资金；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乡村振兴项目含一事一议经费；</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昆明市2019年乡村振兴农村人居环境整治激励奖补资金；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2020年中央农村厕所革命整村推进补助资金；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2019年中央农村“厕所革命”整村推进财政奖补资金；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中央财政林业森林资源培育专项资金；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中央林业改革发展森林生态效益补助资金；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2020年森林抚育项目资金；</w:t>
      </w:r>
      <w:bookmarkStart w:id="0" w:name="_GoBack"/>
      <w:bookmarkEnd w:id="0"/>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帮扶寻甸县凤合镇扶贫资金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凸董箐、小核桃村扶贫搬迁工程项目资金；</w:t>
      </w:r>
    </w:p>
    <w:p>
      <w:pPr>
        <w:numPr>
          <w:ilvl w:val="0"/>
          <w:numId w:val="11"/>
        </w:numPr>
        <w:ind w:left="160" w:leftChars="0"/>
        <w:rPr>
          <w:rFonts w:hint="eastAsia" w:ascii="仿宋" w:hAnsi="仿宋" w:eastAsia="仿宋" w:cs="仿宋"/>
          <w:b w:val="0"/>
          <w:bCs/>
          <w:i w:val="0"/>
          <w:color w:val="000000"/>
          <w:kern w:val="0"/>
          <w:sz w:val="32"/>
          <w:szCs w:val="32"/>
          <w:u w:val="none"/>
          <w:lang w:val="en-US" w:eastAsia="zh-CN" w:bidi="ar"/>
        </w:rPr>
      </w:pPr>
      <w:r>
        <w:rPr>
          <w:rFonts w:hint="eastAsia" w:ascii="仿宋" w:hAnsi="仿宋" w:eastAsia="仿宋" w:cs="仿宋"/>
          <w:b w:val="0"/>
          <w:bCs/>
          <w:i w:val="0"/>
          <w:color w:val="000000"/>
          <w:kern w:val="0"/>
          <w:sz w:val="32"/>
          <w:szCs w:val="32"/>
          <w:u w:val="none"/>
          <w:lang w:val="en-US" w:eastAsia="zh-CN" w:bidi="ar"/>
        </w:rPr>
        <w:t>东川搬迁学校补助资金；</w:t>
      </w:r>
    </w:p>
    <w:p>
      <w:pPr>
        <w:numPr>
          <w:ilvl w:val="0"/>
          <w:numId w:val="11"/>
        </w:numPr>
        <w:ind w:left="160" w:leftChars="0"/>
        <w:rPr>
          <w:rFonts w:hint="eastAsia" w:ascii="仿宋" w:hAnsi="仿宋" w:eastAsia="仿宋" w:cs="仿宋"/>
          <w:b w:val="0"/>
          <w:bCs/>
          <w:kern w:val="0"/>
          <w:sz w:val="32"/>
          <w:szCs w:val="32"/>
          <w:lang w:val="en-US" w:eastAsia="zh-CN"/>
        </w:rPr>
      </w:pPr>
      <w:r>
        <w:rPr>
          <w:rFonts w:hint="eastAsia" w:ascii="仿宋" w:hAnsi="仿宋" w:eastAsia="仿宋" w:cs="仿宋"/>
          <w:b w:val="0"/>
          <w:bCs/>
          <w:i w:val="0"/>
          <w:color w:val="000000"/>
          <w:kern w:val="0"/>
          <w:sz w:val="32"/>
          <w:szCs w:val="32"/>
          <w:u w:val="none"/>
          <w:lang w:val="en-US" w:eastAsia="zh-CN" w:bidi="ar"/>
        </w:rPr>
        <w:t>2020年盘龙区扶贫小额信贷项目专项资金；</w:t>
      </w:r>
    </w:p>
    <w:p>
      <w:pPr>
        <w:numPr>
          <w:ilvl w:val="0"/>
          <w:numId w:val="11"/>
        </w:numPr>
        <w:ind w:left="160" w:leftChars="0"/>
        <w:rPr>
          <w:rFonts w:hint="eastAsia" w:ascii="仿宋" w:hAnsi="仿宋" w:eastAsia="仿宋" w:cs="仿宋"/>
          <w:b w:val="0"/>
          <w:bCs/>
          <w:kern w:val="0"/>
          <w:sz w:val="32"/>
          <w:szCs w:val="32"/>
          <w:lang w:val="en-US" w:eastAsia="zh-CN"/>
        </w:rPr>
      </w:pPr>
      <w:r>
        <w:rPr>
          <w:rFonts w:hint="eastAsia" w:ascii="仿宋" w:hAnsi="仿宋" w:eastAsia="仿宋" w:cs="仿宋"/>
          <w:b w:val="0"/>
          <w:bCs/>
          <w:i w:val="0"/>
          <w:caps w:val="0"/>
          <w:spacing w:val="0"/>
          <w:sz w:val="32"/>
          <w:szCs w:val="32"/>
          <w:bdr w:val="none" w:color="auto" w:sz="0" w:space="0"/>
          <w:shd w:val="clear" w:fill="FFFFFF"/>
        </w:rPr>
        <w:t>其他相关资料另附。</w:t>
      </w:r>
    </w:p>
    <w:sectPr>
      <w:footerReference r:id="rId5" w:type="default"/>
      <w:footerReference r:id="rId6" w:type="even"/>
      <w:type w:val="continuous"/>
      <w:pgSz w:w="11910" w:h="16840"/>
      <w:pgMar w:top="1580" w:right="900" w:bottom="1220" w:left="1200" w:header="851" w:footer="1038"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等线">
    <w:altName w:val="宋体"/>
    <w:panose1 w:val="02010600030101010101"/>
    <w:charset w:val="86"/>
    <w:family w:val="auto"/>
    <w:pitch w:val="default"/>
    <w:sig w:usb0="00000000" w:usb1="00000000" w:usb2="00000016" w:usb3="00000000" w:csb0="0004000F"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rif">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Calibri" w:hAnsi="Calibri" w:eastAsia="宋体" w:cs="黑体"/>
        <w:kern w:val="2"/>
        <w:sz w:val="18"/>
        <w:szCs w:val="22"/>
        <w:lang w:val="en-US" w:eastAsia="zh-CN" w:bidi="ar-SA"/>
      </w:rPr>
      <w:pict>
        <v:shape id="文本框 6" o:spid="_x0000_s2049" o:spt="202" type="#_x0000_t202" style="position:absolute;left:0pt;margin-top:0pt;height:144pt;width:144pt;mso-position-horizontal:right;mso-position-horizontal-relative:margin;mso-wrap-style:none;z-index:251660288;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rPr>
        <w:rFonts w:ascii="宋体" w:hAnsi="宋体" w:eastAsia="宋体" w:cs="宋体"/>
        <w:kern w:val="2"/>
        <w:sz w:val="32"/>
        <w:szCs w:val="32"/>
        <w:lang w:val="en-US" w:eastAsia="zh-CN" w:bidi="ar-SA"/>
      </w:rPr>
      <w:pict>
        <v:shape id="Text Box 2" o:spid="_x0000_s2050" o:spt="202" type="#_x0000_t202" style="position:absolute;left:0pt;margin-top:779pt;height:16.05pt;width:37.15pt;mso-position-horizontal:right;mso-position-horizontal-relative:margin;mso-position-vertical-relative:pag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w:txbxContent>
              <w:p>
                <w:pPr>
                  <w:spacing w:before="0" w:line="321" w:lineRule="exact"/>
                  <w:ind w:left="20" w:right="0" w:firstLine="0"/>
                  <w:jc w:val="left"/>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0"/>
      </w:rPr>
    </w:pPr>
    <w:r>
      <w:rPr>
        <w:rFonts w:ascii="宋体" w:hAnsi="宋体" w:eastAsia="宋体" w:cs="宋体"/>
        <w:kern w:val="2"/>
        <w:sz w:val="32"/>
        <w:szCs w:val="32"/>
        <w:lang w:val="en-US" w:eastAsia="zh-CN" w:bidi="ar-SA"/>
      </w:rPr>
      <w:pict>
        <v:shape id="Text Box 1" o:spid="_x0000_s2051" o:spt="202" type="#_x0000_t202" style="position:absolute;left:0pt;margin-left:75.55pt;margin-top:779pt;height:16.05pt;width:37pt;mso-position-horizontal-relative:page;mso-position-vertical-relative:pag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w:txbxContent>
              <w:p>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2</w:t>
                </w:r>
                <w:r>
                  <w:fldChar w:fldCharType="end"/>
                </w:r>
                <w:r>
                  <w:rPr>
                    <w:sz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E944A4"/>
    <w:multiLevelType w:val="singleLevel"/>
    <w:tmpl w:val="A9E944A4"/>
    <w:lvl w:ilvl="0" w:tentative="0">
      <w:start w:val="14"/>
      <w:numFmt w:val="decimal"/>
      <w:lvlText w:val="%1."/>
      <w:lvlJc w:val="left"/>
      <w:pPr>
        <w:tabs>
          <w:tab w:val="left" w:pos="312"/>
        </w:tabs>
      </w:pPr>
    </w:lvl>
  </w:abstractNum>
  <w:abstractNum w:abstractNumId="1">
    <w:nsid w:val="5EB5728F"/>
    <w:multiLevelType w:val="singleLevel"/>
    <w:tmpl w:val="5EB5728F"/>
    <w:lvl w:ilvl="0" w:tentative="0">
      <w:start w:val="1"/>
      <w:numFmt w:val="decimal"/>
      <w:lvlText w:val="%1."/>
      <w:lvlJc w:val="left"/>
      <w:pPr>
        <w:tabs>
          <w:tab w:val="left" w:pos="312"/>
        </w:tabs>
        <w:ind w:left="160" w:leftChars="0" w:firstLine="0" w:firstLineChars="0"/>
      </w:pPr>
    </w:lvl>
  </w:abstractNum>
  <w:abstractNum w:abstractNumId="2">
    <w:nsid w:val="609DE3A5"/>
    <w:multiLevelType w:val="singleLevel"/>
    <w:tmpl w:val="609DE3A5"/>
    <w:lvl w:ilvl="0" w:tentative="0">
      <w:start w:val="3"/>
      <w:numFmt w:val="chineseCounting"/>
      <w:suff w:val="nothing"/>
      <w:lvlText w:val="（%1）"/>
      <w:lvlJc w:val="left"/>
    </w:lvl>
  </w:abstractNum>
  <w:abstractNum w:abstractNumId="3">
    <w:nsid w:val="60A5FB25"/>
    <w:multiLevelType w:val="singleLevel"/>
    <w:tmpl w:val="60A5FB25"/>
    <w:lvl w:ilvl="0" w:tentative="0">
      <w:start w:val="1"/>
      <w:numFmt w:val="chineseCounting"/>
      <w:suff w:val="nothing"/>
      <w:lvlText w:val="%1、"/>
      <w:lvlJc w:val="left"/>
    </w:lvl>
  </w:abstractNum>
  <w:abstractNum w:abstractNumId="4">
    <w:nsid w:val="60A752FC"/>
    <w:multiLevelType w:val="singleLevel"/>
    <w:tmpl w:val="60A752FC"/>
    <w:lvl w:ilvl="0" w:tentative="0">
      <w:start w:val="2"/>
      <w:numFmt w:val="decimal"/>
      <w:suff w:val="nothing"/>
      <w:lvlText w:val="%1."/>
      <w:lvlJc w:val="left"/>
    </w:lvl>
  </w:abstractNum>
  <w:abstractNum w:abstractNumId="5">
    <w:nsid w:val="60A75920"/>
    <w:multiLevelType w:val="singleLevel"/>
    <w:tmpl w:val="60A75920"/>
    <w:lvl w:ilvl="0" w:tentative="0">
      <w:start w:val="2"/>
      <w:numFmt w:val="chineseCounting"/>
      <w:suff w:val="nothing"/>
      <w:lvlText w:val="（%1）"/>
      <w:lvlJc w:val="left"/>
    </w:lvl>
  </w:abstractNum>
  <w:abstractNum w:abstractNumId="6">
    <w:nsid w:val="60AAF68C"/>
    <w:multiLevelType w:val="singleLevel"/>
    <w:tmpl w:val="60AAF68C"/>
    <w:lvl w:ilvl="0" w:tentative="0">
      <w:start w:val="1"/>
      <w:numFmt w:val="chineseCounting"/>
      <w:suff w:val="nothing"/>
      <w:lvlText w:val="（%1）"/>
      <w:lvlJc w:val="left"/>
    </w:lvl>
  </w:abstractNum>
  <w:abstractNum w:abstractNumId="7">
    <w:nsid w:val="60AAF9E6"/>
    <w:multiLevelType w:val="singleLevel"/>
    <w:tmpl w:val="60AAF9E6"/>
    <w:lvl w:ilvl="0" w:tentative="0">
      <w:start w:val="2"/>
      <w:numFmt w:val="decimal"/>
      <w:suff w:val="nothing"/>
      <w:lvlText w:val="%1."/>
      <w:lvlJc w:val="left"/>
    </w:lvl>
  </w:abstractNum>
  <w:abstractNum w:abstractNumId="8">
    <w:nsid w:val="60AAFB36"/>
    <w:multiLevelType w:val="singleLevel"/>
    <w:tmpl w:val="60AAFB36"/>
    <w:lvl w:ilvl="0" w:tentative="0">
      <w:start w:val="7"/>
      <w:numFmt w:val="chineseCounting"/>
      <w:suff w:val="nothing"/>
      <w:lvlText w:val="%1、"/>
      <w:lvlJc w:val="left"/>
    </w:lvl>
  </w:abstractNum>
  <w:abstractNum w:abstractNumId="9">
    <w:nsid w:val="60AAFB4B"/>
    <w:multiLevelType w:val="singleLevel"/>
    <w:tmpl w:val="60AAFB4B"/>
    <w:lvl w:ilvl="0" w:tentative="0">
      <w:start w:val="5"/>
      <w:numFmt w:val="chineseCounting"/>
      <w:suff w:val="nothing"/>
      <w:lvlText w:val="%1、"/>
      <w:lvlJc w:val="left"/>
    </w:lvl>
  </w:abstractNum>
  <w:abstractNum w:abstractNumId="10">
    <w:nsid w:val="60AB306C"/>
    <w:multiLevelType w:val="singleLevel"/>
    <w:tmpl w:val="60AB306C"/>
    <w:lvl w:ilvl="0" w:tentative="0">
      <w:start w:val="3"/>
      <w:numFmt w:val="decimal"/>
      <w:suff w:val="nothing"/>
      <w:lvlText w:val="（%1）"/>
      <w:lvlJc w:val="left"/>
    </w:lvl>
  </w:abstractNum>
  <w:num w:numId="1">
    <w:abstractNumId w:val="3"/>
  </w:num>
  <w:num w:numId="2">
    <w:abstractNumId w:val="2"/>
  </w:num>
  <w:num w:numId="3">
    <w:abstractNumId w:val="4"/>
  </w:num>
  <w:num w:numId="4">
    <w:abstractNumId w:val="5"/>
  </w:num>
  <w:num w:numId="5">
    <w:abstractNumId w:val="6"/>
  </w:num>
  <w:num w:numId="6">
    <w:abstractNumId w:val="7"/>
  </w:num>
  <w:num w:numId="7">
    <w:abstractNumId w:val="10"/>
  </w:num>
  <w:num w:numId="8">
    <w:abstractNumId w:val="9"/>
  </w:num>
  <w:num w:numId="9">
    <w:abstractNumId w:val="8"/>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047E61"/>
    <w:rsid w:val="00047E61"/>
    <w:rsid w:val="00166D33"/>
    <w:rsid w:val="00227F72"/>
    <w:rsid w:val="00612FCC"/>
    <w:rsid w:val="007F2EDF"/>
    <w:rsid w:val="00BC228A"/>
    <w:rsid w:val="00BD07C5"/>
    <w:rsid w:val="016853DB"/>
    <w:rsid w:val="018B2118"/>
    <w:rsid w:val="01C14B70"/>
    <w:rsid w:val="02813929"/>
    <w:rsid w:val="036B1328"/>
    <w:rsid w:val="038631D7"/>
    <w:rsid w:val="03C21D37"/>
    <w:rsid w:val="042652DF"/>
    <w:rsid w:val="0586071E"/>
    <w:rsid w:val="05F332D1"/>
    <w:rsid w:val="074D5B0C"/>
    <w:rsid w:val="08521B36"/>
    <w:rsid w:val="090B6D66"/>
    <w:rsid w:val="0A33204C"/>
    <w:rsid w:val="0A3F5E5E"/>
    <w:rsid w:val="0A434865"/>
    <w:rsid w:val="0B2F31E8"/>
    <w:rsid w:val="0C1B40EA"/>
    <w:rsid w:val="0C60355A"/>
    <w:rsid w:val="0CB06B5C"/>
    <w:rsid w:val="0CB9746C"/>
    <w:rsid w:val="0D73325F"/>
    <w:rsid w:val="0D876BC0"/>
    <w:rsid w:val="0DDF724E"/>
    <w:rsid w:val="0E324ADA"/>
    <w:rsid w:val="0EBC11BB"/>
    <w:rsid w:val="0EC407C6"/>
    <w:rsid w:val="0F2804EA"/>
    <w:rsid w:val="0FDD4B16"/>
    <w:rsid w:val="10EA5F4D"/>
    <w:rsid w:val="11080D80"/>
    <w:rsid w:val="11CC1DC3"/>
    <w:rsid w:val="11D56E4F"/>
    <w:rsid w:val="12421A01"/>
    <w:rsid w:val="126B2BC5"/>
    <w:rsid w:val="131B16E4"/>
    <w:rsid w:val="13244572"/>
    <w:rsid w:val="1363315E"/>
    <w:rsid w:val="13A60ECB"/>
    <w:rsid w:val="13D57C19"/>
    <w:rsid w:val="14453750"/>
    <w:rsid w:val="144611D2"/>
    <w:rsid w:val="14BA1191"/>
    <w:rsid w:val="14E82F59"/>
    <w:rsid w:val="154C2C7E"/>
    <w:rsid w:val="15AE2D22"/>
    <w:rsid w:val="16456719"/>
    <w:rsid w:val="16915513"/>
    <w:rsid w:val="16A754B9"/>
    <w:rsid w:val="16AC4C4E"/>
    <w:rsid w:val="16D47282"/>
    <w:rsid w:val="17103863"/>
    <w:rsid w:val="175F13E4"/>
    <w:rsid w:val="1780519C"/>
    <w:rsid w:val="184D106D"/>
    <w:rsid w:val="19885571"/>
    <w:rsid w:val="1A21446B"/>
    <w:rsid w:val="1A55664B"/>
    <w:rsid w:val="1A7C7103"/>
    <w:rsid w:val="1C2077B4"/>
    <w:rsid w:val="1C962C76"/>
    <w:rsid w:val="1CB65729"/>
    <w:rsid w:val="1CB908AC"/>
    <w:rsid w:val="1DF35130"/>
    <w:rsid w:val="1E272107"/>
    <w:rsid w:val="1FDA4FD1"/>
    <w:rsid w:val="20510493"/>
    <w:rsid w:val="20820C62"/>
    <w:rsid w:val="216A69E1"/>
    <w:rsid w:val="224D11D2"/>
    <w:rsid w:val="22C55999"/>
    <w:rsid w:val="23593C8E"/>
    <w:rsid w:val="2443168D"/>
    <w:rsid w:val="245D2237"/>
    <w:rsid w:val="25C73A07"/>
    <w:rsid w:val="2624631F"/>
    <w:rsid w:val="264D4F65"/>
    <w:rsid w:val="277D5657"/>
    <w:rsid w:val="284550A0"/>
    <w:rsid w:val="28FB5AC8"/>
    <w:rsid w:val="29B155F7"/>
    <w:rsid w:val="29F43AE2"/>
    <w:rsid w:val="2AAE0992"/>
    <w:rsid w:val="2B5E52B2"/>
    <w:rsid w:val="2BC362DB"/>
    <w:rsid w:val="2C547138"/>
    <w:rsid w:val="2C87189D"/>
    <w:rsid w:val="2FFC7C4A"/>
    <w:rsid w:val="30234286"/>
    <w:rsid w:val="30781792"/>
    <w:rsid w:val="322F3062"/>
    <w:rsid w:val="329B0193"/>
    <w:rsid w:val="334D5945"/>
    <w:rsid w:val="337D6506"/>
    <w:rsid w:val="3491064E"/>
    <w:rsid w:val="34F00667"/>
    <w:rsid w:val="34FE797D"/>
    <w:rsid w:val="359955FD"/>
    <w:rsid w:val="36314876"/>
    <w:rsid w:val="369D7429"/>
    <w:rsid w:val="39511E95"/>
    <w:rsid w:val="395A27A5"/>
    <w:rsid w:val="397B0651"/>
    <w:rsid w:val="3A6A3C67"/>
    <w:rsid w:val="3B3B0ABC"/>
    <w:rsid w:val="3D87287F"/>
    <w:rsid w:val="3DEC38A8"/>
    <w:rsid w:val="3E741203"/>
    <w:rsid w:val="402975CF"/>
    <w:rsid w:val="40D01062"/>
    <w:rsid w:val="40F3251B"/>
    <w:rsid w:val="41AF06D0"/>
    <w:rsid w:val="42012A59"/>
    <w:rsid w:val="422B389D"/>
    <w:rsid w:val="42721A93"/>
    <w:rsid w:val="452C3347"/>
    <w:rsid w:val="46A401F3"/>
    <w:rsid w:val="46C139AB"/>
    <w:rsid w:val="46DB28CC"/>
    <w:rsid w:val="46E56A5F"/>
    <w:rsid w:val="477914D1"/>
    <w:rsid w:val="47AF19AB"/>
    <w:rsid w:val="488C2292"/>
    <w:rsid w:val="48DD0D98"/>
    <w:rsid w:val="48E9042E"/>
    <w:rsid w:val="49DA57B7"/>
    <w:rsid w:val="49F84D68"/>
    <w:rsid w:val="4A057900"/>
    <w:rsid w:val="4A555101"/>
    <w:rsid w:val="4AD41253"/>
    <w:rsid w:val="4AD43451"/>
    <w:rsid w:val="4B29095D"/>
    <w:rsid w:val="4BD642F8"/>
    <w:rsid w:val="4D655D09"/>
    <w:rsid w:val="4E714F41"/>
    <w:rsid w:val="4F7F3DFA"/>
    <w:rsid w:val="4FBC5E5D"/>
    <w:rsid w:val="50671B79"/>
    <w:rsid w:val="50A4615B"/>
    <w:rsid w:val="5235306E"/>
    <w:rsid w:val="53917AA7"/>
    <w:rsid w:val="55914FEE"/>
    <w:rsid w:val="564C5721"/>
    <w:rsid w:val="57E60D46"/>
    <w:rsid w:val="58DE5A5B"/>
    <w:rsid w:val="5A376F91"/>
    <w:rsid w:val="5A3E1FC5"/>
    <w:rsid w:val="5A561DC4"/>
    <w:rsid w:val="5B4B35D6"/>
    <w:rsid w:val="5B507A5E"/>
    <w:rsid w:val="5BDE05C6"/>
    <w:rsid w:val="5C350FD5"/>
    <w:rsid w:val="5C5F1E19"/>
    <w:rsid w:val="5D21575A"/>
    <w:rsid w:val="5D2508DD"/>
    <w:rsid w:val="5E1F1DFA"/>
    <w:rsid w:val="5E7B340D"/>
    <w:rsid w:val="5F8E7A52"/>
    <w:rsid w:val="602C6657"/>
    <w:rsid w:val="63390858"/>
    <w:rsid w:val="63723EB5"/>
    <w:rsid w:val="63D53F5A"/>
    <w:rsid w:val="6444420E"/>
    <w:rsid w:val="646B1ECF"/>
    <w:rsid w:val="6510045E"/>
    <w:rsid w:val="657213FC"/>
    <w:rsid w:val="66B02109"/>
    <w:rsid w:val="67D43165"/>
    <w:rsid w:val="68852F89"/>
    <w:rsid w:val="68C55F71"/>
    <w:rsid w:val="69B226F6"/>
    <w:rsid w:val="6A0F720C"/>
    <w:rsid w:val="6A2C45BE"/>
    <w:rsid w:val="6AF51A88"/>
    <w:rsid w:val="6B7610DD"/>
    <w:rsid w:val="6B7845E0"/>
    <w:rsid w:val="6BBA168F"/>
    <w:rsid w:val="6CD35796"/>
    <w:rsid w:val="6D010864"/>
    <w:rsid w:val="6EF0008F"/>
    <w:rsid w:val="6F21085E"/>
    <w:rsid w:val="71AA2486"/>
    <w:rsid w:val="71C92D3B"/>
    <w:rsid w:val="73F96853"/>
    <w:rsid w:val="74015E5E"/>
    <w:rsid w:val="74327CB2"/>
    <w:rsid w:val="7443214A"/>
    <w:rsid w:val="745942EE"/>
    <w:rsid w:val="75DF53EF"/>
    <w:rsid w:val="76517CAC"/>
    <w:rsid w:val="770B70DA"/>
    <w:rsid w:val="777E1618"/>
    <w:rsid w:val="787B6037"/>
    <w:rsid w:val="787F24BF"/>
    <w:rsid w:val="793D02F4"/>
    <w:rsid w:val="797926D7"/>
    <w:rsid w:val="7A024BBA"/>
    <w:rsid w:val="7A525C3E"/>
    <w:rsid w:val="7A867391"/>
    <w:rsid w:val="7E33111C"/>
    <w:rsid w:val="7F063673"/>
    <w:rsid w:val="7FDA275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rules v:ext="edit">
        <o:r id="V:Rule1" type="connector" idref="#自选图形 2"/>
        <o:r id="V:Rule2" type="connector" idref="#自选图形 3"/>
        <o:r id="V:Rule3" type="connector" idref="#自选图形 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unhideWhenUsed/>
    <w:uiPriority w:val="0"/>
    <w:rPr>
      <w:rFonts w:ascii="宋体" w:hAnsi="宋体" w:eastAsia="宋体" w:cs="宋体"/>
      <w:sz w:val="32"/>
      <w:szCs w:val="32"/>
    </w:rPr>
  </w:style>
  <w:style w:type="paragraph" w:styleId="3">
    <w:name w:val="Balloon Text"/>
    <w:basedOn w:val="1"/>
    <w:link w:val="13"/>
    <w:unhideWhenUsed/>
    <w:uiPriority w:val="99"/>
    <w:rPr>
      <w:sz w:val="18"/>
      <w:szCs w:val="18"/>
    </w:rPr>
  </w:style>
  <w:style w:type="paragraph" w:styleId="4">
    <w:name w:val="footer"/>
    <w:basedOn w:val="1"/>
    <w:unhideWhenUsed/>
    <w:uiPriority w:val="0"/>
    <w:pPr>
      <w:tabs>
        <w:tab w:val="center" w:pos="4153"/>
        <w:tab w:val="right" w:pos="8306"/>
      </w:tabs>
      <w:snapToGrid w:val="0"/>
      <w:jc w:val="left"/>
    </w:pPr>
    <w:rPr>
      <w:sz w:val="18"/>
    </w:rPr>
  </w:style>
  <w:style w:type="paragraph" w:styleId="5">
    <w:name w:val="header"/>
    <w:basedOn w:val="1"/>
    <w:unhideWhenUsed/>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p0"/>
    <w:basedOn w:val="1"/>
    <w:uiPriority w:val="0"/>
    <w:pPr>
      <w:widowControl/>
    </w:pPr>
    <w:rPr>
      <w:rFonts w:ascii="Calibri" w:hAnsi="Calibri" w:eastAsia="宋体" w:cs="宋体"/>
      <w:kern w:val="0"/>
      <w:szCs w:val="21"/>
    </w:rPr>
  </w:style>
  <w:style w:type="paragraph" w:customStyle="1" w:styleId="9">
    <w:name w:val="p17"/>
    <w:basedOn w:val="1"/>
    <w:uiPriority w:val="0"/>
    <w:pPr>
      <w:widowControl/>
      <w:spacing w:before="480" w:line="273" w:lineRule="auto"/>
      <w:jc w:val="left"/>
    </w:pPr>
    <w:rPr>
      <w:rFonts w:ascii="Cambria" w:hAnsi="Cambria" w:eastAsia="宋体" w:cs="宋体"/>
      <w:b/>
      <w:bCs/>
      <w:color w:val="365F91"/>
      <w:kern w:val="0"/>
      <w:sz w:val="28"/>
      <w:szCs w:val="28"/>
    </w:rPr>
  </w:style>
  <w:style w:type="paragraph" w:customStyle="1" w:styleId="10">
    <w:name w:val="p18"/>
    <w:basedOn w:val="1"/>
    <w:uiPriority w:val="0"/>
    <w:pPr>
      <w:widowControl/>
      <w:spacing w:after="200" w:line="273" w:lineRule="auto"/>
      <w:jc w:val="left"/>
    </w:pPr>
    <w:rPr>
      <w:rFonts w:ascii="Calibri" w:hAnsi="Calibri" w:eastAsia="宋体" w:cs="宋体"/>
      <w:color w:val="000000"/>
      <w:kern w:val="0"/>
      <w:sz w:val="22"/>
    </w:rPr>
  </w:style>
  <w:style w:type="paragraph" w:customStyle="1" w:styleId="11">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2">
    <w:name w:val="实施方案正文"/>
    <w:basedOn w:val="1"/>
    <w:qFormat/>
    <w:uiPriority w:val="0"/>
    <w:pPr>
      <w:ind w:firstLine="566" w:firstLineChars="202"/>
    </w:pPr>
    <w:rPr>
      <w:rFonts w:ascii="等线" w:hAnsi="等线" w:eastAsia="等线" w:cs="Times New Roman"/>
      <w:szCs w:val="28"/>
    </w:rPr>
  </w:style>
  <w:style w:type="character" w:customStyle="1" w:styleId="13">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Info spid="_x0000_s2050"/>
    <customShpInfo spid="_x0000_s2051"/>
    <customShpInfo spid="_x0000_s1029" textRotate="1"/>
    <customShpInfo spid="_x0000_s1030" textRotate="1"/>
    <customShpInfo spid="_x0000_s103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237</Words>
  <Characters>1352</Characters>
  <Lines>11</Lines>
  <Paragraphs>3</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2021-05-13T03:45:00Z</dcterms:created>
  <dc:creator>Administrator</dc:creator>
  <cp:lastModifiedBy>dell</cp:lastModifiedBy>
  <dcterms:modified xsi:type="dcterms:W3CDTF">2021-06-01T08:41:50Z</dcterms:modified>
  <dc:title>附件4：部门整体支出绩效评价报告（范本）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