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240" w:lineRule="auto"/>
        <w:jc w:val="left"/>
        <w:rPr>
          <w:rFonts w:ascii="Times New Roman" w:hAnsi="Times New Roman" w:eastAsia="宋体" w:cs="Times New Roman"/>
          <w:b/>
          <w:bCs/>
          <w:kern w:val="0"/>
          <w:sz w:val="28"/>
          <w:szCs w:val="28"/>
        </w:rPr>
      </w:pPr>
    </w:p>
    <w:p>
      <w:pPr>
        <w:pStyle w:val="7"/>
        <w:spacing w:line="520" w:lineRule="atLeast"/>
        <w:ind w:left="630" w:hanging="840"/>
        <w:jc w:val="left"/>
        <w:rPr>
          <w:rFonts w:ascii="方正小标宋_GBK" w:eastAsia="方正小标宋_GBK"/>
          <w:sz w:val="28"/>
          <w:szCs w:val="28"/>
        </w:rPr>
      </w:pPr>
      <w:r>
        <w:rPr>
          <w:rFonts w:hint="eastAsia" w:ascii="方正小标宋_GBK" w:eastAsia="方正小标宋_GBK"/>
          <w:sz w:val="28"/>
          <w:szCs w:val="28"/>
        </w:rPr>
        <w:t>附件5：项目支出绩效评价报告（范本）</w:t>
      </w:r>
    </w:p>
    <w:p>
      <w:pPr>
        <w:pStyle w:val="7"/>
        <w:spacing w:before="120" w:after="120" w:line="480" w:lineRule="auto"/>
        <w:jc w:val="center"/>
        <w:rPr>
          <w:rFonts w:ascii="Times New Roman" w:hAnsi="Times New Roman" w:cs="Times New Roman"/>
          <w:b/>
          <w:bCs/>
          <w:sz w:val="52"/>
          <w:szCs w:val="52"/>
        </w:rPr>
      </w:pPr>
      <w:r>
        <w:rPr>
          <w:rFonts w:ascii="Times New Roman" w:hAnsi="Times New Roman" w:cs="Times New Roman"/>
          <w:b/>
          <w:bCs/>
          <w:sz w:val="52"/>
          <w:szCs w:val="52"/>
        </w:rPr>
        <w:t xml:space="preserve"> </w:t>
      </w:r>
    </w:p>
    <w:p>
      <w:pPr>
        <w:pStyle w:val="7"/>
        <w:jc w:val="center"/>
        <w:rPr>
          <w:rFonts w:ascii="黑体" w:hAnsi="黑体" w:eastAsia="黑体"/>
          <w:sz w:val="52"/>
          <w:szCs w:val="52"/>
        </w:rPr>
      </w:pPr>
      <w:r>
        <w:rPr>
          <w:rFonts w:hint="eastAsia" w:ascii="黑体" w:hAnsi="黑体" w:eastAsia="黑体"/>
          <w:sz w:val="52"/>
          <w:szCs w:val="52"/>
        </w:rPr>
        <w:t>20</w:t>
      </w:r>
      <w:r>
        <w:rPr>
          <w:rFonts w:hint="eastAsia" w:ascii="黑体" w:hAnsi="黑体" w:eastAsia="黑体"/>
          <w:sz w:val="52"/>
          <w:szCs w:val="52"/>
          <w:lang w:val="en-US" w:eastAsia="zh-CN"/>
        </w:rPr>
        <w:t>20</w:t>
      </w:r>
      <w:r>
        <w:rPr>
          <w:rFonts w:hint="eastAsia" w:ascii="黑体" w:hAnsi="黑体" w:eastAsia="黑体"/>
          <w:sz w:val="52"/>
          <w:szCs w:val="52"/>
        </w:rPr>
        <w:t>年</w:t>
      </w:r>
      <w:r>
        <w:rPr>
          <w:rFonts w:hint="eastAsia" w:ascii="黑体" w:hAnsi="黑体" w:eastAsia="黑体"/>
          <w:sz w:val="52"/>
          <w:szCs w:val="52"/>
          <w:lang w:eastAsia="zh-CN"/>
        </w:rPr>
        <w:t>购买森林消防车辆资金</w:t>
      </w:r>
      <w:r>
        <w:rPr>
          <w:rFonts w:hint="eastAsia" w:ascii="黑体" w:hAnsi="黑体" w:eastAsia="黑体"/>
          <w:sz w:val="52"/>
          <w:szCs w:val="52"/>
        </w:rPr>
        <w:t>支出绩效自评报告</w:t>
      </w:r>
    </w:p>
    <w:p>
      <w:pPr>
        <w:pStyle w:val="7"/>
        <w:jc w:val="center"/>
        <w:rPr>
          <w:rFonts w:ascii="黑体" w:hAnsi="黑体" w:eastAsia="黑体"/>
          <w:sz w:val="52"/>
          <w:szCs w:val="52"/>
        </w:rPr>
      </w:pPr>
      <w:r>
        <w:rPr>
          <w:rFonts w:hint="eastAsia" w:ascii="黑体" w:hAnsi="黑体" w:eastAsia="黑体"/>
          <w:sz w:val="52"/>
          <w:szCs w:val="52"/>
        </w:rPr>
        <w:t>（20</w:t>
      </w:r>
      <w:r>
        <w:rPr>
          <w:rFonts w:hint="eastAsia" w:ascii="黑体" w:hAnsi="黑体" w:eastAsia="黑体"/>
          <w:sz w:val="52"/>
          <w:szCs w:val="52"/>
          <w:lang w:val="en-US" w:eastAsia="zh-CN"/>
        </w:rPr>
        <w:t>20</w:t>
      </w:r>
      <w:r>
        <w:rPr>
          <w:rFonts w:hint="eastAsia" w:ascii="黑体" w:hAnsi="黑体" w:eastAsia="黑体"/>
          <w:sz w:val="52"/>
          <w:szCs w:val="52"/>
        </w:rPr>
        <w:t>年度）</w:t>
      </w:r>
    </w:p>
    <w:p>
      <w:pPr>
        <w:pStyle w:val="7"/>
        <w:spacing w:before="120" w:after="120" w:line="480" w:lineRule="auto"/>
        <w:jc w:val="center"/>
        <w:rPr>
          <w:rFonts w:ascii="Times New Roman" w:hAnsi="Times New Roman" w:cs="Times New Roman"/>
          <w:b/>
          <w:bCs/>
          <w:sz w:val="52"/>
          <w:szCs w:val="52"/>
        </w:rPr>
      </w:pPr>
      <w:r>
        <w:rPr>
          <w:rFonts w:ascii="Times New Roman" w:hAnsi="Times New Roman" w:cs="Times New Roman"/>
          <w:b/>
          <w:bCs/>
          <w:sz w:val="52"/>
          <w:szCs w:val="52"/>
        </w:rPr>
        <w:t xml:space="preserve"> </w:t>
      </w:r>
    </w:p>
    <w:p>
      <w:pPr>
        <w:pStyle w:val="7"/>
        <w:spacing w:before="120" w:after="120" w:line="480" w:lineRule="auto"/>
        <w:jc w:val="center"/>
        <w:rPr>
          <w:rFonts w:ascii="Times New Roman" w:hAnsi="Times New Roman" w:cs="Times New Roman"/>
          <w:b/>
          <w:bCs/>
          <w:sz w:val="44"/>
          <w:szCs w:val="44"/>
        </w:rPr>
      </w:pPr>
      <w:r>
        <w:rPr>
          <w:rFonts w:ascii="Times New Roman" w:hAnsi="Times New Roman" w:cs="Times New Roman"/>
          <w:b/>
          <w:bCs/>
          <w:sz w:val="44"/>
          <w:szCs w:val="44"/>
        </w:rPr>
        <w:t xml:space="preserve"> </w:t>
      </w:r>
    </w:p>
    <w:p>
      <w:pPr>
        <w:pStyle w:val="7"/>
        <w:spacing w:before="120" w:after="120" w:line="480" w:lineRule="auto"/>
        <w:jc w:val="center"/>
        <w:rPr>
          <w:rFonts w:ascii="Times New Roman" w:hAnsi="Times New Roman" w:cs="Times New Roman"/>
          <w:b/>
          <w:bCs/>
          <w:sz w:val="44"/>
          <w:szCs w:val="44"/>
        </w:rPr>
      </w:pPr>
      <w:r>
        <w:rPr>
          <w:rFonts w:ascii="Times New Roman" w:hAnsi="Times New Roman" w:cs="Times New Roman"/>
          <w:b/>
          <w:bCs/>
          <w:sz w:val="44"/>
          <w:szCs w:val="44"/>
        </w:rPr>
        <w:t xml:space="preserve"> </w:t>
      </w:r>
    </w:p>
    <w:p>
      <w:pPr>
        <w:pStyle w:val="7"/>
        <w:spacing w:before="120" w:after="120" w:line="480" w:lineRule="auto"/>
        <w:jc w:val="center"/>
        <w:rPr>
          <w:rFonts w:ascii="Times New Roman" w:hAnsi="Times New Roman" w:cs="Times New Roman"/>
          <w:b/>
          <w:bCs/>
          <w:sz w:val="44"/>
          <w:szCs w:val="44"/>
        </w:rPr>
      </w:pPr>
      <w:r>
        <w:rPr>
          <w:rFonts w:ascii="Times New Roman" w:hAnsi="Times New Roman" w:cs="Times New Roman"/>
          <w:b/>
          <w:bCs/>
          <w:sz w:val="44"/>
          <w:szCs w:val="44"/>
        </w:rPr>
        <w:t xml:space="preserve"> </w:t>
      </w:r>
    </w:p>
    <w:p>
      <w:pPr>
        <w:pStyle w:val="7"/>
        <w:adjustRightInd w:val="0"/>
        <w:snapToGrid w:val="0"/>
        <w:spacing w:line="360" w:lineRule="auto"/>
        <w:ind w:left="1260"/>
        <w:rPr>
          <w:rFonts w:ascii="Times New Roman" w:hAnsi="Times New Roman" w:cs="Times New Roman"/>
          <w:b/>
          <w:bCs/>
          <w:sz w:val="28"/>
          <w:szCs w:val="28"/>
        </w:rPr>
      </w:pPr>
      <w:r>
        <w:rPr>
          <w:rFonts w:hint="eastAsia" w:ascii="黑体" w:hAnsi="黑体" w:eastAsia="黑体"/>
          <w:b/>
          <w:bCs/>
          <w:sz w:val="28"/>
          <w:szCs w:val="28"/>
        </w:rPr>
        <w:t>部门名称（公章）：盘龙区农业农村局</w:t>
      </w:r>
    </w:p>
    <w:p>
      <w:pPr>
        <w:pStyle w:val="7"/>
        <w:adjustRightInd w:val="0"/>
        <w:snapToGrid w:val="0"/>
        <w:spacing w:line="360" w:lineRule="auto"/>
        <w:ind w:left="1260"/>
        <w:rPr>
          <w:rFonts w:ascii="Times New Roman" w:hAnsi="Times New Roman" w:cs="Times New Roman"/>
          <w:b/>
          <w:bCs/>
          <w:sz w:val="28"/>
          <w:szCs w:val="28"/>
        </w:rPr>
      </w:pPr>
      <w:r>
        <w:rPr>
          <w:rFonts w:hint="eastAsia" w:ascii="黑体" w:hAnsi="黑体" w:eastAsia="黑体"/>
          <w:b/>
          <w:bCs/>
          <w:sz w:val="28"/>
          <w:szCs w:val="28"/>
        </w:rPr>
        <w:t>项目单位：</w:t>
      </w:r>
      <w:r>
        <w:rPr>
          <w:rFonts w:hint="eastAsia" w:ascii="Times New Roman" w:hAnsi="Times New Roman" w:cs="Times New Roman"/>
          <w:b/>
          <w:bCs/>
          <w:sz w:val="28"/>
          <w:szCs w:val="28"/>
        </w:rPr>
        <w:t>盘龙区农业农村局</w:t>
      </w:r>
    </w:p>
    <w:p>
      <w:pPr>
        <w:pStyle w:val="7"/>
        <w:adjustRightInd w:val="0"/>
        <w:snapToGrid w:val="0"/>
        <w:spacing w:line="360" w:lineRule="auto"/>
        <w:ind w:left="1260"/>
        <w:rPr>
          <w:rFonts w:ascii="Times New Roman" w:hAnsi="Times New Roman" w:cs="Times New Roman"/>
          <w:b/>
          <w:bCs/>
          <w:sz w:val="28"/>
          <w:szCs w:val="28"/>
        </w:rPr>
      </w:pPr>
      <w:r>
        <w:rPr>
          <w:rFonts w:hint="eastAsia" w:ascii="黑体" w:hAnsi="黑体" w:eastAsia="黑体"/>
          <w:b/>
          <w:bCs/>
          <w:sz w:val="28"/>
          <w:szCs w:val="28"/>
        </w:rPr>
        <w:t>主管部门：盘龙区农业农村局</w:t>
      </w:r>
      <w:r>
        <w:rPr>
          <w:rFonts w:ascii="Times New Roman" w:hAnsi="Times New Roman" w:cs="Times New Roman"/>
          <w:b/>
          <w:bCs/>
          <w:sz w:val="28"/>
          <w:szCs w:val="28"/>
        </w:rPr>
        <w:t xml:space="preserve"> </w:t>
      </w:r>
    </w:p>
    <w:p>
      <w:pPr>
        <w:pStyle w:val="7"/>
        <w:adjustRightInd w:val="0"/>
        <w:snapToGrid w:val="0"/>
        <w:spacing w:line="360" w:lineRule="auto"/>
        <w:ind w:left="1260"/>
        <w:rPr>
          <w:rFonts w:hint="eastAsia" w:ascii="黑体" w:hAnsi="黑体" w:eastAsia="黑体"/>
          <w:b/>
          <w:bCs/>
          <w:sz w:val="28"/>
          <w:szCs w:val="28"/>
          <w:lang w:eastAsia="zh-CN"/>
        </w:rPr>
      </w:pPr>
      <w:r>
        <w:rPr>
          <w:rFonts w:hint="eastAsia" w:ascii="黑体" w:hAnsi="黑体" w:eastAsia="黑体"/>
          <w:b/>
          <w:bCs/>
          <w:sz w:val="28"/>
          <w:szCs w:val="28"/>
        </w:rPr>
        <w:t>项目名称：</w:t>
      </w:r>
      <w:r>
        <w:rPr>
          <w:rFonts w:hint="eastAsia" w:ascii="黑体" w:hAnsi="黑体" w:eastAsia="黑体"/>
          <w:b/>
          <w:bCs/>
          <w:sz w:val="28"/>
          <w:szCs w:val="28"/>
          <w:lang w:eastAsia="zh-CN"/>
        </w:rPr>
        <w:t>购买森林消防车辆资金</w:t>
      </w:r>
    </w:p>
    <w:p>
      <w:pPr>
        <w:pStyle w:val="7"/>
        <w:adjustRightInd w:val="0"/>
        <w:snapToGrid w:val="0"/>
        <w:spacing w:line="360" w:lineRule="auto"/>
        <w:ind w:left="1260"/>
        <w:rPr>
          <w:rFonts w:ascii="Times New Roman" w:hAnsi="Times New Roman" w:cs="Times New Roman"/>
          <w:b/>
          <w:bCs/>
          <w:sz w:val="28"/>
          <w:szCs w:val="28"/>
        </w:rPr>
      </w:pPr>
      <w:r>
        <w:rPr>
          <w:rFonts w:hint="eastAsia" w:ascii="黑体" w:hAnsi="黑体" w:eastAsia="黑体"/>
          <w:b/>
          <w:bCs/>
          <w:sz w:val="28"/>
          <w:szCs w:val="28"/>
        </w:rPr>
        <w:t>绩效自评日期：</w:t>
      </w:r>
      <w:r>
        <w:rPr>
          <w:rFonts w:hint="eastAsia" w:ascii="Times New Roman" w:hAnsi="Times New Roman" w:cs="Times New Roman"/>
          <w:b/>
          <w:bCs/>
          <w:sz w:val="28"/>
          <w:szCs w:val="28"/>
        </w:rPr>
        <w:t>2020年</w:t>
      </w:r>
      <w:r>
        <w:rPr>
          <w:rFonts w:hint="eastAsia" w:ascii="Times New Roman" w:hAnsi="Times New Roman" w:cs="Times New Roman"/>
          <w:b/>
          <w:bCs/>
          <w:sz w:val="28"/>
          <w:szCs w:val="28"/>
          <w:lang w:val="en-US" w:eastAsia="zh-CN"/>
        </w:rPr>
        <w:t>5</w:t>
      </w:r>
      <w:r>
        <w:rPr>
          <w:rFonts w:hint="eastAsia" w:ascii="Times New Roman" w:hAnsi="Times New Roman" w:cs="Times New Roman"/>
          <w:b/>
          <w:bCs/>
          <w:sz w:val="28"/>
          <w:szCs w:val="28"/>
        </w:rPr>
        <w:t>月</w:t>
      </w:r>
      <w:r>
        <w:rPr>
          <w:rFonts w:hint="eastAsia" w:ascii="Times New Roman" w:hAnsi="Times New Roman" w:cs="Times New Roman"/>
          <w:b/>
          <w:bCs/>
          <w:sz w:val="28"/>
          <w:szCs w:val="28"/>
          <w:lang w:val="en-US" w:eastAsia="zh-CN"/>
        </w:rPr>
        <w:t>17</w:t>
      </w:r>
      <w:r>
        <w:rPr>
          <w:rFonts w:hint="eastAsia" w:ascii="Times New Roman" w:hAnsi="Times New Roman" w:cs="Times New Roman"/>
          <w:b/>
          <w:bCs/>
          <w:sz w:val="28"/>
          <w:szCs w:val="28"/>
        </w:rPr>
        <w:t>日</w:t>
      </w:r>
    </w:p>
    <w:p>
      <w:pPr>
        <w:pStyle w:val="7"/>
        <w:spacing w:line="360" w:lineRule="auto"/>
        <w:ind w:left="1218"/>
        <w:rPr>
          <w:rFonts w:ascii="Times New Roman" w:hAnsi="Times New Roman" w:cs="Times New Roman"/>
          <w:b/>
          <w:bCs/>
          <w:sz w:val="28"/>
          <w:szCs w:val="28"/>
        </w:rPr>
      </w:pPr>
      <w:r>
        <w:rPr>
          <w:rFonts w:ascii="Times New Roman" w:hAnsi="Times New Roman" w:cs="Times New Roman"/>
          <w:b/>
          <w:bCs/>
          <w:sz w:val="28"/>
          <w:szCs w:val="28"/>
        </w:rPr>
        <w:t xml:space="preserve"> </w:t>
      </w:r>
    </w:p>
    <w:p>
      <w:pPr>
        <w:pStyle w:val="7"/>
        <w:jc w:val="center"/>
        <w:rPr>
          <w:rFonts w:ascii="Times New Roman" w:hAnsi="Times New Roman" w:cs="Times New Roman"/>
          <w:b/>
          <w:bCs/>
          <w:sz w:val="28"/>
          <w:szCs w:val="28"/>
        </w:rPr>
      </w:pPr>
      <w:r>
        <w:rPr>
          <w:rFonts w:ascii="Times New Roman" w:hAnsi="Times New Roman" w:cs="Times New Roman"/>
          <w:b/>
          <w:bCs/>
          <w:sz w:val="28"/>
          <w:szCs w:val="28"/>
        </w:rPr>
        <w:t>20</w:t>
      </w:r>
      <w:r>
        <w:rPr>
          <w:rFonts w:hint="eastAsia" w:ascii="黑体" w:hAnsi="黑体" w:eastAsia="黑体"/>
          <w:b/>
          <w:bCs/>
          <w:sz w:val="28"/>
          <w:szCs w:val="28"/>
        </w:rPr>
        <w:t>20年</w:t>
      </w:r>
      <w:r>
        <w:rPr>
          <w:rFonts w:hint="eastAsia" w:ascii="黑体" w:hAnsi="黑体" w:eastAsia="黑体"/>
          <w:b/>
          <w:bCs/>
          <w:sz w:val="28"/>
          <w:szCs w:val="28"/>
          <w:lang w:val="en-US" w:eastAsia="zh-CN"/>
        </w:rPr>
        <w:t>5</w:t>
      </w:r>
      <w:r>
        <w:rPr>
          <w:rFonts w:hint="eastAsia" w:ascii="黑体" w:hAnsi="黑体" w:eastAsia="黑体"/>
          <w:b/>
          <w:bCs/>
          <w:sz w:val="28"/>
          <w:szCs w:val="28"/>
        </w:rPr>
        <w:t>月</w:t>
      </w:r>
    </w:p>
    <w:p>
      <w:pPr>
        <w:pStyle w:val="7"/>
        <w:jc w:val="center"/>
        <w:rPr>
          <w:rFonts w:ascii="Times New Roman" w:hAnsi="Times New Roman" w:cs="Times New Roman"/>
          <w:b/>
          <w:bCs/>
          <w:sz w:val="28"/>
          <w:szCs w:val="28"/>
        </w:rPr>
      </w:pPr>
      <w:r>
        <w:rPr>
          <w:rFonts w:ascii="Times New Roman" w:hAnsi="Times New Roman" w:cs="Times New Roman"/>
          <w:b/>
          <w:bCs/>
          <w:sz w:val="28"/>
          <w:szCs w:val="28"/>
        </w:rPr>
        <w:t xml:space="preserve"> </w:t>
      </w:r>
    </w:p>
    <w:p>
      <w:pPr>
        <w:widowControl/>
        <w:spacing w:line="240" w:lineRule="auto"/>
        <w:jc w:val="center"/>
        <w:rPr>
          <w:rFonts w:ascii="Times New Roman" w:hAnsi="Times New Roman" w:eastAsia="宋体" w:cs="Times New Roman"/>
          <w:b/>
          <w:bCs/>
          <w:kern w:val="0"/>
          <w:sz w:val="28"/>
          <w:szCs w:val="28"/>
        </w:rPr>
      </w:pPr>
      <w:r>
        <w:rPr>
          <w:rFonts w:ascii="Times New Roman" w:hAnsi="Times New Roman" w:eastAsia="宋体" w:cs="Times New Roman"/>
          <w:b/>
          <w:bCs/>
          <w:kern w:val="0"/>
          <w:sz w:val="28"/>
          <w:szCs w:val="28"/>
        </w:rPr>
        <w:t xml:space="preserve"> </w:t>
      </w:r>
    </w:p>
    <w:p>
      <w:pPr>
        <w:widowControl/>
        <w:spacing w:line="240" w:lineRule="auto"/>
        <w:jc w:val="center"/>
        <w:rPr>
          <w:rFonts w:ascii="Times New Roman" w:hAnsi="Times New Roman" w:eastAsia="宋体" w:cs="Times New Roman"/>
          <w:b/>
          <w:bCs/>
          <w:kern w:val="0"/>
          <w:sz w:val="28"/>
          <w:szCs w:val="28"/>
        </w:rPr>
      </w:pPr>
      <w:r>
        <w:rPr>
          <w:rFonts w:ascii="Times New Roman" w:hAnsi="Times New Roman" w:eastAsia="宋体" w:cs="Times New Roman"/>
          <w:b/>
          <w:bCs/>
          <w:kern w:val="0"/>
          <w:sz w:val="28"/>
          <w:szCs w:val="28"/>
        </w:rPr>
        <w:t xml:space="preserve">  </w:t>
      </w:r>
    </w:p>
    <w:p>
      <w:pPr>
        <w:widowControl/>
        <w:spacing w:line="240" w:lineRule="auto"/>
        <w:jc w:val="left"/>
        <w:rPr>
          <w:rFonts w:ascii="黑体" w:hAnsi="黑体" w:eastAsia="黑体" w:cs="宋体"/>
          <w:kern w:val="0"/>
          <w:sz w:val="24"/>
          <w:szCs w:val="24"/>
        </w:rPr>
        <w:sectPr>
          <w:footerReference r:id="rId3" w:type="default"/>
          <w:pgSz w:w="11906" w:h="16838"/>
          <w:pgMar w:top="1440" w:right="1800" w:bottom="1440" w:left="1800" w:header="720" w:footer="720" w:gutter="0"/>
          <w:cols w:space="720" w:num="1"/>
          <w:docGrid w:type="lines" w:linePitch="312" w:charSpace="0"/>
        </w:sectPr>
      </w:pPr>
    </w:p>
    <w:p>
      <w:pPr>
        <w:widowControl/>
        <w:ind w:left="420"/>
        <w:rPr>
          <w:rFonts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评价小组成员：</w:t>
      </w:r>
    </w:p>
    <w:tbl>
      <w:tblPr>
        <w:tblStyle w:val="5"/>
        <w:tblW w:w="8102" w:type="dxa"/>
        <w:tblInd w:w="135" w:type="dxa"/>
        <w:tblLayout w:type="fixed"/>
        <w:tblCellMar>
          <w:top w:w="0" w:type="dxa"/>
          <w:left w:w="108" w:type="dxa"/>
          <w:bottom w:w="0" w:type="dxa"/>
          <w:right w:w="108" w:type="dxa"/>
        </w:tblCellMar>
      </w:tblPr>
      <w:tblGrid>
        <w:gridCol w:w="1620"/>
        <w:gridCol w:w="1620"/>
        <w:gridCol w:w="1620"/>
        <w:gridCol w:w="1621"/>
        <w:gridCol w:w="1621"/>
      </w:tblGrid>
      <w:tr>
        <w:tblPrEx>
          <w:tblLayout w:type="fixed"/>
          <w:tblCellMar>
            <w:top w:w="0" w:type="dxa"/>
            <w:left w:w="108" w:type="dxa"/>
            <w:bottom w:w="0" w:type="dxa"/>
            <w:right w:w="108" w:type="dxa"/>
          </w:tblCellMar>
        </w:tblPrEx>
        <w:tc>
          <w:tcPr>
            <w:tcW w:w="162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73" w:lineRule="auto"/>
              <w:ind w:left="0" w:right="0"/>
              <w:rPr>
                <w:rFonts w:hint="default"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评价小组</w:t>
            </w:r>
          </w:p>
          <w:p>
            <w:pPr>
              <w:keepNext w:val="0"/>
              <w:keepLines w:val="0"/>
              <w:widowControl/>
              <w:suppressLineNumbers w:val="0"/>
              <w:spacing w:before="0" w:beforeAutospacing="0" w:after="0" w:afterAutospacing="0" w:line="273" w:lineRule="auto"/>
              <w:ind w:left="0" w:right="0"/>
              <w:rPr>
                <w:rFonts w:hint="default"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机构职位</w:t>
            </w:r>
          </w:p>
        </w:tc>
        <w:tc>
          <w:tcPr>
            <w:tcW w:w="1620" w:type="dxa"/>
            <w:tcBorders>
              <w:top w:val="single" w:color="000000" w:sz="4" w:space="0"/>
              <w:left w:val="nil"/>
              <w:bottom w:val="single" w:color="000000" w:sz="4" w:space="0"/>
              <w:right w:val="single" w:color="000000" w:sz="4" w:space="0"/>
            </w:tcBorders>
            <w:vAlign w:val="center"/>
          </w:tcPr>
          <w:p>
            <w:pPr>
              <w:keepNext w:val="0"/>
              <w:keepLines w:val="0"/>
              <w:widowControl/>
              <w:suppressLineNumbers w:val="0"/>
              <w:spacing w:before="0" w:beforeAutospacing="0" w:after="0" w:afterAutospacing="0" w:line="273" w:lineRule="auto"/>
              <w:ind w:left="0" w:right="0"/>
              <w:rPr>
                <w:rFonts w:hint="default"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姓名</w:t>
            </w:r>
          </w:p>
        </w:tc>
        <w:tc>
          <w:tcPr>
            <w:tcW w:w="1620" w:type="dxa"/>
            <w:tcBorders>
              <w:top w:val="single" w:color="000000" w:sz="4" w:space="0"/>
              <w:left w:val="nil"/>
              <w:bottom w:val="single" w:color="000000" w:sz="4" w:space="0"/>
              <w:right w:val="single" w:color="000000" w:sz="4" w:space="0"/>
            </w:tcBorders>
            <w:vAlign w:val="center"/>
          </w:tcPr>
          <w:p>
            <w:pPr>
              <w:keepNext w:val="0"/>
              <w:keepLines w:val="0"/>
              <w:widowControl/>
              <w:suppressLineNumbers w:val="0"/>
              <w:spacing w:before="0" w:beforeAutospacing="0" w:after="0" w:afterAutospacing="0" w:line="273" w:lineRule="auto"/>
              <w:ind w:left="0" w:right="0"/>
              <w:rPr>
                <w:rFonts w:hint="default"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职务</w:t>
            </w:r>
            <w:r>
              <w:rPr>
                <w:rFonts w:hint="eastAsia" w:ascii="Times New Roman" w:hAnsi="Times New Roman" w:eastAsia="黑体" w:cs="Times New Roman"/>
                <w:color w:val="000000"/>
                <w:kern w:val="0"/>
                <w:sz w:val="24"/>
                <w:szCs w:val="24"/>
              </w:rPr>
              <w:t>/</w:t>
            </w:r>
            <w:r>
              <w:rPr>
                <w:rFonts w:hint="eastAsia" w:ascii="黑体" w:hAnsi="黑体" w:eastAsia="黑体" w:cs="宋体"/>
                <w:color w:val="000000"/>
                <w:kern w:val="0"/>
                <w:sz w:val="24"/>
                <w:szCs w:val="24"/>
              </w:rPr>
              <w:t>职称</w:t>
            </w:r>
          </w:p>
        </w:tc>
        <w:tc>
          <w:tcPr>
            <w:tcW w:w="1621" w:type="dxa"/>
            <w:tcBorders>
              <w:top w:val="single" w:color="000000" w:sz="4" w:space="0"/>
              <w:left w:val="nil"/>
              <w:bottom w:val="single" w:color="000000" w:sz="4" w:space="0"/>
              <w:right w:val="single" w:color="000000" w:sz="4" w:space="0"/>
            </w:tcBorders>
            <w:vAlign w:val="center"/>
          </w:tcPr>
          <w:p>
            <w:pPr>
              <w:keepNext w:val="0"/>
              <w:keepLines w:val="0"/>
              <w:widowControl/>
              <w:suppressLineNumbers w:val="0"/>
              <w:spacing w:before="0" w:beforeAutospacing="0" w:after="0" w:afterAutospacing="0" w:line="273" w:lineRule="auto"/>
              <w:ind w:left="0" w:right="0"/>
              <w:rPr>
                <w:rFonts w:hint="default"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所属</w:t>
            </w:r>
          </w:p>
          <w:p>
            <w:pPr>
              <w:keepNext w:val="0"/>
              <w:keepLines w:val="0"/>
              <w:widowControl/>
              <w:suppressLineNumbers w:val="0"/>
              <w:spacing w:before="0" w:beforeAutospacing="0" w:after="0" w:afterAutospacing="0" w:line="273" w:lineRule="auto"/>
              <w:ind w:left="0" w:right="0"/>
              <w:rPr>
                <w:rFonts w:hint="default"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单位</w:t>
            </w:r>
            <w:r>
              <w:rPr>
                <w:rFonts w:hint="eastAsia" w:ascii="Times New Roman" w:hAnsi="Times New Roman" w:eastAsia="黑体" w:cs="Times New Roman"/>
                <w:color w:val="000000"/>
                <w:kern w:val="0"/>
                <w:sz w:val="24"/>
                <w:szCs w:val="24"/>
              </w:rPr>
              <w:t>/</w:t>
            </w:r>
            <w:r>
              <w:rPr>
                <w:rFonts w:hint="eastAsia" w:ascii="黑体" w:hAnsi="黑体" w:eastAsia="黑体" w:cs="宋体"/>
                <w:color w:val="000000"/>
                <w:kern w:val="0"/>
                <w:sz w:val="24"/>
                <w:szCs w:val="24"/>
              </w:rPr>
              <w:t>处室</w:t>
            </w:r>
          </w:p>
        </w:tc>
        <w:tc>
          <w:tcPr>
            <w:tcW w:w="1621" w:type="dxa"/>
            <w:tcBorders>
              <w:top w:val="single" w:color="000000" w:sz="4" w:space="0"/>
              <w:left w:val="nil"/>
              <w:bottom w:val="single" w:color="000000" w:sz="4" w:space="0"/>
              <w:right w:val="single" w:color="000000" w:sz="4" w:space="0"/>
            </w:tcBorders>
            <w:vAlign w:val="center"/>
          </w:tcPr>
          <w:p>
            <w:pPr>
              <w:keepNext w:val="0"/>
              <w:keepLines w:val="0"/>
              <w:widowControl/>
              <w:suppressLineNumbers w:val="0"/>
              <w:spacing w:before="0" w:beforeAutospacing="0" w:after="0" w:afterAutospacing="0" w:line="273" w:lineRule="auto"/>
              <w:ind w:left="0" w:right="0"/>
              <w:rPr>
                <w:rFonts w:hint="default"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签字</w:t>
            </w:r>
          </w:p>
        </w:tc>
      </w:tr>
      <w:tr>
        <w:tblPrEx>
          <w:tblLayout w:type="fixed"/>
          <w:tblCellMar>
            <w:top w:w="0" w:type="dxa"/>
            <w:left w:w="108" w:type="dxa"/>
            <w:bottom w:w="0" w:type="dxa"/>
            <w:right w:w="108" w:type="dxa"/>
          </w:tblCellMar>
        </w:tblPrEx>
        <w:tc>
          <w:tcPr>
            <w:tcW w:w="162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73" w:lineRule="auto"/>
              <w:ind w:left="0" w:right="0"/>
              <w:rPr>
                <w:rFonts w:hint="default"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组长</w:t>
            </w:r>
          </w:p>
        </w:tc>
        <w:tc>
          <w:tcPr>
            <w:tcW w:w="1620" w:type="dxa"/>
            <w:tcBorders>
              <w:top w:val="single" w:color="000000" w:sz="4" w:space="0"/>
              <w:left w:val="nil"/>
              <w:bottom w:val="single" w:color="000000" w:sz="4" w:space="0"/>
              <w:right w:val="single" w:color="000000" w:sz="4" w:space="0"/>
            </w:tcBorders>
          </w:tcPr>
          <w:p>
            <w:pPr>
              <w:keepNext w:val="0"/>
              <w:keepLines w:val="0"/>
              <w:widowControl/>
              <w:suppressLineNumbers w:val="0"/>
              <w:spacing w:before="0" w:beforeAutospacing="0" w:after="0" w:afterAutospacing="0" w:line="273" w:lineRule="auto"/>
              <w:ind w:left="0" w:right="0"/>
              <w:rPr>
                <w:rFonts w:hint="eastAsia" w:ascii="Times New Roman" w:hAnsi="Times New Roman" w:eastAsia="宋体" w:cs="Times New Roman"/>
                <w:color w:val="000000"/>
                <w:kern w:val="0"/>
                <w:sz w:val="24"/>
                <w:szCs w:val="24"/>
                <w:lang w:eastAsia="zh-CN"/>
              </w:rPr>
            </w:pPr>
            <w:r>
              <w:rPr>
                <w:rFonts w:hint="eastAsia" w:ascii="Times New Roman" w:hAnsi="Times New Roman" w:eastAsia="宋体" w:cs="Times New Roman"/>
                <w:color w:val="000000"/>
                <w:kern w:val="0"/>
                <w:sz w:val="24"/>
                <w:szCs w:val="24"/>
                <w:lang w:eastAsia="zh-CN"/>
              </w:rPr>
              <w:t>鹿传奇</w:t>
            </w:r>
          </w:p>
        </w:tc>
        <w:tc>
          <w:tcPr>
            <w:tcW w:w="1620" w:type="dxa"/>
            <w:tcBorders>
              <w:top w:val="single" w:color="000000" w:sz="4" w:space="0"/>
              <w:left w:val="nil"/>
              <w:bottom w:val="single" w:color="000000" w:sz="4" w:space="0"/>
              <w:right w:val="single" w:color="000000" w:sz="4" w:space="0"/>
            </w:tcBorders>
          </w:tcPr>
          <w:p>
            <w:pPr>
              <w:keepNext w:val="0"/>
              <w:keepLines w:val="0"/>
              <w:widowControl/>
              <w:suppressLineNumbers w:val="0"/>
              <w:spacing w:before="0" w:beforeAutospacing="0" w:after="0" w:afterAutospacing="0" w:line="273" w:lineRule="auto"/>
              <w:ind w:left="0" w:right="0"/>
              <w:rPr>
                <w:rFonts w:hint="default"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局长</w:t>
            </w:r>
          </w:p>
        </w:tc>
        <w:tc>
          <w:tcPr>
            <w:tcW w:w="1621" w:type="dxa"/>
            <w:tcBorders>
              <w:top w:val="single" w:color="000000" w:sz="4" w:space="0"/>
              <w:left w:val="nil"/>
              <w:bottom w:val="single" w:color="000000" w:sz="4" w:space="0"/>
              <w:right w:val="single" w:color="000000" w:sz="4" w:space="0"/>
            </w:tcBorders>
          </w:tcPr>
          <w:p>
            <w:pPr>
              <w:keepNext w:val="0"/>
              <w:keepLines w:val="0"/>
              <w:widowControl/>
              <w:suppressLineNumbers w:val="0"/>
              <w:spacing w:before="0" w:beforeAutospacing="0" w:after="0" w:afterAutospacing="0" w:line="273" w:lineRule="auto"/>
              <w:ind w:left="0" w:right="0"/>
              <w:rPr>
                <w:rFonts w:hint="default"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盘龙区农业农村局</w:t>
            </w:r>
          </w:p>
        </w:tc>
        <w:tc>
          <w:tcPr>
            <w:tcW w:w="1621" w:type="dxa"/>
            <w:tcBorders>
              <w:top w:val="single" w:color="000000" w:sz="4" w:space="0"/>
              <w:left w:val="nil"/>
              <w:bottom w:val="single" w:color="000000" w:sz="4" w:space="0"/>
              <w:right w:val="single" w:color="000000" w:sz="4" w:space="0"/>
            </w:tcBorders>
          </w:tcPr>
          <w:p>
            <w:pPr>
              <w:keepNext w:val="0"/>
              <w:keepLines w:val="0"/>
              <w:widowControl/>
              <w:suppressLineNumbers w:val="0"/>
              <w:spacing w:before="0" w:beforeAutospacing="0" w:after="0" w:afterAutospacing="0" w:line="273" w:lineRule="auto"/>
              <w:ind w:left="0" w:right="0"/>
              <w:rPr>
                <w:rFonts w:hint="default" w:ascii="Times New Roman" w:hAnsi="Times New Roman" w:eastAsia="宋体" w:cs="Times New Roman"/>
                <w:color w:val="000000"/>
                <w:kern w:val="0"/>
                <w:sz w:val="24"/>
                <w:szCs w:val="24"/>
              </w:rPr>
            </w:pPr>
          </w:p>
        </w:tc>
      </w:tr>
      <w:tr>
        <w:tblPrEx>
          <w:tblLayout w:type="fixed"/>
          <w:tblCellMar>
            <w:top w:w="0" w:type="dxa"/>
            <w:left w:w="108" w:type="dxa"/>
            <w:bottom w:w="0" w:type="dxa"/>
            <w:right w:w="108" w:type="dxa"/>
          </w:tblCellMar>
        </w:tblPrEx>
        <w:tc>
          <w:tcPr>
            <w:tcW w:w="162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副组长</w:t>
            </w:r>
          </w:p>
        </w:tc>
        <w:tc>
          <w:tcPr>
            <w:tcW w:w="1620" w:type="dxa"/>
            <w:tcBorders>
              <w:top w:val="single" w:color="000000" w:sz="4" w:space="0"/>
              <w:left w:val="nil"/>
              <w:bottom w:val="single" w:color="000000" w:sz="4" w:space="0"/>
              <w:right w:val="single" w:color="000000" w:sz="4" w:space="0"/>
            </w:tcBorders>
          </w:tcPr>
          <w:p>
            <w:pPr>
              <w:keepNext w:val="0"/>
              <w:keepLines w:val="0"/>
              <w:widowControl/>
              <w:suppressLineNumbers w:val="0"/>
              <w:spacing w:before="0" w:beforeAutospacing="0" w:after="0" w:afterAutospacing="0"/>
              <w:ind w:left="0" w:right="0"/>
              <w:rPr>
                <w:rFonts w:hint="eastAsia" w:ascii="Times New Roman" w:hAnsi="Times New Roman" w:eastAsia="宋体" w:cs="Times New Roman"/>
                <w:color w:val="000000"/>
                <w:kern w:val="0"/>
                <w:sz w:val="24"/>
                <w:szCs w:val="24"/>
                <w:lang w:eastAsia="zh-CN"/>
              </w:rPr>
            </w:pPr>
            <w:r>
              <w:rPr>
                <w:rFonts w:hint="eastAsia" w:ascii="Times New Roman" w:hAnsi="Times New Roman" w:eastAsia="宋体" w:cs="Times New Roman"/>
                <w:color w:val="000000"/>
                <w:kern w:val="0"/>
                <w:sz w:val="24"/>
                <w:szCs w:val="24"/>
                <w:lang w:eastAsia="zh-CN"/>
              </w:rPr>
              <w:t>马仲令</w:t>
            </w:r>
          </w:p>
        </w:tc>
        <w:tc>
          <w:tcPr>
            <w:tcW w:w="1620" w:type="dxa"/>
            <w:tcBorders>
              <w:top w:val="single" w:color="000000" w:sz="4" w:space="0"/>
              <w:left w:val="nil"/>
              <w:bottom w:val="single" w:color="000000" w:sz="4" w:space="0"/>
              <w:right w:val="single" w:color="000000" w:sz="4" w:space="0"/>
            </w:tcBorders>
          </w:tcPr>
          <w:p>
            <w:pPr>
              <w:keepNext w:val="0"/>
              <w:keepLines w:val="0"/>
              <w:widowControl/>
              <w:suppressLineNumbers w:val="0"/>
              <w:spacing w:before="0" w:beforeAutospacing="0" w:after="0" w:afterAutospacing="0"/>
              <w:ind w:left="0" w:right="0"/>
              <w:rPr>
                <w:rFonts w:hint="eastAsia" w:ascii="Times New Roman" w:hAnsi="Times New Roman" w:eastAsia="宋体" w:cs="Times New Roman"/>
                <w:color w:val="000000"/>
                <w:kern w:val="0"/>
                <w:sz w:val="24"/>
                <w:szCs w:val="24"/>
                <w:lang w:eastAsia="zh-CN"/>
              </w:rPr>
            </w:pPr>
            <w:r>
              <w:rPr>
                <w:rFonts w:hint="eastAsia" w:ascii="Times New Roman" w:hAnsi="Times New Roman" w:eastAsia="宋体" w:cs="Times New Roman"/>
                <w:color w:val="000000"/>
                <w:kern w:val="0"/>
                <w:sz w:val="24"/>
                <w:szCs w:val="24"/>
                <w:lang w:eastAsia="zh-CN"/>
              </w:rPr>
              <w:t>专职副指挥长</w:t>
            </w:r>
          </w:p>
        </w:tc>
        <w:tc>
          <w:tcPr>
            <w:tcW w:w="1621" w:type="dxa"/>
            <w:tcBorders>
              <w:top w:val="single" w:color="000000" w:sz="4" w:space="0"/>
              <w:left w:val="nil"/>
              <w:bottom w:val="single" w:color="000000" w:sz="4" w:space="0"/>
              <w:right w:val="single" w:color="000000" w:sz="4" w:space="0"/>
            </w:tcBorders>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盘龙区农业农村局</w:t>
            </w:r>
          </w:p>
        </w:tc>
        <w:tc>
          <w:tcPr>
            <w:tcW w:w="1621" w:type="dxa"/>
            <w:tcBorders>
              <w:top w:val="single" w:color="000000" w:sz="4" w:space="0"/>
              <w:left w:val="nil"/>
              <w:bottom w:val="single" w:color="000000" w:sz="4" w:space="0"/>
              <w:right w:val="single" w:color="000000" w:sz="4" w:space="0"/>
            </w:tcBorders>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kern w:val="0"/>
                <w:sz w:val="24"/>
                <w:szCs w:val="24"/>
              </w:rPr>
            </w:pPr>
          </w:p>
        </w:tc>
      </w:tr>
      <w:tr>
        <w:tblPrEx>
          <w:tblLayout w:type="fixed"/>
          <w:tblCellMar>
            <w:top w:w="0" w:type="dxa"/>
            <w:left w:w="108" w:type="dxa"/>
            <w:bottom w:w="0" w:type="dxa"/>
            <w:right w:w="108" w:type="dxa"/>
          </w:tblCellMar>
        </w:tblPrEx>
        <w:tc>
          <w:tcPr>
            <w:tcW w:w="162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成员</w:t>
            </w:r>
          </w:p>
        </w:tc>
        <w:tc>
          <w:tcPr>
            <w:tcW w:w="1620" w:type="dxa"/>
            <w:tcBorders>
              <w:top w:val="single" w:color="000000" w:sz="4" w:space="0"/>
              <w:left w:val="nil"/>
              <w:bottom w:val="single" w:color="000000" w:sz="4" w:space="0"/>
              <w:right w:val="single" w:color="000000" w:sz="4" w:space="0"/>
            </w:tcBorders>
          </w:tcPr>
          <w:p>
            <w:pPr>
              <w:keepNext w:val="0"/>
              <w:keepLines w:val="0"/>
              <w:widowControl/>
              <w:suppressLineNumbers w:val="0"/>
              <w:spacing w:before="0" w:beforeAutospacing="0" w:after="0" w:afterAutospacing="0"/>
              <w:ind w:left="0" w:right="0"/>
              <w:rPr>
                <w:rFonts w:hint="eastAsia" w:ascii="Times New Roman" w:hAnsi="Times New Roman" w:eastAsia="宋体" w:cs="Times New Roman"/>
                <w:color w:val="000000"/>
                <w:kern w:val="0"/>
                <w:sz w:val="24"/>
                <w:szCs w:val="24"/>
                <w:lang w:eastAsia="zh-CN"/>
              </w:rPr>
            </w:pPr>
            <w:r>
              <w:rPr>
                <w:rFonts w:hint="eastAsia" w:ascii="Times New Roman" w:hAnsi="Times New Roman" w:eastAsia="宋体" w:cs="Times New Roman"/>
                <w:color w:val="000000"/>
                <w:kern w:val="0"/>
                <w:sz w:val="24"/>
                <w:szCs w:val="24"/>
                <w:lang w:eastAsia="zh-CN"/>
              </w:rPr>
              <w:t>段辉</w:t>
            </w:r>
          </w:p>
        </w:tc>
        <w:tc>
          <w:tcPr>
            <w:tcW w:w="1620" w:type="dxa"/>
            <w:tcBorders>
              <w:top w:val="single" w:color="000000" w:sz="4" w:space="0"/>
              <w:left w:val="nil"/>
              <w:bottom w:val="single" w:color="000000" w:sz="4" w:space="0"/>
              <w:right w:val="single" w:color="000000" w:sz="4" w:space="0"/>
            </w:tcBorders>
          </w:tcPr>
          <w:p>
            <w:pPr>
              <w:keepNext w:val="0"/>
              <w:keepLines w:val="0"/>
              <w:widowControl/>
              <w:suppressLineNumbers w:val="0"/>
              <w:spacing w:before="0" w:beforeAutospacing="0" w:after="0" w:afterAutospacing="0"/>
              <w:ind w:left="0" w:right="0"/>
              <w:rPr>
                <w:rFonts w:hint="eastAsia" w:ascii="Times New Roman" w:hAnsi="Times New Roman" w:eastAsia="宋体" w:cs="Times New Roman"/>
                <w:color w:val="000000"/>
                <w:kern w:val="0"/>
                <w:sz w:val="24"/>
                <w:szCs w:val="24"/>
                <w:lang w:eastAsia="zh-CN"/>
              </w:rPr>
            </w:pPr>
            <w:r>
              <w:rPr>
                <w:rFonts w:hint="eastAsia" w:ascii="Times New Roman" w:hAnsi="Times New Roman" w:eastAsia="宋体" w:cs="Times New Roman"/>
                <w:color w:val="000000"/>
                <w:kern w:val="0"/>
                <w:sz w:val="24"/>
                <w:szCs w:val="24"/>
                <w:lang w:eastAsia="zh-CN"/>
              </w:rPr>
              <w:t>林业和草原综合科科长</w:t>
            </w:r>
          </w:p>
        </w:tc>
        <w:tc>
          <w:tcPr>
            <w:tcW w:w="1621" w:type="dxa"/>
            <w:tcBorders>
              <w:top w:val="single" w:color="000000" w:sz="4" w:space="0"/>
              <w:left w:val="nil"/>
              <w:bottom w:val="single" w:color="000000" w:sz="4" w:space="0"/>
              <w:right w:val="single" w:color="000000" w:sz="4" w:space="0"/>
            </w:tcBorders>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盘龙区农业农村局</w:t>
            </w:r>
          </w:p>
        </w:tc>
        <w:tc>
          <w:tcPr>
            <w:tcW w:w="1621" w:type="dxa"/>
            <w:tcBorders>
              <w:top w:val="single" w:color="000000" w:sz="4" w:space="0"/>
              <w:left w:val="nil"/>
              <w:bottom w:val="single" w:color="000000" w:sz="4" w:space="0"/>
              <w:right w:val="single" w:color="000000" w:sz="4" w:space="0"/>
            </w:tcBorders>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kern w:val="0"/>
                <w:sz w:val="24"/>
                <w:szCs w:val="24"/>
              </w:rPr>
            </w:pPr>
          </w:p>
        </w:tc>
      </w:tr>
      <w:tr>
        <w:tblPrEx>
          <w:tblLayout w:type="fixed"/>
          <w:tblCellMar>
            <w:top w:w="0" w:type="dxa"/>
            <w:left w:w="108" w:type="dxa"/>
            <w:bottom w:w="0" w:type="dxa"/>
            <w:right w:w="108" w:type="dxa"/>
          </w:tblCellMar>
        </w:tblPrEx>
        <w:tc>
          <w:tcPr>
            <w:tcW w:w="162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w:t>
            </w:r>
          </w:p>
        </w:tc>
        <w:tc>
          <w:tcPr>
            <w:tcW w:w="1620" w:type="dxa"/>
            <w:tcBorders>
              <w:top w:val="single" w:color="000000" w:sz="4" w:space="0"/>
              <w:left w:val="nil"/>
              <w:bottom w:val="single" w:color="000000" w:sz="4" w:space="0"/>
              <w:right w:val="single" w:color="000000" w:sz="4" w:space="0"/>
            </w:tcBorders>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kern w:val="0"/>
                <w:sz w:val="24"/>
                <w:szCs w:val="24"/>
              </w:rPr>
            </w:pPr>
          </w:p>
        </w:tc>
        <w:tc>
          <w:tcPr>
            <w:tcW w:w="1620" w:type="dxa"/>
            <w:tcBorders>
              <w:top w:val="single" w:color="000000" w:sz="4" w:space="0"/>
              <w:left w:val="nil"/>
              <w:bottom w:val="single" w:color="000000" w:sz="4" w:space="0"/>
              <w:right w:val="single" w:color="000000" w:sz="4" w:space="0"/>
            </w:tcBorders>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kern w:val="0"/>
                <w:sz w:val="24"/>
                <w:szCs w:val="24"/>
              </w:rPr>
            </w:pPr>
          </w:p>
        </w:tc>
        <w:tc>
          <w:tcPr>
            <w:tcW w:w="1621" w:type="dxa"/>
            <w:tcBorders>
              <w:top w:val="single" w:color="000000" w:sz="4" w:space="0"/>
              <w:left w:val="nil"/>
              <w:bottom w:val="single" w:color="000000" w:sz="4" w:space="0"/>
              <w:right w:val="single" w:color="000000" w:sz="4" w:space="0"/>
            </w:tcBorders>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kern w:val="0"/>
                <w:sz w:val="24"/>
                <w:szCs w:val="24"/>
              </w:rPr>
            </w:pPr>
          </w:p>
        </w:tc>
        <w:tc>
          <w:tcPr>
            <w:tcW w:w="1621" w:type="dxa"/>
            <w:tcBorders>
              <w:top w:val="single" w:color="000000" w:sz="4" w:space="0"/>
              <w:left w:val="nil"/>
              <w:bottom w:val="single" w:color="000000" w:sz="4" w:space="0"/>
              <w:right w:val="single" w:color="000000" w:sz="4" w:space="0"/>
            </w:tcBorders>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kern w:val="0"/>
                <w:sz w:val="24"/>
                <w:szCs w:val="24"/>
              </w:rPr>
            </w:pPr>
          </w:p>
        </w:tc>
      </w:tr>
      <w:tr>
        <w:tblPrEx>
          <w:tblLayout w:type="fixed"/>
          <w:tblCellMar>
            <w:top w:w="0" w:type="dxa"/>
            <w:left w:w="108" w:type="dxa"/>
            <w:bottom w:w="0" w:type="dxa"/>
            <w:right w:w="108" w:type="dxa"/>
          </w:tblCellMar>
        </w:tblPrEx>
        <w:trPr>
          <w:trHeight w:val="1999" w:hRule="atLeast"/>
        </w:trPr>
        <w:tc>
          <w:tcPr>
            <w:tcW w:w="8102" w:type="dxa"/>
            <w:gridSpan w:val="5"/>
            <w:tcBorders>
              <w:top w:val="single" w:color="000000" w:sz="4" w:space="0"/>
              <w:left w:val="single" w:color="000000" w:sz="4" w:space="0"/>
              <w:bottom w:val="single" w:color="000000" w:sz="4" w:space="0"/>
              <w:right w:val="single" w:color="000000" w:sz="4" w:space="0"/>
            </w:tcBorders>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报告撰写人（签字）：</w:t>
            </w:r>
          </w:p>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kern w:val="0"/>
                <w:sz w:val="24"/>
                <w:szCs w:val="24"/>
              </w:rPr>
            </w:pPr>
          </w:p>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kern w:val="0"/>
                <w:sz w:val="24"/>
                <w:szCs w:val="24"/>
              </w:rPr>
            </w:pPr>
          </w:p>
          <w:p>
            <w:pPr>
              <w:keepNext w:val="0"/>
              <w:keepLines w:val="0"/>
              <w:widowControl/>
              <w:suppressLineNumbers w:val="0"/>
              <w:wordWrap w:val="0"/>
              <w:spacing w:before="0" w:beforeAutospacing="0" w:after="0" w:afterAutospacing="0"/>
              <w:ind w:left="0" w:right="0"/>
              <w:jc w:val="center"/>
              <w:rPr>
                <w:rFonts w:hint="default"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lang w:val="en-US" w:eastAsia="zh-CN"/>
              </w:rPr>
              <w:t xml:space="preserve">                                              </w:t>
            </w:r>
            <w:r>
              <w:rPr>
                <w:rFonts w:hint="eastAsia" w:ascii="黑体" w:hAnsi="黑体" w:eastAsia="黑体" w:cs="宋体"/>
                <w:color w:val="000000"/>
                <w:kern w:val="0"/>
                <w:sz w:val="24"/>
                <w:szCs w:val="24"/>
              </w:rPr>
              <w:t>年</w:t>
            </w:r>
            <w:r>
              <w:rPr>
                <w:rFonts w:hint="eastAsia" w:ascii="黑体" w:hAnsi="黑体" w:eastAsia="黑体" w:cs="宋体"/>
                <w:color w:val="000000"/>
                <w:kern w:val="0"/>
                <w:sz w:val="24"/>
                <w:szCs w:val="24"/>
                <w:lang w:val="en-US" w:eastAsia="zh-CN"/>
              </w:rPr>
              <w:t xml:space="preserve">  </w:t>
            </w:r>
            <w:r>
              <w:rPr>
                <w:rFonts w:hint="eastAsia" w:ascii="黑体" w:hAnsi="黑体" w:eastAsia="黑体" w:cs="宋体"/>
                <w:color w:val="000000"/>
                <w:kern w:val="0"/>
                <w:sz w:val="24"/>
                <w:szCs w:val="24"/>
              </w:rPr>
              <w:t>月</w:t>
            </w:r>
            <w:r>
              <w:rPr>
                <w:rFonts w:hint="eastAsia" w:ascii="黑体" w:hAnsi="黑体" w:eastAsia="黑体" w:cs="宋体"/>
                <w:color w:val="000000"/>
                <w:kern w:val="0"/>
                <w:sz w:val="24"/>
                <w:szCs w:val="24"/>
                <w:lang w:val="en-US" w:eastAsia="zh-CN"/>
              </w:rPr>
              <w:t xml:space="preserve">  </w:t>
            </w:r>
            <w:bookmarkStart w:id="1" w:name="_GoBack"/>
            <w:bookmarkEnd w:id="1"/>
            <w:r>
              <w:rPr>
                <w:rFonts w:hint="eastAsia" w:ascii="黑体" w:hAnsi="黑体" w:eastAsia="黑体" w:cs="宋体"/>
                <w:color w:val="000000"/>
                <w:kern w:val="0"/>
                <w:sz w:val="24"/>
                <w:szCs w:val="24"/>
              </w:rPr>
              <w:t>日</w:t>
            </w:r>
          </w:p>
        </w:tc>
      </w:tr>
      <w:tr>
        <w:tblPrEx>
          <w:tblLayout w:type="fixed"/>
          <w:tblCellMar>
            <w:top w:w="0" w:type="dxa"/>
            <w:left w:w="108" w:type="dxa"/>
            <w:bottom w:w="0" w:type="dxa"/>
            <w:right w:w="108" w:type="dxa"/>
          </w:tblCellMar>
        </w:tblPrEx>
        <w:trPr>
          <w:trHeight w:val="1971" w:hRule="atLeast"/>
        </w:trPr>
        <w:tc>
          <w:tcPr>
            <w:tcW w:w="8102" w:type="dxa"/>
            <w:gridSpan w:val="5"/>
            <w:tcBorders>
              <w:top w:val="single" w:color="000000" w:sz="4" w:space="0"/>
              <w:left w:val="single" w:color="000000" w:sz="4" w:space="0"/>
              <w:bottom w:val="single" w:color="000000" w:sz="4" w:space="0"/>
              <w:right w:val="single" w:color="000000" w:sz="4" w:space="0"/>
            </w:tcBorders>
          </w:tcPr>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评价工作负责人（签字）：</w:t>
            </w:r>
          </w:p>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kern w:val="0"/>
                <w:sz w:val="24"/>
                <w:szCs w:val="24"/>
              </w:rPr>
            </w:pPr>
          </w:p>
          <w:p>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kern w:val="0"/>
                <w:sz w:val="24"/>
                <w:szCs w:val="24"/>
              </w:rPr>
            </w:pPr>
          </w:p>
          <w:p>
            <w:pPr>
              <w:keepNext w:val="0"/>
              <w:keepLines w:val="0"/>
              <w:widowControl/>
              <w:suppressLineNumbers w:val="0"/>
              <w:wordWrap w:val="0"/>
              <w:spacing w:before="0" w:beforeAutospacing="0" w:after="0" w:afterAutospacing="0"/>
              <w:ind w:left="0" w:right="0"/>
              <w:jc w:val="right"/>
              <w:rPr>
                <w:rFonts w:hint="default"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年  月  日</w:t>
            </w:r>
          </w:p>
        </w:tc>
      </w:tr>
    </w:tbl>
    <w:p>
      <w:pPr>
        <w:widowControl/>
        <w:ind w:firstLine="56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xml:space="preserve"> </w:t>
      </w:r>
    </w:p>
    <w:p>
      <w:pPr>
        <w:widowControl/>
        <w:spacing w:line="240" w:lineRule="auto"/>
        <w:jc w:val="left"/>
        <w:rPr>
          <w:rFonts w:ascii="宋体" w:hAnsi="宋体" w:eastAsia="宋体" w:cs="宋体"/>
          <w:kern w:val="0"/>
          <w:sz w:val="22"/>
        </w:rPr>
        <w:sectPr>
          <w:pgSz w:w="11906" w:h="16838"/>
          <w:pgMar w:top="1440" w:right="1800" w:bottom="1440" w:left="1800" w:header="720" w:footer="720" w:gutter="0"/>
          <w:cols w:space="720" w:num="1"/>
          <w:docGrid w:type="lines" w:linePitch="312" w:charSpace="0"/>
        </w:sectPr>
      </w:pPr>
    </w:p>
    <w:p>
      <w:pPr>
        <w:widowControl/>
        <w:spacing w:line="273" w:lineRule="auto"/>
        <w:jc w:val="center"/>
        <w:rPr>
          <w:rFonts w:ascii="Times New Roman" w:hAnsi="Times New Roman" w:eastAsia="宋体" w:cs="Times New Roman"/>
          <w:b/>
          <w:bCs/>
          <w:color w:val="365F91"/>
          <w:kern w:val="0"/>
          <w:sz w:val="28"/>
          <w:szCs w:val="28"/>
        </w:rPr>
      </w:pPr>
      <w:r>
        <w:rPr>
          <w:rFonts w:hint="eastAsia" w:ascii="宋体" w:hAnsi="宋体" w:eastAsia="宋体" w:cs="宋体"/>
          <w:b/>
          <w:bCs/>
          <w:color w:val="365F91"/>
          <w:kern w:val="0"/>
          <w:sz w:val="28"/>
          <w:szCs w:val="28"/>
        </w:rPr>
        <w:t>目录</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摘要</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一、 项目基本情况</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（一）项目立项背景</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 xml:space="preserve">（二）项目立项依据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（三）项目实施内容</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（四）项目实施计划及完成情况</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（五）项目的组织及管理</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 xml:space="preserve">（六）项目绩效目标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二、绩效评价工作情况</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(一)评价的目的和依据</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(二)绩效评价工作方案制定过程</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(三)绩效评价原则、评价方法等</w:t>
      </w:r>
      <w:r>
        <w:rPr>
          <w:rFonts w:hint="eastAsia" w:ascii="黑体" w:hAnsi="黑体" w:eastAsia="黑体" w:cs="宋体"/>
          <w:kern w:val="0"/>
          <w:szCs w:val="21"/>
        </w:rPr>
        <w:tab/>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(四)绩效评价实施过程</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(五)绩效评价的局限性</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 xml:space="preserve">三、评价结论及绩效分析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(一)评价结论</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(二)绩效分析</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 xml:space="preserve">四、项目主要经验及做法、存在的问题和建议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(一)主要经验及做法</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(二)存在的问题</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 xml:space="preserve">(三)建议和改进措施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五、附件</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附件一：指标体系</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附件二：基础数据表</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附件三：访谈记录</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附件四：问卷调查分析报告</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ascii="黑体" w:hAnsi="黑体" w:eastAsia="黑体" w:cs="宋体"/>
          <w:kern w:val="0"/>
          <w:szCs w:val="21"/>
        </w:rPr>
      </w:pPr>
      <w:r>
        <w:rPr>
          <w:rFonts w:hint="eastAsia" w:ascii="黑体" w:hAnsi="黑体" w:eastAsia="黑体" w:cs="宋体"/>
          <w:kern w:val="0"/>
          <w:szCs w:val="21"/>
        </w:rPr>
        <w:t>附件五：</w:t>
      </w:r>
      <w:r>
        <w:rPr>
          <w:rFonts w:hint="eastAsia" w:ascii="黑体" w:hAnsi="黑体" w:eastAsia="黑体" w:cs="宋体"/>
          <w:kern w:val="0"/>
          <w:sz w:val="24"/>
          <w:szCs w:val="24"/>
        </w:rPr>
        <w:t>……</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540" w:lineRule="atLeast"/>
        <w:rPr>
          <w:rFonts w:ascii="方正小标宋_GBK" w:hAnsi="Calibri" w:eastAsia="方正小标宋_GBK" w:cs="宋体"/>
          <w:kern w:val="0"/>
          <w:szCs w:val="21"/>
        </w:rPr>
      </w:pPr>
      <w:r>
        <w:rPr>
          <w:rFonts w:hint="eastAsia" w:ascii="方正小标宋_GBK" w:hAnsi="Calibri" w:eastAsia="方正小标宋_GBK" w:cs="宋体"/>
          <w:kern w:val="0"/>
          <w:szCs w:val="21"/>
        </w:rPr>
        <w:t xml:space="preserve"> </w:t>
      </w:r>
    </w:p>
    <w:p>
      <w:pPr>
        <w:widowControl/>
        <w:spacing w:line="440" w:lineRule="atLeast"/>
        <w:jc w:val="center"/>
        <w:rPr>
          <w:rFonts w:ascii="方正小标宋_GBK" w:hAnsi="Calibri" w:eastAsia="方正小标宋_GBK" w:cs="宋体"/>
          <w:kern w:val="0"/>
          <w:sz w:val="36"/>
          <w:szCs w:val="36"/>
        </w:rPr>
      </w:pPr>
      <w:r>
        <w:rPr>
          <w:rFonts w:hint="eastAsia" w:ascii="方正小标宋_GBK" w:hAnsi="Calibri" w:eastAsia="方正小标宋_GBK" w:cs="宋体"/>
          <w:kern w:val="0"/>
          <w:sz w:val="36"/>
          <w:szCs w:val="36"/>
          <w:lang w:eastAsia="zh-CN"/>
        </w:rPr>
        <w:t>购买森林消防车辆经费</w:t>
      </w:r>
      <w:r>
        <w:rPr>
          <w:rFonts w:hint="eastAsia" w:ascii="方正小标宋_GBK" w:hAnsi="Calibri" w:eastAsia="方正小标宋_GBK" w:cs="宋体"/>
          <w:kern w:val="0"/>
          <w:sz w:val="36"/>
          <w:szCs w:val="36"/>
        </w:rPr>
        <w:t>支出绩效自评报告</w:t>
      </w:r>
    </w:p>
    <w:p>
      <w:pPr>
        <w:widowControl/>
        <w:spacing w:line="440" w:lineRule="atLeast"/>
        <w:ind w:firstLine="720" w:firstLineChars="200"/>
        <w:jc w:val="left"/>
        <w:rPr>
          <w:rFonts w:hint="eastAsia" w:ascii="仿宋_GB2312" w:hAnsi="Calibri" w:eastAsia="仿宋_GB2312" w:cs="宋体"/>
          <w:kern w:val="0"/>
          <w:sz w:val="32"/>
          <w:szCs w:val="32"/>
        </w:rPr>
      </w:pPr>
      <w:r>
        <w:rPr>
          <w:rFonts w:hint="eastAsia" w:ascii="方正小标宋_GBK" w:hAnsi="Calibri" w:eastAsia="方正小标宋_GBK" w:cs="宋体"/>
          <w:kern w:val="0"/>
          <w:sz w:val="36"/>
          <w:szCs w:val="36"/>
        </w:rPr>
        <w:t>一、</w:t>
      </w:r>
      <w:r>
        <w:rPr>
          <w:rFonts w:hint="eastAsia" w:ascii="黑体" w:hAnsi="黑体" w:eastAsia="黑体" w:cs="宋体"/>
          <w:kern w:val="0"/>
          <w:sz w:val="32"/>
          <w:szCs w:val="32"/>
        </w:rPr>
        <w:t>项目概况：</w:t>
      </w:r>
      <w:r>
        <w:rPr>
          <w:rFonts w:hint="eastAsia" w:ascii="仿宋_GB2312" w:hAnsi="Calibri" w:eastAsia="仿宋_GB2312" w:cs="宋体"/>
          <w:kern w:val="0"/>
          <w:sz w:val="32"/>
          <w:szCs w:val="32"/>
        </w:rPr>
        <w:t>含项目立项背景及目的，预算收支情况。</w:t>
      </w:r>
    </w:p>
    <w:p>
      <w:pPr>
        <w:widowControl/>
        <w:spacing w:line="440" w:lineRule="atLeast"/>
        <w:ind w:firstLine="640" w:firstLineChars="200"/>
        <w:jc w:val="left"/>
        <w:rPr>
          <w:rFonts w:hint="eastAsia" w:ascii="仿宋_GB2312" w:hAnsi="Calibri" w:eastAsia="仿宋_GB2312" w:cs="宋体"/>
          <w:kern w:val="0"/>
          <w:sz w:val="32"/>
          <w:szCs w:val="32"/>
          <w:lang w:val="en-US" w:eastAsia="zh-CN"/>
        </w:rPr>
      </w:pPr>
      <w:r>
        <w:rPr>
          <w:rFonts w:hint="eastAsia" w:ascii="仿宋_GB2312" w:hAnsi="Calibri" w:eastAsia="仿宋_GB2312" w:cs="宋体"/>
          <w:kern w:val="0"/>
          <w:sz w:val="32"/>
          <w:szCs w:val="32"/>
          <w:lang w:val="en-US" w:eastAsia="zh-CN"/>
        </w:rPr>
        <w:t>2004年区划调整后，盘龙区从官渡区接手27万亩林地，2009年，盘龙区又从嵩明县接手60余万亩林地。每年12月至次年5月为全省森林防火期。</w:t>
      </w:r>
      <w:r>
        <w:rPr>
          <w:rFonts w:eastAsia="仿宋_GB2312"/>
          <w:sz w:val="32"/>
          <w:szCs w:val="32"/>
        </w:rPr>
        <w:t>目前，我区森林护卫大队（地方专业扑火队），人员编制100人，现有运兵车辆8辆（7辆均为北京牌8座战旗运兵车，1辆为南京牌17座依维柯），无森林消防水车。其中，4辆运兵车为俊发地产有限责任公司2011年捐赠，3辆运兵车为区农林局2012年购买，1辆为区防火办2014年购买</w:t>
      </w:r>
      <w:r>
        <w:rPr>
          <w:rFonts w:hint="eastAsia" w:eastAsia="仿宋_GB2312"/>
          <w:sz w:val="32"/>
          <w:szCs w:val="32"/>
        </w:rPr>
        <w:t>的</w:t>
      </w:r>
      <w:r>
        <w:rPr>
          <w:rFonts w:eastAsia="仿宋_GB2312"/>
          <w:sz w:val="32"/>
          <w:szCs w:val="32"/>
        </w:rPr>
        <w:t>南京依维柯。通过几年的使用，7辆北京牌运兵车辆长期高负荷运转，加之运行时间较长，车辆车况较差，存在安全隐患。另外，按照事业单位公务用车改革的相关规定，俊发地产有限责任公司捐赠的4辆运兵车须返还企业（车辆所有人为俊发地产有限责任公司），并且，俊发地产有限责任公司也多次催要捐赠车辆返还。这将给我区森林防火扑救工作带来困难。新购置</w:t>
      </w:r>
      <w:r>
        <w:rPr>
          <w:rFonts w:hint="eastAsia" w:eastAsia="仿宋_GB2312"/>
          <w:sz w:val="32"/>
          <w:szCs w:val="32"/>
          <w:lang w:val="en-US" w:eastAsia="zh-CN"/>
        </w:rPr>
        <w:t>12</w:t>
      </w:r>
      <w:r>
        <w:rPr>
          <w:rFonts w:eastAsia="仿宋_GB2312"/>
          <w:sz w:val="32"/>
          <w:szCs w:val="32"/>
        </w:rPr>
        <w:t>辆森林防火车辆，其中，森林消防运兵车</w:t>
      </w:r>
      <w:r>
        <w:rPr>
          <w:rFonts w:hint="eastAsia" w:eastAsia="仿宋_GB2312"/>
          <w:sz w:val="32"/>
          <w:szCs w:val="32"/>
          <w:lang w:val="en-US" w:eastAsia="zh-CN"/>
        </w:rPr>
        <w:t>7</w:t>
      </w:r>
      <w:r>
        <w:rPr>
          <w:rFonts w:eastAsia="仿宋_GB2312"/>
          <w:sz w:val="32"/>
          <w:szCs w:val="32"/>
        </w:rPr>
        <w:t>辆，森林消防水车</w:t>
      </w:r>
      <w:r>
        <w:rPr>
          <w:rFonts w:hint="eastAsia" w:eastAsia="仿宋_GB2312"/>
          <w:sz w:val="32"/>
          <w:szCs w:val="32"/>
          <w:lang w:val="en-US" w:eastAsia="zh-CN"/>
        </w:rPr>
        <w:t>5</w:t>
      </w:r>
      <w:r>
        <w:rPr>
          <w:rFonts w:eastAsia="仿宋_GB2312"/>
          <w:sz w:val="32"/>
          <w:szCs w:val="32"/>
        </w:rPr>
        <w:t>车辆</w:t>
      </w:r>
      <w:r>
        <w:rPr>
          <w:rFonts w:hint="eastAsia" w:eastAsia="仿宋_GB2312"/>
          <w:sz w:val="32"/>
          <w:szCs w:val="32"/>
          <w:lang w:eastAsia="zh-CN"/>
        </w:rPr>
        <w:t>。共需购车资金约</w:t>
      </w:r>
      <w:r>
        <w:rPr>
          <w:rFonts w:hint="eastAsia" w:eastAsia="仿宋_GB2312"/>
          <w:sz w:val="32"/>
          <w:szCs w:val="32"/>
          <w:lang w:val="en-US" w:eastAsia="zh-CN"/>
        </w:rPr>
        <w:t>245余万元。</w:t>
      </w:r>
    </w:p>
    <w:p>
      <w:pPr>
        <w:widowControl/>
        <w:spacing w:line="440" w:lineRule="atLeast"/>
        <w:ind w:firstLine="643" w:firstLineChars="200"/>
        <w:jc w:val="left"/>
        <w:rPr>
          <w:rFonts w:ascii="黑体" w:hAnsi="黑体" w:eastAsia="黑体" w:cs="宋体"/>
          <w:b/>
          <w:kern w:val="0"/>
          <w:sz w:val="32"/>
          <w:szCs w:val="32"/>
        </w:rPr>
      </w:pPr>
      <w:r>
        <w:rPr>
          <w:rFonts w:hint="eastAsia" w:ascii="仿宋_GB2312" w:hAnsi="仿宋_GB2312" w:eastAsia="仿宋_GB2312" w:cs="仿宋_GB2312"/>
          <w:b/>
          <w:bCs/>
          <w:color w:val="000000"/>
          <w:sz w:val="32"/>
          <w:szCs w:val="32"/>
        </w:rPr>
        <w:t>二、</w:t>
      </w:r>
      <w:r>
        <w:rPr>
          <w:rFonts w:hint="eastAsia" w:ascii="黑体" w:hAnsi="黑体" w:eastAsia="黑体" w:cs="宋体"/>
          <w:b/>
          <w:kern w:val="0"/>
          <w:sz w:val="32"/>
          <w:szCs w:val="32"/>
        </w:rPr>
        <w:t>评价结论</w:t>
      </w:r>
    </w:p>
    <w:p>
      <w:pPr>
        <w:widowControl/>
        <w:spacing w:line="440" w:lineRule="atLeast"/>
        <w:ind w:firstLine="640" w:firstLineChars="200"/>
        <w:jc w:val="left"/>
        <w:rPr>
          <w:rFonts w:hint="eastAsia" w:ascii="仿宋_GB2312" w:hAnsi="黑体" w:eastAsia="仿宋_GB2312" w:cs="宋体"/>
          <w:kern w:val="0"/>
          <w:sz w:val="32"/>
          <w:szCs w:val="32"/>
          <w:lang w:val="en-US" w:eastAsia="zh-CN"/>
        </w:rPr>
      </w:pPr>
      <w:r>
        <w:rPr>
          <w:rFonts w:hint="eastAsia" w:ascii="仿宋_GB2312" w:hAnsi="黑体" w:eastAsia="仿宋_GB2312" w:cs="宋体"/>
          <w:kern w:val="0"/>
          <w:sz w:val="32"/>
          <w:szCs w:val="32"/>
          <w:lang w:val="en-US" w:eastAsia="zh-CN"/>
        </w:rPr>
        <w:t>通过购买森林防火车辆，发生火情能及时处置扑救林火，未造成重、特大森林火灾。</w:t>
      </w:r>
    </w:p>
    <w:p>
      <w:pPr>
        <w:widowControl/>
        <w:spacing w:line="440" w:lineRule="atLeast"/>
        <w:ind w:firstLine="640" w:firstLineChars="200"/>
        <w:jc w:val="left"/>
        <w:rPr>
          <w:rFonts w:ascii="黑体" w:hAnsi="黑体" w:eastAsia="黑体" w:cs="宋体"/>
          <w:kern w:val="0"/>
          <w:sz w:val="32"/>
          <w:szCs w:val="32"/>
        </w:rPr>
      </w:pPr>
      <w:r>
        <w:rPr>
          <w:rFonts w:hint="eastAsia" w:ascii="黑体" w:hAnsi="黑体" w:eastAsia="黑体" w:cs="宋体"/>
          <w:kern w:val="0"/>
          <w:sz w:val="32"/>
          <w:szCs w:val="32"/>
        </w:rPr>
        <w:t>三、经验、问题和建议</w:t>
      </w:r>
    </w:p>
    <w:p>
      <w:pPr>
        <w:widowControl/>
        <w:spacing w:line="440" w:lineRule="atLeast"/>
        <w:ind w:firstLine="579" w:firstLineChars="181"/>
        <w:jc w:val="left"/>
        <w:rPr>
          <w:rFonts w:hint="eastAsia" w:ascii="楷体" w:hAnsi="楷体" w:eastAsia="楷体" w:cs="宋体"/>
          <w:kern w:val="0"/>
          <w:sz w:val="32"/>
          <w:szCs w:val="32"/>
        </w:rPr>
      </w:pPr>
      <w:r>
        <w:rPr>
          <w:rFonts w:hint="eastAsia" w:ascii="楷体" w:hAnsi="楷体" w:eastAsia="楷体" w:cs="宋体"/>
          <w:kern w:val="0"/>
          <w:sz w:val="32"/>
          <w:szCs w:val="32"/>
        </w:rPr>
        <w:t>主要经验及做法；</w:t>
      </w:r>
    </w:p>
    <w:p>
      <w:pPr>
        <w:keepNext w:val="0"/>
        <w:keepLines w:val="0"/>
        <w:widowControl w:val="0"/>
        <w:suppressLineNumbers w:val="0"/>
        <w:spacing w:before="0" w:beforeAutospacing="0" w:after="0" w:afterAutospacing="0" w:line="600" w:lineRule="exact"/>
        <w:ind w:left="0" w:right="0" w:firstLine="640" w:firstLineChars="200"/>
        <w:jc w:val="both"/>
        <w:outlineLvl w:val="0"/>
        <w:rPr>
          <w:rFonts w:hint="eastAsia" w:ascii="楷体_GB2312" w:hAnsi="楷体_GB2312" w:eastAsia="楷体_GB2312" w:cs="楷体_GB2312"/>
          <w:sz w:val="32"/>
          <w:szCs w:val="32"/>
          <w:lang w:val="en-US"/>
        </w:rPr>
      </w:pPr>
      <w:r>
        <w:rPr>
          <w:rFonts w:hint="eastAsia" w:ascii="楷体_GB2312" w:hAnsi="楷体_GB2312" w:eastAsia="楷体_GB2312" w:cs="楷体_GB2312"/>
          <w:kern w:val="2"/>
          <w:sz w:val="32"/>
          <w:szCs w:val="32"/>
          <w:lang w:val="en-US" w:eastAsia="zh-CN" w:bidi="ar"/>
        </w:rPr>
        <w:t>（一）加强领导、落实责任，消除火灾隐患</w:t>
      </w:r>
    </w:p>
    <w:p>
      <w:pPr>
        <w:keepNext w:val="0"/>
        <w:keepLines w:val="0"/>
        <w:widowControl w:val="0"/>
        <w:suppressLineNumbers w:val="0"/>
        <w:spacing w:before="0" w:beforeAutospacing="0" w:after="0" w:afterAutospacing="0" w:line="600" w:lineRule="exact"/>
        <w:ind w:left="0" w:right="0" w:firstLine="640" w:firstLineChars="200"/>
        <w:jc w:val="both"/>
        <w:outlineLvl w:val="0"/>
        <w:rPr>
          <w:rFonts w:hint="eastAsia" w:ascii="楷体_GB2312" w:hAnsi="楷体_GB2312" w:eastAsia="楷体_GB2312" w:cs="楷体_GB2312"/>
          <w:sz w:val="32"/>
          <w:szCs w:val="32"/>
          <w:shd w:val="clear" w:fill="FFFFFF"/>
          <w:lang w:val="en-US"/>
        </w:rPr>
      </w:pPr>
      <w:r>
        <w:rPr>
          <w:rFonts w:hint="eastAsia" w:ascii="楷体_GB2312" w:hAnsi="楷体_GB2312" w:eastAsia="楷体_GB2312" w:cs="楷体_GB2312"/>
          <w:kern w:val="2"/>
          <w:sz w:val="32"/>
          <w:szCs w:val="32"/>
          <w:shd w:val="clear" w:fill="FFFFFF"/>
          <w:lang w:val="en-US" w:eastAsia="zh-CN" w:bidi="ar"/>
        </w:rPr>
        <w:t>（二）强化保障、加大投入，保障工作开展</w:t>
      </w:r>
    </w:p>
    <w:p>
      <w:pPr>
        <w:keepNext w:val="0"/>
        <w:keepLines w:val="0"/>
        <w:widowControl w:val="0"/>
        <w:suppressLineNumbers w:val="0"/>
        <w:spacing w:before="0" w:beforeAutospacing="0" w:after="0" w:afterAutospacing="0" w:line="600" w:lineRule="exact"/>
        <w:ind w:left="0" w:right="0" w:firstLine="627" w:firstLineChars="196"/>
        <w:jc w:val="both"/>
        <w:outlineLvl w:val="0"/>
        <w:rPr>
          <w:rFonts w:hint="eastAsia" w:ascii="楷体_GB2312" w:hAnsi="楷体_GB2312" w:eastAsia="楷体_GB2312" w:cs="楷体_GB2312"/>
          <w:bCs/>
          <w:sz w:val="32"/>
          <w:szCs w:val="32"/>
          <w:lang w:val="en-US"/>
        </w:rPr>
      </w:pPr>
      <w:r>
        <w:rPr>
          <w:rFonts w:hint="eastAsia" w:ascii="楷体_GB2312" w:hAnsi="楷体_GB2312" w:eastAsia="楷体_GB2312" w:cs="楷体_GB2312"/>
          <w:bCs/>
          <w:kern w:val="2"/>
          <w:sz w:val="32"/>
          <w:szCs w:val="32"/>
          <w:lang w:val="en-US" w:eastAsia="zh-CN" w:bidi="ar"/>
        </w:rPr>
        <w:t>（三）强化宣传、警钟长鸣，增强防火意识</w:t>
      </w:r>
    </w:p>
    <w:p>
      <w:pPr>
        <w:keepNext w:val="0"/>
        <w:keepLines w:val="0"/>
        <w:widowControl/>
        <w:suppressLineNumbers w:val="0"/>
        <w:shd w:val="clear" w:fill="FFFFFF"/>
        <w:spacing w:before="0" w:beforeAutospacing="0" w:after="0" w:afterAutospacing="0" w:line="600" w:lineRule="exact"/>
        <w:ind w:left="0" w:right="0" w:firstLine="640" w:firstLineChars="200"/>
        <w:jc w:val="left"/>
        <w:outlineLvl w:val="0"/>
        <w:rPr>
          <w:rFonts w:hint="eastAsia" w:ascii="楷体_GB2312" w:hAnsi="楷体_GB2312" w:eastAsia="楷体_GB2312" w:cs="楷体_GB2312"/>
          <w:kern w:val="0"/>
          <w:sz w:val="32"/>
          <w:szCs w:val="32"/>
          <w:shd w:val="clear" w:fill="FFFFFF"/>
          <w:lang w:val="en-US"/>
        </w:rPr>
      </w:pPr>
      <w:r>
        <w:rPr>
          <w:rFonts w:hint="eastAsia" w:ascii="楷体_GB2312" w:hAnsi="楷体_GB2312" w:eastAsia="楷体_GB2312" w:cs="楷体_GB2312"/>
          <w:kern w:val="0"/>
          <w:sz w:val="32"/>
          <w:szCs w:val="32"/>
          <w:shd w:val="clear" w:fill="FFFFFF"/>
          <w:lang w:val="en-US" w:eastAsia="zh-CN" w:bidi="ar"/>
        </w:rPr>
        <w:t>（四）强化措施、加强管控，狠抓火源管理</w:t>
      </w:r>
    </w:p>
    <w:p>
      <w:pPr>
        <w:keepNext w:val="0"/>
        <w:keepLines w:val="0"/>
        <w:widowControl w:val="0"/>
        <w:suppressLineNumbers w:val="0"/>
        <w:spacing w:before="0" w:beforeAutospacing="0" w:after="0" w:afterAutospacing="0" w:line="600" w:lineRule="exact"/>
        <w:ind w:left="0" w:right="0" w:firstLine="640" w:firstLineChars="200"/>
        <w:jc w:val="both"/>
        <w:outlineLvl w:val="0"/>
        <w:rPr>
          <w:rFonts w:hint="eastAsia" w:ascii="楷体_GB2312" w:hAnsi="楷体_GB2312" w:eastAsia="楷体_GB2312" w:cs="楷体_GB2312"/>
          <w:sz w:val="32"/>
          <w:szCs w:val="32"/>
          <w:lang w:val="en-US"/>
        </w:rPr>
      </w:pPr>
      <w:r>
        <w:rPr>
          <w:rFonts w:hint="eastAsia" w:ascii="楷体_GB2312" w:hAnsi="楷体_GB2312" w:eastAsia="楷体_GB2312" w:cs="楷体_GB2312"/>
          <w:kern w:val="2"/>
          <w:sz w:val="32"/>
          <w:szCs w:val="32"/>
          <w:lang w:val="en-US" w:eastAsia="zh-CN" w:bidi="ar"/>
        </w:rPr>
        <w:t>（五）充实队伍、强化技战，提高扑救能力</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楷体_GB2312" w:hAnsi="楷体_GB2312" w:eastAsia="楷体_GB2312" w:cs="楷体_GB2312"/>
          <w:kern w:val="0"/>
          <w:sz w:val="32"/>
          <w:szCs w:val="32"/>
          <w:lang w:val="en-US"/>
        </w:rPr>
      </w:pPr>
      <w:r>
        <w:rPr>
          <w:rFonts w:hint="eastAsia" w:ascii="楷体_GB2312" w:hAnsi="楷体_GB2312" w:eastAsia="楷体_GB2312" w:cs="楷体_GB2312"/>
          <w:snapToGrid w:val="0"/>
          <w:kern w:val="0"/>
          <w:sz w:val="32"/>
          <w:szCs w:val="32"/>
          <w:lang w:val="en-US" w:eastAsia="zh-CN" w:bidi="ar"/>
        </w:rPr>
        <w:t>（六）强化值班、加强监督，科学防灾救灾</w:t>
      </w:r>
    </w:p>
    <w:p>
      <w:pPr>
        <w:widowControl/>
        <w:spacing w:line="440" w:lineRule="atLeast"/>
        <w:ind w:firstLine="736" w:firstLineChars="230"/>
        <w:jc w:val="left"/>
        <w:rPr>
          <w:rFonts w:ascii="楷体" w:hAnsi="楷体" w:eastAsia="楷体" w:cs="宋体"/>
          <w:kern w:val="0"/>
          <w:sz w:val="32"/>
          <w:szCs w:val="32"/>
        </w:rPr>
      </w:pPr>
      <w:r>
        <w:rPr>
          <w:rFonts w:hint="eastAsia" w:ascii="楷体" w:hAnsi="楷体" w:eastAsia="楷体" w:cs="宋体"/>
          <w:kern w:val="0"/>
          <w:sz w:val="32"/>
          <w:szCs w:val="32"/>
        </w:rPr>
        <w:t>2.存在的问题；</w:t>
      </w:r>
    </w:p>
    <w:p>
      <w:pPr>
        <w:ind w:firstLine="640" w:firstLineChars="200"/>
        <w:outlineLvl w:val="0"/>
        <w:rPr>
          <w:rFonts w:hint="eastAsia" w:ascii="仿宋_GB2312" w:hAnsi="仿宋_GB2312" w:eastAsia="仿宋_GB2312" w:cs="仿宋_GB2312"/>
          <w:snapToGrid w:val="0"/>
          <w:kern w:val="0"/>
          <w:sz w:val="32"/>
          <w:szCs w:val="32"/>
          <w:lang w:eastAsia="zh-CN"/>
        </w:rPr>
      </w:pPr>
      <w:r>
        <w:rPr>
          <w:rFonts w:hint="eastAsia" w:ascii="仿宋_GB2312" w:hAnsi="仿宋_GB2312" w:eastAsia="仿宋_GB2312" w:cs="仿宋_GB2312"/>
          <w:snapToGrid w:val="0"/>
          <w:kern w:val="0"/>
          <w:sz w:val="32"/>
          <w:szCs w:val="32"/>
          <w:lang w:eastAsia="zh-CN"/>
        </w:rPr>
        <w:t>无</w:t>
      </w:r>
    </w:p>
    <w:p>
      <w:pPr>
        <w:widowControl/>
        <w:spacing w:line="440" w:lineRule="atLeast"/>
        <w:ind w:firstLine="640" w:firstLineChars="200"/>
        <w:jc w:val="left"/>
        <w:rPr>
          <w:rFonts w:ascii="楷体" w:hAnsi="楷体" w:eastAsia="楷体" w:cs="宋体"/>
          <w:kern w:val="0"/>
          <w:sz w:val="32"/>
          <w:szCs w:val="32"/>
        </w:rPr>
      </w:pPr>
      <w:r>
        <w:rPr>
          <w:rFonts w:hint="eastAsia" w:ascii="楷体" w:hAnsi="楷体" w:eastAsia="楷体" w:cs="宋体"/>
          <w:kern w:val="0"/>
          <w:sz w:val="32"/>
          <w:szCs w:val="32"/>
        </w:rPr>
        <w:t>3.改进措施及建议。</w:t>
      </w:r>
    </w:p>
    <w:p>
      <w:pPr>
        <w:widowControl/>
        <w:spacing w:line="440" w:lineRule="atLeast"/>
        <w:ind w:firstLine="640" w:firstLineChars="200"/>
        <w:jc w:val="left"/>
        <w:rPr>
          <w:rFonts w:hint="eastAsia" w:ascii="楷体" w:hAnsi="楷体" w:eastAsia="楷体" w:cs="宋体"/>
          <w:kern w:val="0"/>
          <w:sz w:val="32"/>
          <w:szCs w:val="32"/>
          <w:lang w:eastAsia="zh-CN"/>
        </w:rPr>
      </w:pPr>
      <w:r>
        <w:rPr>
          <w:rFonts w:hint="eastAsia" w:ascii="楷体" w:hAnsi="楷体" w:eastAsia="楷体" w:cs="宋体"/>
          <w:kern w:val="0"/>
          <w:sz w:val="32"/>
          <w:szCs w:val="32"/>
          <w:lang w:eastAsia="zh-CN"/>
        </w:rPr>
        <w:t>无</w:t>
      </w:r>
    </w:p>
    <w:p>
      <w:pPr>
        <w:widowControl/>
        <w:spacing w:line="440" w:lineRule="atLeast"/>
        <w:ind w:firstLine="640" w:firstLineChars="200"/>
        <w:jc w:val="left"/>
        <w:rPr>
          <w:rFonts w:ascii="楷体" w:hAnsi="楷体" w:eastAsia="楷体" w:cs="宋体"/>
          <w:kern w:val="0"/>
          <w:sz w:val="32"/>
          <w:szCs w:val="32"/>
        </w:rPr>
      </w:pPr>
    </w:p>
    <w:p>
      <w:pPr>
        <w:widowControl/>
        <w:spacing w:line="440" w:lineRule="atLeast"/>
        <w:ind w:firstLine="640" w:firstLineChars="200"/>
        <w:jc w:val="left"/>
        <w:rPr>
          <w:rFonts w:ascii="楷体" w:hAnsi="楷体" w:eastAsia="楷体" w:cs="宋体"/>
          <w:kern w:val="0"/>
          <w:sz w:val="32"/>
          <w:szCs w:val="32"/>
        </w:rPr>
      </w:pPr>
    </w:p>
    <w:p>
      <w:pPr>
        <w:widowControl/>
        <w:spacing w:line="440" w:lineRule="atLeast"/>
        <w:ind w:firstLine="420"/>
        <w:jc w:val="left"/>
        <w:rPr>
          <w:rFonts w:hint="eastAsia" w:ascii="楷体" w:hAnsi="楷体" w:eastAsia="楷体" w:cs="宋体"/>
          <w:kern w:val="0"/>
          <w:szCs w:val="21"/>
        </w:rPr>
      </w:pPr>
      <w:r>
        <w:rPr>
          <w:rFonts w:hint="eastAsia" w:ascii="楷体" w:hAnsi="楷体" w:eastAsia="楷体" w:cs="宋体"/>
          <w:kern w:val="0"/>
          <w:szCs w:val="21"/>
        </w:rPr>
        <w:t xml:space="preserve"> </w:t>
      </w:r>
    </w:p>
    <w:p>
      <w:pPr>
        <w:widowControl/>
        <w:spacing w:line="440" w:lineRule="atLeast"/>
        <w:ind w:firstLine="420"/>
        <w:jc w:val="left"/>
        <w:rPr>
          <w:rFonts w:hint="eastAsia" w:ascii="楷体" w:hAnsi="楷体" w:eastAsia="楷体" w:cs="宋体"/>
          <w:kern w:val="0"/>
          <w:szCs w:val="21"/>
        </w:rPr>
      </w:pPr>
    </w:p>
    <w:p>
      <w:pPr>
        <w:widowControl/>
        <w:spacing w:line="440" w:lineRule="atLeast"/>
        <w:ind w:firstLine="420"/>
        <w:jc w:val="left"/>
        <w:rPr>
          <w:rFonts w:hint="eastAsia" w:ascii="楷体" w:hAnsi="楷体" w:eastAsia="楷体" w:cs="宋体"/>
          <w:kern w:val="0"/>
          <w:szCs w:val="21"/>
        </w:rPr>
      </w:pPr>
    </w:p>
    <w:p>
      <w:pPr>
        <w:widowControl/>
        <w:spacing w:line="440" w:lineRule="atLeast"/>
        <w:ind w:firstLine="420"/>
        <w:jc w:val="left"/>
        <w:rPr>
          <w:rFonts w:hint="eastAsia" w:ascii="楷体" w:hAnsi="楷体" w:eastAsia="楷体" w:cs="宋体"/>
          <w:kern w:val="0"/>
          <w:szCs w:val="21"/>
        </w:rPr>
      </w:pPr>
    </w:p>
    <w:p>
      <w:pPr>
        <w:widowControl/>
        <w:spacing w:line="440" w:lineRule="atLeast"/>
        <w:ind w:firstLine="420"/>
        <w:jc w:val="left"/>
        <w:rPr>
          <w:rFonts w:hint="eastAsia" w:ascii="楷体" w:hAnsi="楷体" w:eastAsia="楷体" w:cs="宋体"/>
          <w:kern w:val="0"/>
          <w:szCs w:val="21"/>
        </w:rPr>
      </w:pPr>
    </w:p>
    <w:p>
      <w:pPr>
        <w:widowControl/>
        <w:spacing w:line="440" w:lineRule="atLeast"/>
        <w:ind w:firstLine="420"/>
        <w:jc w:val="left"/>
        <w:rPr>
          <w:rFonts w:hint="eastAsia" w:ascii="楷体" w:hAnsi="楷体" w:eastAsia="楷体" w:cs="宋体"/>
          <w:kern w:val="0"/>
          <w:szCs w:val="21"/>
        </w:rPr>
      </w:pPr>
    </w:p>
    <w:p>
      <w:pPr>
        <w:widowControl/>
        <w:spacing w:line="440" w:lineRule="atLeast"/>
        <w:ind w:firstLine="420"/>
        <w:jc w:val="left"/>
        <w:rPr>
          <w:rFonts w:hint="eastAsia" w:ascii="楷体" w:hAnsi="楷体" w:eastAsia="楷体" w:cs="宋体"/>
          <w:kern w:val="0"/>
          <w:szCs w:val="21"/>
        </w:rPr>
      </w:pPr>
    </w:p>
    <w:p>
      <w:pPr>
        <w:widowControl/>
        <w:spacing w:line="440" w:lineRule="atLeast"/>
        <w:ind w:firstLine="420"/>
        <w:jc w:val="left"/>
        <w:rPr>
          <w:rFonts w:hint="eastAsia" w:ascii="楷体" w:hAnsi="楷体" w:eastAsia="楷体" w:cs="宋体"/>
          <w:kern w:val="0"/>
          <w:szCs w:val="21"/>
        </w:rPr>
      </w:pPr>
    </w:p>
    <w:p>
      <w:pPr>
        <w:widowControl/>
        <w:spacing w:line="440" w:lineRule="atLeast"/>
        <w:ind w:firstLine="420"/>
        <w:jc w:val="center"/>
        <w:rPr>
          <w:rFonts w:ascii="黑体" w:hAnsi="黑体" w:eastAsia="黑体" w:cs="宋体"/>
          <w:kern w:val="0"/>
          <w:szCs w:val="21"/>
        </w:rPr>
      </w:pPr>
    </w:p>
    <w:p>
      <w:pPr>
        <w:widowControl/>
        <w:spacing w:line="440" w:lineRule="atLeast"/>
        <w:ind w:firstLine="420"/>
        <w:jc w:val="center"/>
        <w:rPr>
          <w:rFonts w:ascii="黑体" w:hAnsi="黑体" w:eastAsia="黑体" w:cs="宋体"/>
          <w:kern w:val="0"/>
          <w:szCs w:val="21"/>
        </w:rPr>
      </w:pPr>
    </w:p>
    <w:p>
      <w:pPr>
        <w:widowControl/>
        <w:spacing w:line="440" w:lineRule="atLeast"/>
        <w:ind w:firstLine="420"/>
        <w:jc w:val="center"/>
        <w:rPr>
          <w:rFonts w:ascii="黑体" w:hAnsi="黑体" w:eastAsia="黑体" w:cs="宋体"/>
          <w:kern w:val="0"/>
          <w:szCs w:val="21"/>
        </w:rPr>
      </w:pPr>
    </w:p>
    <w:p>
      <w:pPr>
        <w:widowControl/>
        <w:spacing w:line="440" w:lineRule="atLeast"/>
        <w:ind w:firstLine="420"/>
        <w:jc w:val="center"/>
        <w:rPr>
          <w:rFonts w:ascii="黑体" w:hAnsi="黑体" w:eastAsia="黑体" w:cs="宋体"/>
          <w:kern w:val="0"/>
          <w:szCs w:val="21"/>
        </w:rPr>
      </w:pPr>
    </w:p>
    <w:p>
      <w:pPr>
        <w:widowControl/>
        <w:spacing w:line="440" w:lineRule="atLeast"/>
        <w:ind w:firstLine="420"/>
        <w:jc w:val="center"/>
        <w:rPr>
          <w:rFonts w:ascii="黑体" w:hAnsi="黑体" w:eastAsia="黑体" w:cs="宋体"/>
          <w:kern w:val="0"/>
          <w:szCs w:val="21"/>
        </w:rPr>
      </w:pPr>
    </w:p>
    <w:p>
      <w:pPr>
        <w:widowControl/>
        <w:spacing w:line="440" w:lineRule="atLeast"/>
        <w:ind w:firstLine="420"/>
        <w:jc w:val="center"/>
        <w:rPr>
          <w:rFonts w:ascii="黑体" w:hAnsi="黑体" w:eastAsia="黑体" w:cs="宋体"/>
          <w:kern w:val="0"/>
          <w:szCs w:val="21"/>
        </w:rPr>
      </w:pPr>
    </w:p>
    <w:p>
      <w:pPr>
        <w:widowControl/>
        <w:spacing w:line="440" w:lineRule="atLeast"/>
        <w:ind w:firstLine="420"/>
        <w:jc w:val="center"/>
        <w:rPr>
          <w:rFonts w:ascii="黑体" w:hAnsi="黑体" w:eastAsia="黑体" w:cs="宋体"/>
          <w:kern w:val="0"/>
          <w:szCs w:val="21"/>
        </w:rPr>
      </w:pPr>
    </w:p>
    <w:p>
      <w:pPr>
        <w:widowControl/>
        <w:spacing w:line="440" w:lineRule="atLeast"/>
        <w:ind w:firstLine="420"/>
        <w:jc w:val="center"/>
        <w:rPr>
          <w:rFonts w:ascii="黑体" w:hAnsi="黑体" w:eastAsia="黑体" w:cs="宋体"/>
          <w:kern w:val="0"/>
          <w:szCs w:val="21"/>
        </w:rPr>
      </w:pPr>
    </w:p>
    <w:p>
      <w:pPr>
        <w:widowControl/>
        <w:spacing w:line="440" w:lineRule="atLeast"/>
        <w:ind w:firstLine="420"/>
        <w:jc w:val="center"/>
        <w:rPr>
          <w:rFonts w:ascii="黑体" w:hAnsi="黑体" w:eastAsia="黑体" w:cs="宋体"/>
          <w:kern w:val="0"/>
          <w:szCs w:val="21"/>
        </w:rPr>
      </w:pPr>
    </w:p>
    <w:p>
      <w:pPr>
        <w:widowControl/>
        <w:spacing w:line="440" w:lineRule="atLeast"/>
        <w:ind w:firstLine="420"/>
        <w:jc w:val="center"/>
        <w:rPr>
          <w:rFonts w:ascii="黑体" w:hAnsi="黑体" w:eastAsia="黑体" w:cs="宋体"/>
          <w:kern w:val="0"/>
          <w:szCs w:val="21"/>
        </w:rPr>
      </w:pPr>
    </w:p>
    <w:p>
      <w:pPr>
        <w:widowControl/>
        <w:spacing w:line="440" w:lineRule="atLeast"/>
        <w:ind w:firstLine="420"/>
        <w:jc w:val="center"/>
        <w:rPr>
          <w:rFonts w:ascii="黑体" w:hAnsi="黑体" w:eastAsia="黑体" w:cs="宋体"/>
          <w:b/>
          <w:kern w:val="0"/>
          <w:sz w:val="44"/>
          <w:szCs w:val="44"/>
        </w:rPr>
      </w:pPr>
      <w:r>
        <w:rPr>
          <w:rFonts w:hint="eastAsia" w:ascii="黑体" w:hAnsi="黑体" w:eastAsia="黑体" w:cs="宋体"/>
          <w:b/>
          <w:kern w:val="0"/>
          <w:sz w:val="44"/>
          <w:szCs w:val="44"/>
          <w:lang w:eastAsia="zh-CN"/>
        </w:rPr>
        <w:t>购买森林消防车辆</w:t>
      </w:r>
      <w:r>
        <w:rPr>
          <w:rFonts w:hint="eastAsia" w:ascii="黑体" w:hAnsi="黑体" w:eastAsia="黑体" w:cs="宋体"/>
          <w:b/>
          <w:kern w:val="0"/>
          <w:sz w:val="44"/>
          <w:szCs w:val="44"/>
        </w:rPr>
        <w:t>支出绩效自评报告</w:t>
      </w:r>
    </w:p>
    <w:p>
      <w:pPr>
        <w:widowControl/>
        <w:topLinePunct/>
        <w:spacing w:line="440" w:lineRule="atLeast"/>
        <w:ind w:firstLine="525"/>
        <w:rPr>
          <w:rFonts w:ascii="黑体" w:hAnsi="黑体" w:eastAsia="黑体" w:cs="宋体"/>
          <w:kern w:val="0"/>
          <w:sz w:val="32"/>
          <w:szCs w:val="32"/>
        </w:rPr>
      </w:pPr>
      <w:r>
        <w:rPr>
          <w:rFonts w:hint="eastAsia" w:ascii="黑体" w:hAnsi="黑体" w:eastAsia="黑体" w:cs="宋体"/>
          <w:kern w:val="0"/>
          <w:sz w:val="32"/>
          <w:szCs w:val="32"/>
        </w:rPr>
        <w:t xml:space="preserve"> </w:t>
      </w:r>
    </w:p>
    <w:p>
      <w:pPr>
        <w:widowControl/>
        <w:topLinePunct/>
        <w:spacing w:line="440" w:lineRule="atLeast"/>
        <w:ind w:firstLine="525"/>
        <w:rPr>
          <w:rFonts w:ascii="黑体" w:hAnsi="黑体" w:eastAsia="黑体" w:cs="宋体"/>
          <w:kern w:val="0"/>
          <w:sz w:val="32"/>
          <w:szCs w:val="32"/>
        </w:rPr>
      </w:pPr>
      <w:r>
        <w:rPr>
          <w:rFonts w:hint="eastAsia" w:ascii="黑体" w:hAnsi="黑体" w:eastAsia="黑体" w:cs="宋体"/>
          <w:kern w:val="0"/>
          <w:sz w:val="32"/>
          <w:szCs w:val="32"/>
        </w:rPr>
        <w:t>一、项目基本情况</w:t>
      </w:r>
    </w:p>
    <w:p>
      <w:pPr>
        <w:widowControl/>
        <w:topLinePunct/>
        <w:spacing w:line="440" w:lineRule="atLeast"/>
        <w:ind w:firstLine="525"/>
        <w:rPr>
          <w:rFonts w:ascii="楷体" w:hAnsi="楷体" w:eastAsia="楷体" w:cs="宋体"/>
          <w:b/>
          <w:kern w:val="0"/>
          <w:sz w:val="32"/>
          <w:szCs w:val="32"/>
        </w:rPr>
      </w:pPr>
      <w:r>
        <w:rPr>
          <w:rFonts w:hint="eastAsia" w:ascii="楷体" w:hAnsi="楷体" w:eastAsia="楷体" w:cs="宋体"/>
          <w:b/>
          <w:kern w:val="0"/>
          <w:sz w:val="32"/>
          <w:szCs w:val="32"/>
        </w:rPr>
        <w:t>（一）项目概况。</w:t>
      </w:r>
    </w:p>
    <w:p>
      <w:pPr>
        <w:widowControl/>
        <w:topLinePunct/>
        <w:spacing w:line="440" w:lineRule="atLeast"/>
        <w:ind w:firstLine="525"/>
        <w:rPr>
          <w:rFonts w:ascii="仿宋_GB2312" w:hAnsi="Calibri" w:eastAsia="仿宋_GB2312" w:cs="宋体"/>
          <w:b/>
          <w:kern w:val="0"/>
          <w:sz w:val="32"/>
          <w:szCs w:val="32"/>
        </w:rPr>
      </w:pPr>
      <w:r>
        <w:rPr>
          <w:rFonts w:hint="eastAsia" w:ascii="仿宋_GB2312" w:hAnsi="Calibri" w:eastAsia="仿宋_GB2312" w:cs="宋体"/>
          <w:b/>
          <w:kern w:val="0"/>
          <w:sz w:val="32"/>
          <w:szCs w:val="32"/>
        </w:rPr>
        <w:t>1.立项背景及目的。</w:t>
      </w:r>
    </w:p>
    <w:p>
      <w:pPr>
        <w:widowControl/>
        <w:topLinePunct/>
        <w:spacing w:line="440" w:lineRule="atLeast"/>
        <w:ind w:firstLine="525"/>
        <w:rPr>
          <w:rFonts w:hint="eastAsia" w:eastAsia="仿宋_GB2312"/>
          <w:sz w:val="32"/>
          <w:szCs w:val="32"/>
          <w:lang w:eastAsia="zh-CN"/>
        </w:rPr>
      </w:pPr>
      <w:r>
        <w:rPr>
          <w:rFonts w:hint="eastAsia" w:ascii="仿宋_GB2312" w:hAnsi="Calibri" w:eastAsia="仿宋_GB2312" w:cs="宋体"/>
          <w:kern w:val="0"/>
          <w:sz w:val="32"/>
          <w:szCs w:val="32"/>
          <w:lang w:val="en-US" w:eastAsia="zh-CN"/>
        </w:rPr>
        <w:t>2004年区划调整后，盘龙区从官渡区接手27万亩林地，2009年，盘龙区又从嵩明县接手60余万亩林地。每年12月至次年5月为全省森林防火期。</w:t>
      </w:r>
      <w:r>
        <w:rPr>
          <w:rFonts w:eastAsia="仿宋_GB2312"/>
          <w:sz w:val="32"/>
          <w:szCs w:val="32"/>
        </w:rPr>
        <w:t>目前，我区森林护卫大队（地方专业扑火队），人员编制100人，现有运兵车辆8辆（7辆均为北京牌8座战旗运兵车，1辆为南京牌17座依维柯），无森林消防水车。其中，4辆运兵车为俊发地产有限责任公司2011年捐赠，3辆运兵车为区农林局2012年购买，1辆为区防火办2014年购买</w:t>
      </w:r>
      <w:r>
        <w:rPr>
          <w:rFonts w:hint="eastAsia" w:eastAsia="仿宋_GB2312"/>
          <w:sz w:val="32"/>
          <w:szCs w:val="32"/>
        </w:rPr>
        <w:t>的</w:t>
      </w:r>
      <w:r>
        <w:rPr>
          <w:rFonts w:eastAsia="仿宋_GB2312"/>
          <w:sz w:val="32"/>
          <w:szCs w:val="32"/>
        </w:rPr>
        <w:t>南京依维柯。通过几年的使用，7辆北京牌运兵车辆长期高负荷运转，加之运行时间较长，车辆车况较差，存在安全隐患。另外，按照事业单位公务用车改革的相关规定，俊发地产有限责任公司捐赠的4辆运兵车须返还企业（车辆所有人为俊发地产有限责任公司），并且，俊发地产有限责任公司也多次催要捐赠车辆返还。这将给我区森林防火扑救工作带来困难。</w:t>
      </w:r>
      <w:r>
        <w:rPr>
          <w:rFonts w:hint="eastAsia" w:eastAsia="仿宋_GB2312"/>
          <w:sz w:val="32"/>
          <w:szCs w:val="32"/>
          <w:lang w:eastAsia="zh-CN"/>
        </w:rPr>
        <w:t>后经报政府同意</w:t>
      </w:r>
      <w:r>
        <w:rPr>
          <w:rFonts w:eastAsia="仿宋_GB2312"/>
          <w:sz w:val="32"/>
          <w:szCs w:val="32"/>
        </w:rPr>
        <w:t>新购置</w:t>
      </w:r>
      <w:r>
        <w:rPr>
          <w:rFonts w:hint="eastAsia" w:eastAsia="仿宋_GB2312"/>
          <w:sz w:val="32"/>
          <w:szCs w:val="32"/>
          <w:lang w:val="en-US" w:eastAsia="zh-CN"/>
        </w:rPr>
        <w:t>12</w:t>
      </w:r>
      <w:r>
        <w:rPr>
          <w:rFonts w:eastAsia="仿宋_GB2312"/>
          <w:sz w:val="32"/>
          <w:szCs w:val="32"/>
        </w:rPr>
        <w:t>辆森林防火车辆</w:t>
      </w:r>
      <w:r>
        <w:rPr>
          <w:rFonts w:hint="eastAsia" w:eastAsia="仿宋_GB2312"/>
          <w:sz w:val="32"/>
          <w:szCs w:val="32"/>
          <w:lang w:eastAsia="zh-CN"/>
        </w:rPr>
        <w:t>。</w:t>
      </w:r>
    </w:p>
    <w:p>
      <w:pPr>
        <w:widowControl/>
        <w:topLinePunct/>
        <w:spacing w:line="440" w:lineRule="atLeast"/>
        <w:ind w:firstLine="525"/>
        <w:rPr>
          <w:rFonts w:ascii="仿宋_GB2312" w:hAnsi="Calibri" w:eastAsia="仿宋_GB2312" w:cs="宋体"/>
          <w:b/>
          <w:kern w:val="0"/>
          <w:sz w:val="32"/>
          <w:szCs w:val="32"/>
        </w:rPr>
      </w:pPr>
      <w:r>
        <w:rPr>
          <w:rFonts w:hint="eastAsia" w:ascii="仿宋_GB2312" w:hAnsi="Calibri" w:eastAsia="仿宋_GB2312" w:cs="宋体"/>
          <w:b/>
          <w:kern w:val="0"/>
          <w:sz w:val="32"/>
          <w:szCs w:val="32"/>
        </w:rPr>
        <w:t>2.项目实施情况。</w:t>
      </w:r>
    </w:p>
    <w:p>
      <w:pPr>
        <w:spacing w:line="460" w:lineRule="exact"/>
        <w:ind w:firstLine="640" w:firstLineChars="200"/>
        <w:rPr>
          <w:rFonts w:ascii="仿宋_GB2312" w:eastAsia="仿宋_GB2312"/>
          <w:sz w:val="32"/>
          <w:szCs w:val="32"/>
        </w:rPr>
      </w:pPr>
      <w:r>
        <w:rPr>
          <w:rFonts w:hint="eastAsia" w:ascii="仿宋_GB2312" w:eastAsia="仿宋_GB2312"/>
          <w:sz w:val="32"/>
          <w:szCs w:val="32"/>
          <w:lang w:val="en-US" w:eastAsia="zh-CN"/>
        </w:rPr>
        <w:t>2020年1月通过</w:t>
      </w:r>
      <w:r>
        <w:rPr>
          <w:rFonts w:hint="eastAsia" w:eastAsia="仿宋_GB2312"/>
          <w:sz w:val="32"/>
          <w:szCs w:val="32"/>
          <w:lang w:eastAsia="zh-CN"/>
        </w:rPr>
        <w:t>招投标</w:t>
      </w:r>
      <w:r>
        <w:rPr>
          <w:rFonts w:hint="eastAsia" w:ascii="仿宋_GB2312" w:eastAsia="仿宋_GB2312"/>
          <w:sz w:val="32"/>
          <w:szCs w:val="32"/>
          <w:lang w:eastAsia="zh-CN"/>
        </w:rPr>
        <w:t>，</w:t>
      </w:r>
      <w:r>
        <w:rPr>
          <w:rFonts w:hint="eastAsia" w:eastAsia="仿宋_GB2312"/>
          <w:sz w:val="32"/>
          <w:szCs w:val="32"/>
          <w:lang w:eastAsia="zh-CN"/>
        </w:rPr>
        <w:t>购买了</w:t>
      </w:r>
      <w:r>
        <w:rPr>
          <w:rFonts w:eastAsia="仿宋_GB2312"/>
          <w:sz w:val="32"/>
          <w:szCs w:val="32"/>
        </w:rPr>
        <w:t>森林消防运兵车</w:t>
      </w:r>
      <w:r>
        <w:rPr>
          <w:rFonts w:hint="eastAsia" w:eastAsia="仿宋_GB2312"/>
          <w:sz w:val="32"/>
          <w:szCs w:val="32"/>
          <w:lang w:val="en-US" w:eastAsia="zh-CN"/>
        </w:rPr>
        <w:t>7</w:t>
      </w:r>
      <w:r>
        <w:rPr>
          <w:rFonts w:eastAsia="仿宋_GB2312"/>
          <w:sz w:val="32"/>
          <w:szCs w:val="32"/>
        </w:rPr>
        <w:t>辆，森林消防水车</w:t>
      </w:r>
      <w:r>
        <w:rPr>
          <w:rFonts w:hint="eastAsia" w:eastAsia="仿宋_GB2312"/>
          <w:sz w:val="32"/>
          <w:szCs w:val="32"/>
          <w:lang w:val="en-US" w:eastAsia="zh-CN"/>
        </w:rPr>
        <w:t>5</w:t>
      </w:r>
      <w:r>
        <w:rPr>
          <w:rFonts w:eastAsia="仿宋_GB2312"/>
          <w:sz w:val="32"/>
          <w:szCs w:val="32"/>
        </w:rPr>
        <w:t>车辆</w:t>
      </w:r>
      <w:r>
        <w:rPr>
          <w:rFonts w:hint="eastAsia" w:eastAsia="仿宋_GB2312"/>
          <w:sz w:val="32"/>
          <w:szCs w:val="32"/>
          <w:lang w:eastAsia="zh-CN"/>
        </w:rPr>
        <w:t>，支出购车资金约</w:t>
      </w:r>
      <w:r>
        <w:rPr>
          <w:rFonts w:hint="eastAsia" w:eastAsia="仿宋_GB2312"/>
          <w:sz w:val="32"/>
          <w:szCs w:val="32"/>
          <w:lang w:val="en-US" w:eastAsia="zh-CN"/>
        </w:rPr>
        <w:t>245余万元。</w:t>
      </w:r>
    </w:p>
    <w:p>
      <w:pPr>
        <w:widowControl/>
        <w:topLinePunct/>
        <w:spacing w:line="440" w:lineRule="atLeast"/>
        <w:ind w:firstLine="684" w:firstLineChars="213"/>
        <w:rPr>
          <w:rFonts w:ascii="仿宋_GB2312" w:hAnsi="Calibri" w:eastAsia="仿宋_GB2312" w:cs="宋体"/>
          <w:b/>
          <w:kern w:val="0"/>
          <w:sz w:val="32"/>
          <w:szCs w:val="32"/>
        </w:rPr>
      </w:pPr>
      <w:r>
        <w:rPr>
          <w:rFonts w:hint="eastAsia" w:ascii="仿宋_GB2312" w:hAnsi="Calibri" w:eastAsia="仿宋_GB2312" w:cs="宋体"/>
          <w:b/>
          <w:kern w:val="0"/>
          <w:sz w:val="32"/>
          <w:szCs w:val="32"/>
        </w:rPr>
        <w:t>3.资金来源及使用情况。</w:t>
      </w:r>
    </w:p>
    <w:p>
      <w:pPr>
        <w:spacing w:line="460" w:lineRule="exact"/>
        <w:ind w:firstLine="640" w:firstLineChars="200"/>
        <w:rPr>
          <w:rFonts w:ascii="仿宋_GB2312" w:eastAsia="仿宋_GB2312"/>
          <w:sz w:val="32"/>
          <w:szCs w:val="32"/>
        </w:rPr>
      </w:pPr>
      <w:bookmarkStart w:id="0" w:name="OLE_LINK1"/>
      <w:r>
        <w:rPr>
          <w:rFonts w:hint="eastAsia" w:ascii="仿宋_GB2312" w:hAnsi="仿宋_GB2312" w:eastAsia="仿宋_GB2312" w:cs="仿宋_GB2312"/>
          <w:bCs/>
          <w:color w:val="000000"/>
          <w:sz w:val="32"/>
          <w:szCs w:val="32"/>
          <w:lang w:val="en-US" w:eastAsia="zh-CN"/>
        </w:rPr>
        <w:t>区财政局拨付资金，据实支付。</w:t>
      </w:r>
    </w:p>
    <w:bookmarkEnd w:id="0"/>
    <w:p>
      <w:pPr>
        <w:widowControl/>
        <w:topLinePunct/>
        <w:spacing w:line="440" w:lineRule="atLeast"/>
        <w:ind w:firstLine="525"/>
        <w:rPr>
          <w:rFonts w:hint="eastAsia" w:ascii="仿宋_GB2312" w:hAnsi="Calibri" w:eastAsia="仿宋_GB2312" w:cs="宋体"/>
          <w:kern w:val="0"/>
          <w:sz w:val="32"/>
          <w:szCs w:val="32"/>
        </w:rPr>
      </w:pPr>
      <w:r>
        <w:rPr>
          <w:rFonts w:hint="eastAsia" w:ascii="仿宋_GB2312" w:hAnsi="Calibri" w:eastAsia="仿宋_GB2312" w:cs="宋体"/>
          <w:b/>
          <w:kern w:val="0"/>
          <w:sz w:val="32"/>
          <w:szCs w:val="32"/>
        </w:rPr>
        <w:t>4.组织及管理情况。</w:t>
      </w:r>
      <w:r>
        <w:rPr>
          <w:rFonts w:hint="eastAsia" w:ascii="仿宋_GB2312" w:hAnsi="Calibri" w:eastAsia="仿宋_GB2312" w:cs="宋体"/>
          <w:kern w:val="0"/>
          <w:sz w:val="32"/>
          <w:szCs w:val="32"/>
        </w:rPr>
        <w:t>包括项目组织情况、项目实施流程、资金拨付流程。</w:t>
      </w:r>
    </w:p>
    <w:p>
      <w:pPr>
        <w:widowControl/>
        <w:topLinePunct/>
        <w:spacing w:line="440" w:lineRule="atLeast"/>
        <w:ind w:firstLine="525"/>
        <w:rPr>
          <w:rFonts w:hint="eastAsia" w:ascii="仿宋_GB2312" w:hAnsi="Calibri" w:eastAsia="仿宋_GB2312" w:cs="宋体"/>
          <w:kern w:val="0"/>
          <w:sz w:val="32"/>
          <w:szCs w:val="32"/>
          <w:lang w:eastAsia="zh-CN"/>
        </w:rPr>
      </w:pPr>
      <w:r>
        <w:rPr>
          <w:rFonts w:hint="eastAsia" w:eastAsia="仿宋_GB2312"/>
          <w:sz w:val="32"/>
          <w:szCs w:val="32"/>
          <w:lang w:eastAsia="zh-CN"/>
        </w:rPr>
        <w:t>上报区人民政府同意后，招投标购买了</w:t>
      </w:r>
      <w:r>
        <w:rPr>
          <w:rFonts w:eastAsia="仿宋_GB2312"/>
          <w:sz w:val="32"/>
          <w:szCs w:val="32"/>
        </w:rPr>
        <w:t>森林消防</w:t>
      </w:r>
      <w:r>
        <w:rPr>
          <w:rFonts w:hint="eastAsia" w:eastAsia="仿宋_GB2312"/>
          <w:sz w:val="32"/>
          <w:szCs w:val="32"/>
          <w:lang w:eastAsia="zh-CN"/>
        </w:rPr>
        <w:t>车辆。区财政局安排资金，车辆到位后，经防火办验收据实支付资金。</w:t>
      </w:r>
    </w:p>
    <w:p>
      <w:pPr>
        <w:widowControl/>
        <w:topLinePunct/>
        <w:spacing w:line="440" w:lineRule="atLeast"/>
        <w:ind w:firstLine="525"/>
        <w:rPr>
          <w:rFonts w:ascii="楷体" w:hAnsi="楷体" w:eastAsia="楷体" w:cs="宋体"/>
          <w:kern w:val="0"/>
          <w:sz w:val="32"/>
          <w:szCs w:val="32"/>
        </w:rPr>
      </w:pPr>
      <w:r>
        <w:rPr>
          <w:rFonts w:hint="eastAsia" w:ascii="楷体" w:hAnsi="楷体" w:eastAsia="楷体" w:cs="宋体"/>
          <w:kern w:val="0"/>
          <w:sz w:val="32"/>
          <w:szCs w:val="32"/>
        </w:rPr>
        <w:t>（二）绩效目标。</w:t>
      </w:r>
    </w:p>
    <w:p>
      <w:pPr>
        <w:widowControl/>
        <w:topLinePunct/>
        <w:spacing w:line="440" w:lineRule="atLeast"/>
        <w:ind w:firstLine="525"/>
        <w:rPr>
          <w:rFonts w:hint="eastAsia" w:ascii="仿宋_GB2312" w:hAnsi="Calibri" w:eastAsia="仿宋_GB2312" w:cs="宋体"/>
          <w:kern w:val="0"/>
          <w:sz w:val="32"/>
          <w:szCs w:val="32"/>
        </w:rPr>
      </w:pPr>
      <w:r>
        <w:rPr>
          <w:rFonts w:hint="eastAsia" w:ascii="仿宋_GB2312" w:hAnsi="Calibri" w:eastAsia="仿宋_GB2312" w:cs="宋体"/>
          <w:kern w:val="0"/>
          <w:sz w:val="32"/>
          <w:szCs w:val="32"/>
        </w:rPr>
        <w:t>1.总目标。</w:t>
      </w:r>
    </w:p>
    <w:p>
      <w:pPr>
        <w:widowControl/>
        <w:topLinePunct/>
        <w:spacing w:line="440" w:lineRule="atLeast"/>
        <w:ind w:firstLine="525"/>
        <w:rPr>
          <w:rFonts w:hint="eastAsia" w:ascii="仿宋_GB2312" w:hAnsi="Calibri" w:eastAsia="仿宋_GB2312" w:cs="宋体"/>
          <w:kern w:val="0"/>
          <w:sz w:val="32"/>
          <w:szCs w:val="32"/>
          <w:lang w:eastAsia="zh-CN"/>
        </w:rPr>
      </w:pPr>
      <w:r>
        <w:rPr>
          <w:rFonts w:hint="eastAsia" w:ascii="仿宋_GB2312" w:hAnsi="Calibri" w:eastAsia="仿宋_GB2312" w:cs="宋体"/>
          <w:kern w:val="0"/>
          <w:sz w:val="32"/>
          <w:szCs w:val="32"/>
          <w:lang w:eastAsia="zh-CN"/>
        </w:rPr>
        <w:t>确保盘龙区不发生重特大森林火灾，受害率控制在</w:t>
      </w:r>
      <w:r>
        <w:rPr>
          <w:rFonts w:hint="eastAsia" w:ascii="仿宋_GB2312" w:hAnsi="Calibri" w:eastAsia="仿宋_GB2312" w:cs="宋体"/>
          <w:kern w:val="0"/>
          <w:sz w:val="32"/>
          <w:szCs w:val="32"/>
          <w:lang w:val="en-US" w:eastAsia="zh-CN"/>
        </w:rPr>
        <w:t>0.8</w:t>
      </w:r>
      <w:r>
        <w:rPr>
          <w:rFonts w:hint="default" w:ascii="Arial" w:hAnsi="Arial" w:eastAsia="仿宋_GB2312" w:cs="Arial"/>
          <w:kern w:val="0"/>
          <w:sz w:val="32"/>
          <w:szCs w:val="32"/>
          <w:lang w:val="en-US" w:eastAsia="zh-CN"/>
        </w:rPr>
        <w:t>‰</w:t>
      </w:r>
    </w:p>
    <w:p>
      <w:pPr>
        <w:widowControl/>
        <w:numPr>
          <w:ilvl w:val="0"/>
          <w:numId w:val="1"/>
        </w:numPr>
        <w:topLinePunct/>
        <w:spacing w:line="440" w:lineRule="atLeast"/>
        <w:ind w:firstLine="525"/>
        <w:rPr>
          <w:rFonts w:hint="eastAsia" w:ascii="仿宋_GB2312" w:hAnsi="Calibri" w:eastAsia="仿宋_GB2312" w:cs="宋体"/>
          <w:kern w:val="0"/>
          <w:sz w:val="32"/>
          <w:szCs w:val="32"/>
        </w:rPr>
      </w:pPr>
      <w:r>
        <w:rPr>
          <w:rFonts w:hint="eastAsia" w:ascii="仿宋_GB2312" w:hAnsi="Calibri" w:eastAsia="仿宋_GB2312" w:cs="宋体"/>
          <w:kern w:val="0"/>
          <w:sz w:val="32"/>
          <w:szCs w:val="32"/>
        </w:rPr>
        <w:t>年度目标。包括产出目标、效果目标。</w:t>
      </w:r>
    </w:p>
    <w:p>
      <w:pPr>
        <w:widowControl/>
        <w:topLinePunct/>
        <w:spacing w:line="440" w:lineRule="atLeast"/>
        <w:ind w:firstLine="525"/>
        <w:rPr>
          <w:rFonts w:hint="eastAsia" w:ascii="仿宋_GB2312" w:hAnsi="Calibri" w:eastAsia="仿宋_GB2312" w:cs="宋体"/>
          <w:kern w:val="0"/>
          <w:sz w:val="32"/>
          <w:szCs w:val="32"/>
        </w:rPr>
      </w:pPr>
      <w:r>
        <w:rPr>
          <w:rFonts w:hint="eastAsia" w:ascii="仿宋_GB2312" w:hAnsi="Calibri" w:eastAsia="仿宋_GB2312" w:cs="宋体"/>
          <w:kern w:val="0"/>
          <w:sz w:val="32"/>
          <w:szCs w:val="32"/>
          <w:lang w:eastAsia="zh-CN"/>
        </w:rPr>
        <w:t>确保盘龙区不发生重特大森林火灾，受害率控制在</w:t>
      </w:r>
      <w:r>
        <w:rPr>
          <w:rFonts w:hint="eastAsia" w:ascii="仿宋_GB2312" w:hAnsi="Calibri" w:eastAsia="仿宋_GB2312" w:cs="宋体"/>
          <w:kern w:val="0"/>
          <w:sz w:val="32"/>
          <w:szCs w:val="32"/>
          <w:lang w:val="en-US" w:eastAsia="zh-CN"/>
        </w:rPr>
        <w:t>0.8</w:t>
      </w:r>
      <w:r>
        <w:rPr>
          <w:rFonts w:hint="default" w:ascii="Arial" w:hAnsi="Arial" w:eastAsia="仿宋_GB2312" w:cs="Arial"/>
          <w:kern w:val="0"/>
          <w:sz w:val="32"/>
          <w:szCs w:val="32"/>
          <w:lang w:val="en-US" w:eastAsia="zh-CN"/>
        </w:rPr>
        <w:t>‰</w:t>
      </w:r>
    </w:p>
    <w:p>
      <w:pPr>
        <w:widowControl/>
        <w:topLinePunct/>
        <w:spacing w:line="440" w:lineRule="atLeast"/>
        <w:ind w:firstLine="525"/>
        <w:rPr>
          <w:rFonts w:ascii="黑体" w:hAnsi="黑体" w:eastAsia="黑体" w:cs="宋体"/>
          <w:color w:val="000000" w:themeColor="text1"/>
          <w:kern w:val="0"/>
          <w:sz w:val="32"/>
          <w:szCs w:val="32"/>
          <w14:textFill>
            <w14:solidFill>
              <w14:schemeClr w14:val="tx1"/>
            </w14:solidFill>
          </w14:textFill>
        </w:rPr>
      </w:pPr>
      <w:r>
        <w:rPr>
          <w:rFonts w:hint="eastAsia" w:ascii="黑体" w:hAnsi="黑体" w:eastAsia="黑体" w:cs="宋体"/>
          <w:color w:val="000000" w:themeColor="text1"/>
          <w:kern w:val="0"/>
          <w:sz w:val="32"/>
          <w:szCs w:val="32"/>
          <w14:textFill>
            <w14:solidFill>
              <w14:schemeClr w14:val="tx1"/>
            </w14:solidFill>
          </w14:textFill>
        </w:rPr>
        <w:t>二、绩效评价工作情况</w:t>
      </w:r>
    </w:p>
    <w:p>
      <w:pPr>
        <w:widowControl/>
        <w:topLinePunct/>
        <w:spacing w:line="440" w:lineRule="atLeast"/>
        <w:ind w:firstLine="525"/>
        <w:rPr>
          <w:rFonts w:ascii="楷体" w:hAnsi="楷体" w:eastAsia="楷体" w:cs="宋体"/>
          <w:color w:val="000000" w:themeColor="text1"/>
          <w:kern w:val="0"/>
          <w:sz w:val="32"/>
          <w:szCs w:val="32"/>
          <w14:textFill>
            <w14:solidFill>
              <w14:schemeClr w14:val="tx1"/>
            </w14:solidFill>
          </w14:textFill>
        </w:rPr>
      </w:pPr>
      <w:r>
        <w:rPr>
          <w:rFonts w:hint="eastAsia" w:ascii="楷体" w:hAnsi="楷体" w:eastAsia="楷体" w:cs="宋体"/>
          <w:color w:val="000000" w:themeColor="text1"/>
          <w:kern w:val="0"/>
          <w:sz w:val="32"/>
          <w:szCs w:val="32"/>
          <w14:textFill>
            <w14:solidFill>
              <w14:schemeClr w14:val="tx1"/>
            </w14:solidFill>
          </w14:textFill>
        </w:rPr>
        <w:t>（一）绩效评价目的。</w:t>
      </w:r>
    </w:p>
    <w:p>
      <w:pPr>
        <w:widowControl/>
        <w:topLinePunct/>
        <w:spacing w:line="440" w:lineRule="atLeast"/>
        <w:ind w:firstLine="525"/>
        <w:rPr>
          <w:rFonts w:ascii="仿宋_GB2312" w:hAnsi="Calibri" w:eastAsia="仿宋_GB2312" w:cs="宋体"/>
          <w:color w:val="000000" w:themeColor="text1"/>
          <w:kern w:val="0"/>
          <w:sz w:val="32"/>
          <w:szCs w:val="32"/>
          <w14:textFill>
            <w14:solidFill>
              <w14:schemeClr w14:val="tx1"/>
            </w14:solidFill>
          </w14:textFill>
        </w:rPr>
      </w:pPr>
      <w:r>
        <w:rPr>
          <w:rFonts w:hint="eastAsia" w:ascii="楷体" w:hAnsi="楷体" w:eastAsia="楷体" w:cs="宋体"/>
          <w:color w:val="000000" w:themeColor="text1"/>
          <w:kern w:val="0"/>
          <w:sz w:val="32"/>
          <w:szCs w:val="32"/>
          <w14:textFill>
            <w14:solidFill>
              <w14:schemeClr w14:val="tx1"/>
            </w14:solidFill>
          </w14:textFill>
        </w:rPr>
        <w:t>有没有必要继续实施此项目。</w:t>
      </w:r>
    </w:p>
    <w:p>
      <w:pPr>
        <w:widowControl/>
        <w:numPr>
          <w:ilvl w:val="0"/>
          <w:numId w:val="2"/>
        </w:numPr>
        <w:topLinePunct/>
        <w:spacing w:line="440" w:lineRule="atLeast"/>
        <w:ind w:firstLine="525"/>
        <w:rPr>
          <w:rFonts w:hint="eastAsia" w:ascii="楷体" w:hAnsi="楷体" w:eastAsia="楷体" w:cs="宋体"/>
          <w:color w:val="000000" w:themeColor="text1"/>
          <w:kern w:val="0"/>
          <w:sz w:val="32"/>
          <w:szCs w:val="32"/>
          <w14:textFill>
            <w14:solidFill>
              <w14:schemeClr w14:val="tx1"/>
            </w14:solidFill>
          </w14:textFill>
        </w:rPr>
      </w:pPr>
      <w:r>
        <w:rPr>
          <w:rFonts w:hint="eastAsia" w:ascii="楷体" w:hAnsi="楷体" w:eastAsia="楷体" w:cs="宋体"/>
          <w:color w:val="000000" w:themeColor="text1"/>
          <w:kern w:val="0"/>
          <w:sz w:val="32"/>
          <w:szCs w:val="32"/>
          <w14:textFill>
            <w14:solidFill>
              <w14:schemeClr w14:val="tx1"/>
            </w14:solidFill>
          </w14:textFill>
        </w:rPr>
        <w:t>绩效评价工作方案制定过程。</w:t>
      </w:r>
    </w:p>
    <w:p>
      <w:pPr>
        <w:widowControl/>
        <w:numPr>
          <w:ilvl w:val="0"/>
          <w:numId w:val="0"/>
        </w:numPr>
        <w:topLinePunct/>
        <w:spacing w:line="440" w:lineRule="atLeast"/>
        <w:rPr>
          <w:rFonts w:hint="eastAsia" w:ascii="楷体" w:hAnsi="楷体" w:eastAsia="楷体" w:cs="宋体"/>
          <w:color w:val="000000" w:themeColor="text1"/>
          <w:kern w:val="0"/>
          <w:sz w:val="32"/>
          <w:szCs w:val="32"/>
          <w:lang w:eastAsia="zh-CN"/>
          <w14:textFill>
            <w14:solidFill>
              <w14:schemeClr w14:val="tx1"/>
            </w14:solidFill>
          </w14:textFill>
        </w:rPr>
      </w:pPr>
      <w:r>
        <w:rPr>
          <w:rFonts w:hint="eastAsia" w:ascii="楷体" w:hAnsi="楷体" w:eastAsia="楷体" w:cs="宋体"/>
          <w:color w:val="000000" w:themeColor="text1"/>
          <w:kern w:val="0"/>
          <w:sz w:val="32"/>
          <w:szCs w:val="32"/>
          <w:lang w:eastAsia="zh-CN"/>
          <w14:textFill>
            <w14:solidFill>
              <w14:schemeClr w14:val="tx1"/>
            </w14:solidFill>
          </w14:textFill>
        </w:rPr>
        <w:t>　　通过森林防火目标管理责任考核</w:t>
      </w:r>
    </w:p>
    <w:p>
      <w:pPr>
        <w:widowControl/>
        <w:topLinePunct/>
        <w:spacing w:line="440" w:lineRule="atLeast"/>
        <w:ind w:firstLine="525"/>
        <w:rPr>
          <w:rFonts w:ascii="仿宋_GB2312" w:hAnsi="Calibri" w:eastAsia="仿宋_GB2312" w:cs="宋体"/>
          <w:color w:val="000000" w:themeColor="text1"/>
          <w:kern w:val="0"/>
          <w:sz w:val="32"/>
          <w:szCs w:val="32"/>
          <w14:textFill>
            <w14:solidFill>
              <w14:schemeClr w14:val="tx1"/>
            </w14:solidFill>
          </w14:textFill>
        </w:rPr>
      </w:pPr>
      <w:r>
        <w:rPr>
          <w:rFonts w:hint="eastAsia" w:ascii="仿宋_GB2312" w:hAnsi="Calibri" w:eastAsia="仿宋_GB2312" w:cs="宋体"/>
          <w:color w:val="000000" w:themeColor="text1"/>
          <w:kern w:val="0"/>
          <w:sz w:val="32"/>
          <w:szCs w:val="32"/>
          <w14:textFill>
            <w14:solidFill>
              <w14:schemeClr w14:val="tx1"/>
            </w14:solidFill>
          </w14:textFill>
        </w:rPr>
        <w:t>3.绩效评价指标体系及工作方案的设计。</w:t>
      </w:r>
    </w:p>
    <w:p>
      <w:pPr>
        <w:widowControl/>
        <w:topLinePunct/>
        <w:spacing w:line="440" w:lineRule="atLeast"/>
        <w:ind w:firstLine="525"/>
        <w:rPr>
          <w:rFonts w:ascii="仿宋_GB2312" w:hAnsi="Calibri" w:eastAsia="仿宋_GB2312" w:cs="宋体"/>
          <w:color w:val="000000" w:themeColor="text1"/>
          <w:kern w:val="0"/>
          <w:sz w:val="32"/>
          <w:szCs w:val="32"/>
          <w14:textFill>
            <w14:solidFill>
              <w14:schemeClr w14:val="tx1"/>
            </w14:solidFill>
          </w14:textFill>
        </w:rPr>
      </w:pPr>
      <w:r>
        <w:rPr>
          <w:rFonts w:hint="eastAsia" w:ascii="仿宋_GB2312" w:hAnsi="Calibri" w:eastAsia="仿宋_GB2312" w:cs="宋体"/>
          <w:color w:val="000000" w:themeColor="text1"/>
          <w:kern w:val="0"/>
          <w:sz w:val="32"/>
          <w:szCs w:val="32"/>
          <w14:textFill>
            <w14:solidFill>
              <w14:schemeClr w14:val="tx1"/>
            </w14:solidFill>
          </w14:textFill>
        </w:rPr>
        <w:t>主要突出资金的社会效益和经济效益。</w:t>
      </w:r>
    </w:p>
    <w:p>
      <w:pPr>
        <w:widowControl/>
        <w:topLinePunct/>
        <w:spacing w:line="440" w:lineRule="atLeast"/>
        <w:ind w:firstLine="525"/>
        <w:rPr>
          <w:rFonts w:ascii="楷体" w:hAnsi="楷体" w:eastAsia="楷体" w:cs="宋体"/>
          <w:color w:val="000000" w:themeColor="text1"/>
          <w:kern w:val="0"/>
          <w:sz w:val="32"/>
          <w:szCs w:val="32"/>
          <w14:textFill>
            <w14:solidFill>
              <w14:schemeClr w14:val="tx1"/>
            </w14:solidFill>
          </w14:textFill>
        </w:rPr>
      </w:pPr>
      <w:r>
        <w:rPr>
          <w:rFonts w:hint="eastAsia" w:ascii="楷体" w:hAnsi="楷体" w:eastAsia="楷体" w:cs="宋体"/>
          <w:color w:val="000000" w:themeColor="text1"/>
          <w:kern w:val="0"/>
          <w:sz w:val="32"/>
          <w:szCs w:val="32"/>
          <w14:textFill>
            <w14:solidFill>
              <w14:schemeClr w14:val="tx1"/>
            </w14:solidFill>
          </w14:textFill>
        </w:rPr>
        <w:t>（三）绩效评价原则、评价方法</w:t>
      </w:r>
    </w:p>
    <w:p>
      <w:pPr>
        <w:widowControl/>
        <w:topLinePunct/>
        <w:spacing w:line="440" w:lineRule="atLeast"/>
        <w:ind w:firstLine="525"/>
        <w:rPr>
          <w:rFonts w:ascii="仿宋_GB2312" w:hAnsi="Calibri" w:eastAsia="仿宋_GB2312" w:cs="宋体"/>
          <w:color w:val="000000" w:themeColor="text1"/>
          <w:kern w:val="0"/>
          <w:sz w:val="32"/>
          <w:szCs w:val="32"/>
          <w14:textFill>
            <w14:solidFill>
              <w14:schemeClr w14:val="tx1"/>
            </w14:solidFill>
          </w14:textFill>
        </w:rPr>
      </w:pPr>
      <w:r>
        <w:rPr>
          <w:rFonts w:hint="eastAsia" w:ascii="仿宋_GB2312" w:hAnsi="Calibri" w:eastAsia="仿宋_GB2312" w:cs="宋体"/>
          <w:color w:val="000000" w:themeColor="text1"/>
          <w:kern w:val="0"/>
          <w:sz w:val="32"/>
          <w:szCs w:val="32"/>
          <w14:textFill>
            <w14:solidFill>
              <w14:schemeClr w14:val="tx1"/>
            </w14:solidFill>
          </w14:textFill>
        </w:rPr>
        <w:t>1.绩效评价原则。包括科学规范、公开公正、绩效相关等原则。</w:t>
      </w:r>
    </w:p>
    <w:p>
      <w:pPr>
        <w:widowControl/>
        <w:topLinePunct/>
        <w:spacing w:line="440" w:lineRule="atLeast"/>
        <w:ind w:firstLine="525"/>
        <w:rPr>
          <w:rFonts w:ascii="仿宋_GB2312" w:hAnsi="Calibri" w:eastAsia="仿宋_GB2312" w:cs="宋体"/>
          <w:color w:val="000000" w:themeColor="text1"/>
          <w:kern w:val="0"/>
          <w:sz w:val="32"/>
          <w:szCs w:val="32"/>
          <w14:textFill>
            <w14:solidFill>
              <w14:schemeClr w14:val="tx1"/>
            </w14:solidFill>
          </w14:textFill>
        </w:rPr>
      </w:pPr>
      <w:r>
        <w:rPr>
          <w:rFonts w:hint="eastAsia" w:ascii="仿宋_GB2312" w:hAnsi="Calibri" w:eastAsia="仿宋_GB2312" w:cs="宋体"/>
          <w:color w:val="000000" w:themeColor="text1"/>
          <w:kern w:val="0"/>
          <w:sz w:val="32"/>
          <w:szCs w:val="32"/>
          <w:lang w:eastAsia="zh-CN"/>
          <w14:textFill>
            <w14:solidFill>
              <w14:schemeClr w14:val="tx1"/>
            </w14:solidFill>
          </w14:textFill>
        </w:rPr>
        <w:t>根据市、区目标管理责任状执行情况考核</w:t>
      </w:r>
      <w:r>
        <w:rPr>
          <w:rFonts w:hint="eastAsia" w:ascii="仿宋_GB2312" w:hAnsi="Calibri" w:eastAsia="仿宋_GB2312" w:cs="宋体"/>
          <w:color w:val="000000" w:themeColor="text1"/>
          <w:kern w:val="0"/>
          <w:sz w:val="32"/>
          <w:szCs w:val="32"/>
          <w14:textFill>
            <w14:solidFill>
              <w14:schemeClr w14:val="tx1"/>
            </w14:solidFill>
          </w14:textFill>
        </w:rPr>
        <w:t>。</w:t>
      </w:r>
    </w:p>
    <w:p>
      <w:pPr>
        <w:widowControl/>
        <w:topLinePunct/>
        <w:spacing w:line="440" w:lineRule="atLeast"/>
        <w:ind w:firstLine="640" w:firstLineChars="200"/>
        <w:rPr>
          <w:rFonts w:ascii="仿宋_GB2312" w:hAnsi="Calibri" w:eastAsia="仿宋_GB2312" w:cs="宋体"/>
          <w:color w:val="000000" w:themeColor="text1"/>
          <w:kern w:val="0"/>
          <w:sz w:val="32"/>
          <w:szCs w:val="32"/>
          <w14:textFill>
            <w14:solidFill>
              <w14:schemeClr w14:val="tx1"/>
            </w14:solidFill>
          </w14:textFill>
        </w:rPr>
      </w:pPr>
      <w:r>
        <w:rPr>
          <w:rFonts w:hint="eastAsia" w:ascii="仿宋_GB2312" w:hAnsi="Calibri" w:eastAsia="仿宋_GB2312" w:cs="宋体"/>
          <w:color w:val="000000" w:themeColor="text1"/>
          <w:kern w:val="0"/>
          <w:sz w:val="32"/>
          <w:szCs w:val="32"/>
          <w14:textFill>
            <w14:solidFill>
              <w14:schemeClr w14:val="tx1"/>
            </w14:solidFill>
          </w14:textFill>
        </w:rPr>
        <w:t>2.绩效评价方法。包括指标评价、数据采集和社会调查中所采用的方法。</w:t>
      </w:r>
    </w:p>
    <w:p>
      <w:pPr>
        <w:widowControl/>
        <w:topLinePunct/>
        <w:spacing w:line="440" w:lineRule="atLeast"/>
        <w:ind w:firstLine="525"/>
        <w:rPr>
          <w:rFonts w:ascii="仿宋_GB2312" w:hAnsi="Calibri" w:eastAsia="仿宋_GB2312" w:cs="宋体"/>
          <w:color w:val="000000" w:themeColor="text1"/>
          <w:kern w:val="0"/>
          <w:sz w:val="32"/>
          <w:szCs w:val="32"/>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根据市级对我区森林防火目标管理责任状执行情况进行考核</w:t>
      </w:r>
      <w:r>
        <w:rPr>
          <w:rFonts w:hint="eastAsia" w:ascii="仿宋_GB2312" w:eastAsia="仿宋_GB2312"/>
          <w:color w:val="000000" w:themeColor="text1"/>
          <w:sz w:val="32"/>
          <w:szCs w:val="32"/>
          <w14:textFill>
            <w14:solidFill>
              <w14:schemeClr w14:val="tx1"/>
            </w14:solidFill>
          </w14:textFill>
        </w:rPr>
        <w:t>。</w:t>
      </w:r>
    </w:p>
    <w:p>
      <w:pPr>
        <w:widowControl/>
        <w:topLinePunct/>
        <w:spacing w:line="440" w:lineRule="atLeast"/>
        <w:ind w:firstLine="525"/>
        <w:rPr>
          <w:rFonts w:ascii="楷体" w:hAnsi="楷体" w:eastAsia="楷体" w:cs="宋体"/>
          <w:color w:val="000000" w:themeColor="text1"/>
          <w:kern w:val="0"/>
          <w:sz w:val="32"/>
          <w:szCs w:val="32"/>
          <w14:textFill>
            <w14:solidFill>
              <w14:schemeClr w14:val="tx1"/>
            </w14:solidFill>
          </w14:textFill>
        </w:rPr>
      </w:pPr>
      <w:r>
        <w:rPr>
          <w:rFonts w:hint="eastAsia" w:ascii="楷体" w:hAnsi="楷体" w:eastAsia="楷体" w:cs="宋体"/>
          <w:color w:val="000000" w:themeColor="text1"/>
          <w:kern w:val="0"/>
          <w:sz w:val="32"/>
          <w:szCs w:val="32"/>
          <w14:textFill>
            <w14:solidFill>
              <w14:schemeClr w14:val="tx1"/>
            </w14:solidFill>
          </w14:textFill>
        </w:rPr>
        <w:t>（四）绩效评价实施过程</w:t>
      </w:r>
    </w:p>
    <w:p>
      <w:pPr>
        <w:widowControl/>
        <w:topLinePunct/>
        <w:spacing w:line="440" w:lineRule="atLeast"/>
        <w:ind w:firstLine="525"/>
        <w:rPr>
          <w:rFonts w:hint="eastAsia" w:ascii="仿宋_GB2312" w:hAnsi="Calibri" w:eastAsia="仿宋_GB2312" w:cs="宋体"/>
          <w:color w:val="000000" w:themeColor="text1"/>
          <w:kern w:val="0"/>
          <w:sz w:val="32"/>
          <w:szCs w:val="32"/>
          <w:lang w:eastAsia="zh-CN"/>
          <w14:textFill>
            <w14:solidFill>
              <w14:schemeClr w14:val="tx1"/>
            </w14:solidFill>
          </w14:textFill>
        </w:rPr>
      </w:pPr>
      <w:r>
        <w:rPr>
          <w:rFonts w:hint="eastAsia" w:ascii="仿宋_GB2312" w:hAnsi="Calibri" w:eastAsia="仿宋_GB2312" w:cs="宋体"/>
          <w:color w:val="000000" w:themeColor="text1"/>
          <w:kern w:val="0"/>
          <w:sz w:val="32"/>
          <w:szCs w:val="32"/>
          <w:lang w:eastAsia="zh-CN"/>
          <w14:textFill>
            <w14:solidFill>
              <w14:schemeClr w14:val="tx1"/>
            </w14:solidFill>
          </w14:textFill>
        </w:rPr>
        <w:t>根据年终森林防火工作考核</w:t>
      </w:r>
    </w:p>
    <w:p>
      <w:pPr>
        <w:widowControl/>
        <w:topLinePunct/>
        <w:spacing w:line="440" w:lineRule="atLeast"/>
        <w:ind w:firstLine="525"/>
        <w:rPr>
          <w:rFonts w:ascii="楷体" w:hAnsi="楷体" w:eastAsia="楷体" w:cs="宋体"/>
          <w:color w:val="000000" w:themeColor="text1"/>
          <w:kern w:val="0"/>
          <w:sz w:val="32"/>
          <w:szCs w:val="32"/>
          <w14:textFill>
            <w14:solidFill>
              <w14:schemeClr w14:val="tx1"/>
            </w14:solidFill>
          </w14:textFill>
        </w:rPr>
      </w:pPr>
      <w:r>
        <w:rPr>
          <w:rFonts w:hint="eastAsia" w:ascii="楷体" w:hAnsi="楷体" w:eastAsia="楷体" w:cs="宋体"/>
          <w:color w:val="000000" w:themeColor="text1"/>
          <w:kern w:val="0"/>
          <w:sz w:val="32"/>
          <w:szCs w:val="32"/>
          <w14:textFill>
            <w14:solidFill>
              <w14:schemeClr w14:val="tx1"/>
            </w14:solidFill>
          </w14:textFill>
        </w:rPr>
        <w:t>（五）本次绩效评价的局限性。</w:t>
      </w:r>
    </w:p>
    <w:p>
      <w:pPr>
        <w:widowControl/>
        <w:topLinePunct/>
        <w:spacing w:line="440" w:lineRule="atLeast"/>
        <w:ind w:firstLine="525"/>
        <w:rPr>
          <w:rFonts w:hint="eastAsia" w:ascii="楷体" w:hAnsi="楷体" w:eastAsia="楷体" w:cs="宋体"/>
          <w:color w:val="000000" w:themeColor="text1"/>
          <w:kern w:val="0"/>
          <w:sz w:val="32"/>
          <w:szCs w:val="32"/>
          <w:lang w:eastAsia="zh-CN"/>
          <w14:textFill>
            <w14:solidFill>
              <w14:schemeClr w14:val="tx1"/>
            </w14:solidFill>
          </w14:textFill>
        </w:rPr>
      </w:pPr>
      <w:r>
        <w:rPr>
          <w:rFonts w:hint="eastAsia" w:ascii="楷体" w:hAnsi="楷体" w:eastAsia="楷体" w:cs="宋体"/>
          <w:color w:val="000000" w:themeColor="text1"/>
          <w:kern w:val="0"/>
          <w:sz w:val="32"/>
          <w:szCs w:val="32"/>
          <w:lang w:eastAsia="zh-CN"/>
          <w14:textFill>
            <w14:solidFill>
              <w14:schemeClr w14:val="tx1"/>
            </w14:solidFill>
          </w14:textFill>
        </w:rPr>
        <w:t>无</w:t>
      </w:r>
    </w:p>
    <w:p>
      <w:pPr>
        <w:widowControl/>
        <w:topLinePunct/>
        <w:spacing w:line="440" w:lineRule="atLeast"/>
        <w:ind w:firstLine="525"/>
        <w:rPr>
          <w:rFonts w:ascii="黑体" w:hAnsi="黑体" w:eastAsia="黑体" w:cs="宋体"/>
          <w:color w:val="000000" w:themeColor="text1"/>
          <w:kern w:val="0"/>
          <w:sz w:val="32"/>
          <w:szCs w:val="32"/>
          <w14:textFill>
            <w14:solidFill>
              <w14:schemeClr w14:val="tx1"/>
            </w14:solidFill>
          </w14:textFill>
        </w:rPr>
      </w:pPr>
      <w:r>
        <w:rPr>
          <w:rFonts w:hint="eastAsia" w:ascii="黑体" w:hAnsi="黑体" w:eastAsia="黑体" w:cs="宋体"/>
          <w:color w:val="000000" w:themeColor="text1"/>
          <w:kern w:val="0"/>
          <w:sz w:val="32"/>
          <w:szCs w:val="32"/>
          <w14:textFill>
            <w14:solidFill>
              <w14:schemeClr w14:val="tx1"/>
            </w14:solidFill>
          </w14:textFill>
        </w:rPr>
        <w:t>三、评价结论和绩效分析</w:t>
      </w:r>
    </w:p>
    <w:p>
      <w:pPr>
        <w:widowControl/>
        <w:topLinePunct/>
        <w:spacing w:line="440" w:lineRule="atLeast"/>
        <w:ind w:firstLine="525"/>
        <w:rPr>
          <w:rFonts w:ascii="楷体" w:hAnsi="楷体" w:eastAsia="楷体" w:cs="宋体"/>
          <w:color w:val="000000" w:themeColor="text1"/>
          <w:kern w:val="0"/>
          <w:sz w:val="32"/>
          <w:szCs w:val="32"/>
          <w14:textFill>
            <w14:solidFill>
              <w14:schemeClr w14:val="tx1"/>
            </w14:solidFill>
          </w14:textFill>
        </w:rPr>
      </w:pPr>
      <w:r>
        <w:rPr>
          <w:rFonts w:hint="eastAsia" w:ascii="楷体" w:hAnsi="楷体" w:eastAsia="楷体" w:cs="宋体"/>
          <w:color w:val="000000" w:themeColor="text1"/>
          <w:kern w:val="0"/>
          <w:sz w:val="32"/>
          <w:szCs w:val="32"/>
          <w14:textFill>
            <w14:solidFill>
              <w14:schemeClr w14:val="tx1"/>
            </w14:solidFill>
          </w14:textFill>
        </w:rPr>
        <w:t>（一）评价结论。</w:t>
      </w:r>
    </w:p>
    <w:p>
      <w:pPr>
        <w:widowControl/>
        <w:topLinePunct/>
        <w:spacing w:line="440" w:lineRule="atLeast"/>
        <w:ind w:firstLine="525"/>
        <w:rPr>
          <w:rFonts w:hint="eastAsia" w:ascii="仿宋_GB2312" w:hAnsi="Calibri" w:eastAsia="仿宋_GB2312" w:cs="宋体"/>
          <w:color w:val="000000" w:themeColor="text1"/>
          <w:kern w:val="0"/>
          <w:sz w:val="32"/>
          <w:szCs w:val="32"/>
          <w14:textFill>
            <w14:solidFill>
              <w14:schemeClr w14:val="tx1"/>
            </w14:solidFill>
          </w14:textFill>
        </w:rPr>
      </w:pPr>
      <w:r>
        <w:rPr>
          <w:rFonts w:hint="eastAsia" w:ascii="仿宋_GB2312" w:hAnsi="Calibri" w:eastAsia="仿宋_GB2312" w:cs="宋体"/>
          <w:color w:val="000000" w:themeColor="text1"/>
          <w:kern w:val="0"/>
          <w:sz w:val="32"/>
          <w:szCs w:val="32"/>
          <w14:textFill>
            <w14:solidFill>
              <w14:schemeClr w14:val="tx1"/>
            </w14:solidFill>
          </w14:textFill>
        </w:rPr>
        <w:t>1.评价结果。</w:t>
      </w:r>
    </w:p>
    <w:p>
      <w:pPr>
        <w:widowControl/>
        <w:numPr>
          <w:ilvl w:val="0"/>
          <w:numId w:val="0"/>
        </w:numPr>
        <w:topLinePunct/>
        <w:spacing w:line="440" w:lineRule="atLeast"/>
        <w:ind w:firstLine="640" w:firstLineChars="200"/>
        <w:rPr>
          <w:rFonts w:hint="eastAsia" w:ascii="仿宋_GB2312" w:hAnsi="Calibri" w:eastAsia="仿宋_GB2312" w:cs="宋体"/>
          <w:color w:val="000000" w:themeColor="text1"/>
          <w:kern w:val="0"/>
          <w:sz w:val="32"/>
          <w:szCs w:val="32"/>
          <w14:textFill>
            <w14:solidFill>
              <w14:schemeClr w14:val="tx1"/>
            </w14:solidFill>
          </w14:textFill>
        </w:rPr>
      </w:pPr>
      <w:r>
        <w:rPr>
          <w:rFonts w:hint="eastAsia" w:ascii="楷体" w:hAnsi="楷体" w:eastAsia="楷体" w:cs="宋体"/>
          <w:color w:val="000000" w:themeColor="text1"/>
          <w:kern w:val="0"/>
          <w:sz w:val="32"/>
          <w:szCs w:val="32"/>
          <w:lang w:eastAsia="zh-CN"/>
          <w14:textFill>
            <w14:solidFill>
              <w14:schemeClr w14:val="tx1"/>
            </w14:solidFill>
          </w14:textFill>
        </w:rPr>
        <w:t>通过市级森林防火指挥部对盘龙区森林防火目标管理责任抛执行情况考核，盘龙区为优秀等级。</w:t>
      </w:r>
    </w:p>
    <w:p>
      <w:pPr>
        <w:widowControl/>
        <w:topLinePunct/>
        <w:spacing w:line="440" w:lineRule="atLeast"/>
        <w:ind w:firstLine="525"/>
        <w:rPr>
          <w:rFonts w:ascii="仿宋_GB2312" w:hAnsi="Calibri" w:eastAsia="仿宋_GB2312" w:cs="宋体"/>
          <w:color w:val="000000" w:themeColor="text1"/>
          <w:kern w:val="0"/>
          <w:sz w:val="32"/>
          <w:szCs w:val="32"/>
          <w14:textFill>
            <w14:solidFill>
              <w14:schemeClr w14:val="tx1"/>
            </w14:solidFill>
          </w14:textFill>
        </w:rPr>
      </w:pPr>
      <w:r>
        <w:rPr>
          <w:rFonts w:hint="eastAsia" w:ascii="仿宋_GB2312" w:hAnsi="Calibri" w:eastAsia="仿宋_GB2312" w:cs="宋体"/>
          <w:color w:val="000000" w:themeColor="text1"/>
          <w:kern w:val="0"/>
          <w:sz w:val="32"/>
          <w:szCs w:val="32"/>
          <w14:textFill>
            <w14:solidFill>
              <w14:schemeClr w14:val="tx1"/>
            </w14:solidFill>
          </w14:textFill>
        </w:rPr>
        <w:t>2.主要绩效。</w:t>
      </w:r>
    </w:p>
    <w:p>
      <w:pPr>
        <w:widowControl/>
        <w:topLinePunct/>
        <w:spacing w:line="440" w:lineRule="atLeast"/>
        <w:ind w:firstLine="525"/>
        <w:rPr>
          <w:rFonts w:ascii="仿宋" w:hAnsi="仿宋" w:eastAsia="仿宋" w:cs="宋体"/>
          <w:color w:val="FF0000"/>
          <w:kern w:val="0"/>
          <w:sz w:val="32"/>
          <w:szCs w:val="32"/>
        </w:rPr>
      </w:pPr>
      <w:r>
        <w:rPr>
          <w:rFonts w:hint="eastAsia" w:ascii="仿宋_GB2312" w:hAnsi="仿宋_GB2312" w:eastAsia="仿宋_GB2312" w:cs="仿宋_GB2312"/>
          <w:bCs/>
          <w:color w:val="000000" w:themeColor="text1"/>
          <w:sz w:val="32"/>
          <w:szCs w:val="32"/>
          <w:lang w:eastAsia="zh-CN"/>
          <w14:textFill>
            <w14:solidFill>
              <w14:schemeClr w14:val="tx1"/>
            </w14:solidFill>
          </w14:textFill>
        </w:rPr>
        <w:t>　在昆明市</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2020年度森林防火目标管理考核中，评为优秀等级。</w:t>
      </w:r>
    </w:p>
    <w:p>
      <w:pPr>
        <w:widowControl/>
        <w:topLinePunct/>
        <w:spacing w:line="440" w:lineRule="atLeast"/>
        <w:ind w:firstLine="525"/>
        <w:rPr>
          <w:rFonts w:ascii="黑体" w:hAnsi="黑体" w:eastAsia="黑体" w:cs="宋体"/>
          <w:color w:val="000000" w:themeColor="text1"/>
          <w:kern w:val="0"/>
          <w:sz w:val="32"/>
          <w:szCs w:val="32"/>
          <w14:textFill>
            <w14:solidFill>
              <w14:schemeClr w14:val="tx1"/>
            </w14:solidFill>
          </w14:textFill>
        </w:rPr>
      </w:pPr>
      <w:r>
        <w:rPr>
          <w:rFonts w:hint="eastAsia" w:ascii="黑体" w:hAnsi="黑体" w:eastAsia="黑体" w:cs="宋体"/>
          <w:color w:val="000000" w:themeColor="text1"/>
          <w:kern w:val="0"/>
          <w:sz w:val="32"/>
          <w:szCs w:val="32"/>
          <w14:textFill>
            <w14:solidFill>
              <w14:schemeClr w14:val="tx1"/>
            </w14:solidFill>
          </w14:textFill>
        </w:rPr>
        <w:t>四、成本效益分析。</w:t>
      </w:r>
    </w:p>
    <w:p>
      <w:pPr>
        <w:widowControl/>
        <w:topLinePunct/>
        <w:spacing w:line="440" w:lineRule="atLeast"/>
        <w:ind w:firstLine="525"/>
        <w:rPr>
          <w:rFonts w:ascii="仿宋_GB2312" w:hAnsi="Calibri" w:eastAsia="仿宋_GB2312" w:cs="宋体"/>
          <w:color w:val="000000" w:themeColor="text1"/>
          <w:kern w:val="0"/>
          <w:sz w:val="32"/>
          <w:szCs w:val="32"/>
          <w14:textFill>
            <w14:solidFill>
              <w14:schemeClr w14:val="tx1"/>
            </w14:solidFill>
          </w14:textFill>
        </w:rPr>
      </w:pPr>
      <w:r>
        <w:rPr>
          <w:rFonts w:hint="eastAsia" w:ascii="黑体" w:hAnsi="黑体" w:eastAsia="黑体" w:cs="宋体"/>
          <w:color w:val="000000" w:themeColor="text1"/>
          <w:kern w:val="0"/>
          <w:sz w:val="32"/>
          <w:szCs w:val="32"/>
          <w14:textFill>
            <w14:solidFill>
              <w14:schemeClr w14:val="tx1"/>
            </w14:solidFill>
          </w14:textFill>
        </w:rPr>
        <w:t>1、</w:t>
      </w:r>
      <w:r>
        <w:rPr>
          <w:rFonts w:hint="eastAsia" w:ascii="仿宋_GB2312" w:hAnsi="Calibri" w:eastAsia="仿宋_GB2312" w:cs="宋体"/>
          <w:color w:val="000000" w:themeColor="text1"/>
          <w:kern w:val="0"/>
          <w:sz w:val="32"/>
          <w:szCs w:val="32"/>
          <w14:textFill>
            <w14:solidFill>
              <w14:schemeClr w14:val="tx1"/>
            </w14:solidFill>
          </w14:textFill>
        </w:rPr>
        <w:t>对资金使用方向、资金收入和支出结构；</w:t>
      </w:r>
    </w:p>
    <w:p>
      <w:pPr>
        <w:outlineLvl w:val="0"/>
        <w:rPr>
          <w:rFonts w:ascii="仿宋_GB2312" w:hAnsi="仿宋_GB2312" w:eastAsia="仿宋_GB2312" w:cs="仿宋_GB2312"/>
          <w:bCs/>
          <w:color w:val="000000" w:themeColor="text1"/>
          <w:sz w:val="30"/>
          <w:szCs w:val="30"/>
          <w14:textFill>
            <w14:solidFill>
              <w14:schemeClr w14:val="tx1"/>
            </w14:solidFill>
          </w14:textFill>
        </w:rPr>
      </w:pPr>
      <w:r>
        <w:rPr>
          <w:rFonts w:hint="eastAsia" w:ascii="仿宋_GB2312" w:hAnsi="仿宋_GB2312" w:eastAsia="仿宋_GB2312" w:cs="仿宋_GB2312"/>
          <w:bCs/>
          <w:color w:val="000000" w:themeColor="text1"/>
          <w:sz w:val="30"/>
          <w:szCs w:val="30"/>
          <w:lang w:eastAsia="zh-CN"/>
          <w14:textFill>
            <w14:solidFill>
              <w14:schemeClr w14:val="tx1"/>
            </w14:solidFill>
          </w14:textFill>
        </w:rPr>
        <w:t>　　年初根据往年考核资金情况申报预算，区财政根据申报，预拨资金，在年终考核后，根据考核情况，测算拨付资金，报请区森林草原防灭火指挥部研究，下拨涉及街道进行兑现</w:t>
      </w:r>
      <w:r>
        <w:rPr>
          <w:rFonts w:hint="eastAsia" w:ascii="仿宋_GB2312" w:hAnsi="仿宋_GB2312" w:eastAsia="仿宋_GB2312" w:cs="仿宋_GB2312"/>
          <w:bCs/>
          <w:color w:val="000000" w:themeColor="text1"/>
          <w:sz w:val="30"/>
          <w:szCs w:val="30"/>
          <w14:textFill>
            <w14:solidFill>
              <w14:schemeClr w14:val="tx1"/>
            </w14:solidFill>
          </w14:textFill>
        </w:rPr>
        <w:t>。</w:t>
      </w:r>
    </w:p>
    <w:p>
      <w:pPr>
        <w:widowControl/>
        <w:topLinePunct/>
        <w:spacing w:line="440" w:lineRule="atLeast"/>
        <w:ind w:firstLine="525"/>
        <w:rPr>
          <w:rFonts w:ascii="黑体" w:hAnsi="黑体" w:eastAsia="黑体" w:cs="宋体"/>
          <w:color w:val="000000" w:themeColor="text1"/>
          <w:kern w:val="0"/>
          <w:sz w:val="32"/>
          <w:szCs w:val="32"/>
          <w14:textFill>
            <w14:solidFill>
              <w14:schemeClr w14:val="tx1"/>
            </w14:solidFill>
          </w14:textFill>
        </w:rPr>
      </w:pPr>
      <w:r>
        <w:rPr>
          <w:rFonts w:hint="eastAsia" w:ascii="黑体" w:hAnsi="黑体" w:eastAsia="黑体" w:cs="宋体"/>
          <w:color w:val="000000" w:themeColor="text1"/>
          <w:kern w:val="0"/>
          <w:sz w:val="32"/>
          <w:szCs w:val="32"/>
          <w14:textFill>
            <w14:solidFill>
              <w14:schemeClr w14:val="tx1"/>
            </w14:solidFill>
          </w14:textFill>
        </w:rPr>
        <w:t>五、主要经验及做法、存在的问题和建议</w:t>
      </w:r>
    </w:p>
    <w:p>
      <w:pPr>
        <w:widowControl/>
        <w:topLinePunct/>
        <w:spacing w:line="440" w:lineRule="atLeast"/>
        <w:ind w:firstLine="525"/>
        <w:rPr>
          <w:rFonts w:ascii="楷体" w:hAnsi="楷体" w:eastAsia="楷体" w:cs="宋体"/>
          <w:color w:val="000000" w:themeColor="text1"/>
          <w:kern w:val="0"/>
          <w:sz w:val="32"/>
          <w:szCs w:val="32"/>
          <w14:textFill>
            <w14:solidFill>
              <w14:schemeClr w14:val="tx1"/>
            </w14:solidFill>
          </w14:textFill>
        </w:rPr>
      </w:pPr>
      <w:r>
        <w:rPr>
          <w:rFonts w:hint="eastAsia" w:ascii="楷体" w:hAnsi="楷体" w:eastAsia="楷体" w:cs="宋体"/>
          <w:color w:val="000000" w:themeColor="text1"/>
          <w:kern w:val="0"/>
          <w:sz w:val="32"/>
          <w:szCs w:val="32"/>
          <w14:textFill>
            <w14:solidFill>
              <w14:schemeClr w14:val="tx1"/>
            </w14:solidFill>
          </w14:textFill>
        </w:rPr>
        <w:t>（一）主要经验及做法；</w:t>
      </w:r>
    </w:p>
    <w:p>
      <w:pPr>
        <w:ind w:left="640"/>
        <w:jc w:val="left"/>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w:t>
      </w:r>
      <w:r>
        <w:rPr>
          <w:rFonts w:hint="eastAsia" w:ascii="仿宋_GB2312" w:eastAsia="仿宋_GB2312"/>
          <w:color w:val="000000" w:themeColor="text1"/>
          <w:sz w:val="32"/>
          <w:szCs w:val="32"/>
          <w:lang w:eastAsia="zh-CN"/>
          <w14:textFill>
            <w14:solidFill>
              <w14:schemeClr w14:val="tx1"/>
            </w14:solidFill>
          </w14:textFill>
        </w:rPr>
        <w:t>资金使用。通过招投标，签订合同，报请局党组研究，同意后，按照财务相关规定支付资金。</w:t>
      </w:r>
    </w:p>
    <w:p>
      <w:pPr>
        <w:ind w:left="640"/>
        <w:jc w:val="left"/>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lang w:val="en-US" w:eastAsia="zh-CN"/>
          <w14:textFill>
            <w14:solidFill>
              <w14:schemeClr w14:val="tx1"/>
            </w14:solidFill>
          </w14:textFill>
        </w:rPr>
        <w:t>2</w:t>
      </w:r>
      <w:r>
        <w:rPr>
          <w:rFonts w:hint="eastAsia" w:ascii="仿宋_GB2312" w:eastAsia="仿宋_GB2312"/>
          <w:color w:val="000000" w:themeColor="text1"/>
          <w:sz w:val="32"/>
          <w:szCs w:val="32"/>
          <w:lang w:eastAsia="zh-CN"/>
          <w14:textFill>
            <w14:solidFill>
              <w14:schemeClr w14:val="tx1"/>
            </w14:solidFill>
          </w14:textFill>
        </w:rPr>
        <w:t>）建立台账</w:t>
      </w:r>
    </w:p>
    <w:p>
      <w:pPr>
        <w:widowControl/>
        <w:spacing w:line="440" w:lineRule="atLeast"/>
        <w:ind w:firstLine="420"/>
        <w:jc w:val="left"/>
        <w:rPr>
          <w:rFonts w:ascii="楷体" w:hAnsi="楷体" w:eastAsia="楷体" w:cs="宋体"/>
          <w:color w:val="000000" w:themeColor="text1"/>
          <w:kern w:val="0"/>
          <w:szCs w:val="21"/>
          <w14:textFill>
            <w14:solidFill>
              <w14:schemeClr w14:val="tx1"/>
            </w14:solidFill>
          </w14:textFill>
        </w:rPr>
      </w:pPr>
      <w:r>
        <w:rPr>
          <w:rFonts w:hint="eastAsia" w:ascii="楷体" w:hAnsi="楷体" w:eastAsia="楷体" w:cs="宋体"/>
          <w:color w:val="000000" w:themeColor="text1"/>
          <w:kern w:val="0"/>
          <w:szCs w:val="21"/>
          <w14:textFill>
            <w14:solidFill>
              <w14:schemeClr w14:val="tx1"/>
            </w14:solidFill>
          </w14:textFill>
        </w:rPr>
        <w:t xml:space="preserve"> </w:t>
      </w:r>
      <w:r>
        <w:rPr>
          <w:rFonts w:hint="eastAsia" w:ascii="楷体" w:hAnsi="楷体" w:eastAsia="楷体" w:cs="宋体"/>
          <w:color w:val="000000" w:themeColor="text1"/>
          <w:kern w:val="0"/>
          <w:sz w:val="32"/>
          <w:szCs w:val="32"/>
          <w14:textFill>
            <w14:solidFill>
              <w14:schemeClr w14:val="tx1"/>
            </w14:solidFill>
          </w14:textFill>
        </w:rPr>
        <w:t>（二）存在的问题；</w:t>
      </w:r>
    </w:p>
    <w:p>
      <w:pPr>
        <w:ind w:firstLine="640" w:firstLineChars="200"/>
        <w:outlineLvl w:val="0"/>
        <w:rPr>
          <w:rFonts w:hint="eastAsia" w:ascii="仿宋_GB2312" w:hAnsi="仿宋_GB2312" w:eastAsia="仿宋_GB2312" w:cs="仿宋_GB2312"/>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Cs/>
          <w:color w:val="000000" w:themeColor="text1"/>
          <w:sz w:val="32"/>
          <w:szCs w:val="32"/>
          <w:lang w:eastAsia="zh-CN"/>
          <w14:textFill>
            <w14:solidFill>
              <w14:schemeClr w14:val="tx1"/>
            </w14:solidFill>
          </w14:textFill>
        </w:rPr>
        <w:t>无</w:t>
      </w:r>
    </w:p>
    <w:p>
      <w:pPr>
        <w:ind w:firstLine="640" w:firstLineChars="200"/>
        <w:outlineLvl w:val="0"/>
        <w:rPr>
          <w:rFonts w:ascii="仿宋_GB2312" w:hAnsi="仿宋_GB2312" w:eastAsia="仿宋_GB2312" w:cs="仿宋_GB2312"/>
          <w:snapToGrid w:val="0"/>
          <w:color w:val="000000" w:themeColor="text1"/>
          <w:kern w:val="0"/>
          <w:sz w:val="32"/>
          <w:szCs w:val="32"/>
          <w14:textFill>
            <w14:solidFill>
              <w14:schemeClr w14:val="tx1"/>
            </w14:solidFill>
          </w14:textFill>
        </w:rPr>
      </w:pPr>
      <w:r>
        <w:rPr>
          <w:rFonts w:hint="eastAsia" w:ascii="楷体" w:hAnsi="楷体" w:eastAsia="楷体" w:cs="宋体"/>
          <w:color w:val="000000" w:themeColor="text1"/>
          <w:kern w:val="0"/>
          <w:sz w:val="32"/>
          <w:szCs w:val="32"/>
          <w14:textFill>
            <w14:solidFill>
              <w14:schemeClr w14:val="tx1"/>
            </w14:solidFill>
          </w14:textFill>
        </w:rPr>
        <w:t>（三）建议和改进措施。</w:t>
      </w:r>
    </w:p>
    <w:p>
      <w:pPr>
        <w:widowControl/>
        <w:spacing w:line="440" w:lineRule="atLeast"/>
        <w:jc w:val="both"/>
        <w:rPr>
          <w:rFonts w:hint="eastAsia" w:ascii="楷体" w:hAnsi="楷体" w:eastAsia="楷体" w:cs="宋体"/>
          <w:color w:val="000000" w:themeColor="text1"/>
          <w:kern w:val="0"/>
          <w:sz w:val="32"/>
          <w:szCs w:val="32"/>
          <w:lang w:val="en-US" w:eastAsia="zh-CN"/>
          <w14:textFill>
            <w14:solidFill>
              <w14:schemeClr w14:val="tx1"/>
            </w14:solidFill>
          </w14:textFill>
        </w:rPr>
      </w:pPr>
      <w:r>
        <w:rPr>
          <w:rFonts w:hint="eastAsia" w:ascii="楷体" w:hAnsi="楷体" w:eastAsia="楷体" w:cs="宋体"/>
          <w:color w:val="000000" w:themeColor="text1"/>
          <w:kern w:val="0"/>
          <w:sz w:val="32"/>
          <w:szCs w:val="32"/>
          <w:lang w:val="en-US" w:eastAsia="zh-CN"/>
          <w14:textFill>
            <w14:solidFill>
              <w14:schemeClr w14:val="tx1"/>
            </w14:solidFill>
          </w14:textFill>
        </w:rPr>
        <w:t xml:space="preserve">     无                             </w:t>
      </w:r>
    </w:p>
    <w:p>
      <w:pPr>
        <w:widowControl/>
        <w:spacing w:line="440" w:lineRule="atLeast"/>
        <w:ind w:firstLine="640" w:firstLineChars="200"/>
        <w:jc w:val="center"/>
        <w:rPr>
          <w:rFonts w:ascii="楷体" w:hAnsi="楷体" w:eastAsia="楷体" w:cs="宋体"/>
          <w:color w:val="000000" w:themeColor="text1"/>
          <w:kern w:val="0"/>
          <w:sz w:val="32"/>
          <w:szCs w:val="32"/>
          <w14:textFill>
            <w14:solidFill>
              <w14:schemeClr w14:val="tx1"/>
            </w14:solidFill>
          </w14:textFill>
        </w:rPr>
      </w:pPr>
      <w:r>
        <w:rPr>
          <w:rFonts w:hint="eastAsia" w:ascii="楷体" w:hAnsi="楷体" w:eastAsia="楷体" w:cs="宋体"/>
          <w:color w:val="000000" w:themeColor="text1"/>
          <w:kern w:val="0"/>
          <w:sz w:val="32"/>
          <w:szCs w:val="32"/>
          <w:lang w:val="en-US" w:eastAsia="zh-CN"/>
          <w14:textFill>
            <w14:solidFill>
              <w14:schemeClr w14:val="tx1"/>
            </w14:solidFill>
          </w14:textFill>
        </w:rPr>
        <w:t xml:space="preserve">                             </w:t>
      </w:r>
      <w:r>
        <w:rPr>
          <w:rFonts w:hint="eastAsia" w:ascii="楷体" w:hAnsi="楷体" w:eastAsia="楷体" w:cs="宋体"/>
          <w:color w:val="000000" w:themeColor="text1"/>
          <w:kern w:val="0"/>
          <w:sz w:val="32"/>
          <w:szCs w:val="32"/>
          <w14:textFill>
            <w14:solidFill>
              <w14:schemeClr w14:val="tx1"/>
            </w14:solidFill>
          </w14:textFill>
        </w:rPr>
        <w:t>盘龙区农业农村局</w:t>
      </w:r>
    </w:p>
    <w:p>
      <w:pPr>
        <w:widowControl/>
        <w:spacing w:line="440" w:lineRule="atLeast"/>
        <w:ind w:right="160" w:firstLine="640" w:firstLineChars="200"/>
        <w:jc w:val="right"/>
        <w:rPr>
          <w:rFonts w:ascii="楷体" w:hAnsi="楷体" w:eastAsia="楷体" w:cs="宋体"/>
          <w:color w:val="000000" w:themeColor="text1"/>
          <w:kern w:val="0"/>
          <w:sz w:val="32"/>
          <w:szCs w:val="32"/>
          <w14:textFill>
            <w14:solidFill>
              <w14:schemeClr w14:val="tx1"/>
            </w14:solidFill>
          </w14:textFill>
        </w:rPr>
      </w:pPr>
      <w:r>
        <w:rPr>
          <w:rFonts w:hint="eastAsia" w:ascii="楷体" w:hAnsi="楷体" w:eastAsia="楷体" w:cs="宋体"/>
          <w:color w:val="000000" w:themeColor="text1"/>
          <w:kern w:val="0"/>
          <w:sz w:val="32"/>
          <w:szCs w:val="32"/>
          <w14:textFill>
            <w14:solidFill>
              <w14:schemeClr w14:val="tx1"/>
            </w14:solidFill>
          </w14:textFill>
        </w:rPr>
        <w:t>2020年</w:t>
      </w:r>
      <w:r>
        <w:rPr>
          <w:rFonts w:hint="eastAsia" w:ascii="楷体" w:hAnsi="楷体" w:eastAsia="楷体" w:cs="宋体"/>
          <w:color w:val="000000" w:themeColor="text1"/>
          <w:kern w:val="0"/>
          <w:sz w:val="32"/>
          <w:szCs w:val="32"/>
          <w:lang w:val="en-US" w:eastAsia="zh-CN"/>
          <w14:textFill>
            <w14:solidFill>
              <w14:schemeClr w14:val="tx1"/>
            </w14:solidFill>
          </w14:textFill>
        </w:rPr>
        <w:t>5</w:t>
      </w:r>
      <w:r>
        <w:rPr>
          <w:rFonts w:hint="eastAsia" w:ascii="楷体" w:hAnsi="楷体" w:eastAsia="楷体" w:cs="宋体"/>
          <w:color w:val="000000" w:themeColor="text1"/>
          <w:kern w:val="0"/>
          <w:sz w:val="32"/>
          <w:szCs w:val="32"/>
          <w14:textFill>
            <w14:solidFill>
              <w14:schemeClr w14:val="tx1"/>
            </w14:solidFill>
          </w14:textFill>
        </w:rPr>
        <w:t>月17日</w:t>
      </w:r>
    </w:p>
    <w:p>
      <w:pPr>
        <w:widowControl/>
        <w:spacing w:line="440" w:lineRule="atLeast"/>
        <w:rPr>
          <w:rFonts w:ascii="Calibri" w:hAnsi="Calibri" w:eastAsia="宋体" w:cs="宋体"/>
          <w:color w:val="FF0000"/>
          <w:kern w:val="0"/>
          <w:sz w:val="32"/>
          <w:szCs w:val="32"/>
        </w:rPr>
      </w:pPr>
    </w:p>
    <w:p>
      <w:pPr>
        <w:rPr>
          <w:color w:val="FF000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altName w:val="Arial Unicode MS"/>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017191"/>
    </w:sdtPr>
    <w:sdtContent>
      <w:p>
        <w:pPr>
          <w:pStyle w:val="3"/>
          <w:jc w:val="center"/>
        </w:pPr>
        <w:r>
          <w:fldChar w:fldCharType="begin"/>
        </w:r>
        <w:r>
          <w:instrText xml:space="preserve"> PAGE   \* MERGEFORMAT </w:instrText>
        </w:r>
        <w:r>
          <w:fldChar w:fldCharType="separate"/>
        </w:r>
        <w:r>
          <w:rPr>
            <w:lang w:val="zh-CN"/>
          </w:rPr>
          <w:t>12</w:t>
        </w:r>
        <w:r>
          <w:rPr>
            <w:lang w:val="zh-CN"/>
          </w:rP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A7F9B2"/>
    <w:multiLevelType w:val="singleLevel"/>
    <w:tmpl w:val="5EA7F9B2"/>
    <w:lvl w:ilvl="0" w:tentative="0">
      <w:start w:val="2"/>
      <w:numFmt w:val="decimal"/>
      <w:suff w:val="nothing"/>
      <w:lvlText w:val="%1."/>
      <w:lvlJc w:val="left"/>
    </w:lvl>
  </w:abstractNum>
  <w:abstractNum w:abstractNumId="1">
    <w:nsid w:val="5EAA74DA"/>
    <w:multiLevelType w:val="singleLevel"/>
    <w:tmpl w:val="5EAA74DA"/>
    <w:lvl w:ilvl="0" w:tentative="0">
      <w:start w:val="2"/>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225"/>
    <w:rsid w:val="00042382"/>
    <w:rsid w:val="001373A7"/>
    <w:rsid w:val="001E4BCF"/>
    <w:rsid w:val="0020186F"/>
    <w:rsid w:val="00227C04"/>
    <w:rsid w:val="00241185"/>
    <w:rsid w:val="00243ECB"/>
    <w:rsid w:val="002C7F09"/>
    <w:rsid w:val="002F1101"/>
    <w:rsid w:val="002F7EBD"/>
    <w:rsid w:val="003044D4"/>
    <w:rsid w:val="00327AD6"/>
    <w:rsid w:val="00370770"/>
    <w:rsid w:val="003C04FB"/>
    <w:rsid w:val="003C2FEC"/>
    <w:rsid w:val="00402D35"/>
    <w:rsid w:val="004263CA"/>
    <w:rsid w:val="00435187"/>
    <w:rsid w:val="00485309"/>
    <w:rsid w:val="004A49F2"/>
    <w:rsid w:val="005C2740"/>
    <w:rsid w:val="00600818"/>
    <w:rsid w:val="0062132F"/>
    <w:rsid w:val="00660D84"/>
    <w:rsid w:val="0069585B"/>
    <w:rsid w:val="006A5163"/>
    <w:rsid w:val="0078104C"/>
    <w:rsid w:val="007B7192"/>
    <w:rsid w:val="007E14D4"/>
    <w:rsid w:val="00813BE9"/>
    <w:rsid w:val="00860225"/>
    <w:rsid w:val="008C7DCA"/>
    <w:rsid w:val="00936BDA"/>
    <w:rsid w:val="00966592"/>
    <w:rsid w:val="00AE255D"/>
    <w:rsid w:val="00B2355B"/>
    <w:rsid w:val="00C16CBC"/>
    <w:rsid w:val="00C44441"/>
    <w:rsid w:val="00C733B1"/>
    <w:rsid w:val="00CA1253"/>
    <w:rsid w:val="00CB1F3D"/>
    <w:rsid w:val="00CB6AE4"/>
    <w:rsid w:val="00CE096D"/>
    <w:rsid w:val="00D12065"/>
    <w:rsid w:val="00D439E0"/>
    <w:rsid w:val="00DB0A1F"/>
    <w:rsid w:val="00E653F0"/>
    <w:rsid w:val="00E728AC"/>
    <w:rsid w:val="00EC69F3"/>
    <w:rsid w:val="00F009E9"/>
    <w:rsid w:val="00F32A28"/>
    <w:rsid w:val="0FBC2006"/>
    <w:rsid w:val="1CCD55BA"/>
    <w:rsid w:val="282C4935"/>
    <w:rsid w:val="445804EB"/>
    <w:rsid w:val="5BAC34DB"/>
    <w:rsid w:val="5EE27BA5"/>
    <w:rsid w:val="68706AD2"/>
    <w:rsid w:val="6CB61655"/>
    <w:rsid w:val="700423C1"/>
    <w:rsid w:val="7D2D4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Layout w:type="fixed"/>
      <w:tblCellMar>
        <w:top w:w="0" w:type="dxa"/>
        <w:left w:w="108" w:type="dxa"/>
        <w:bottom w:w="0" w:type="dxa"/>
        <w:right w:w="108" w:type="dxa"/>
      </w:tblCellMar>
    </w:tblPr>
  </w:style>
  <w:style w:type="paragraph" w:styleId="2">
    <w:name w:val="Balloon Text"/>
    <w:basedOn w:val="1"/>
    <w:link w:val="10"/>
    <w:unhideWhenUsed/>
    <w:qFormat/>
    <w:uiPriority w:val="99"/>
    <w:pPr>
      <w:spacing w:line="240" w:lineRule="auto"/>
    </w:pPr>
    <w:rPr>
      <w:sz w:val="18"/>
      <w:szCs w:val="18"/>
    </w:rPr>
  </w:style>
  <w:style w:type="paragraph" w:styleId="3">
    <w:name w:val="footer"/>
    <w:basedOn w:val="1"/>
    <w:link w:val="13"/>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customStyle="1" w:styleId="7">
    <w:name w:val="p0"/>
    <w:basedOn w:val="1"/>
    <w:qFormat/>
    <w:uiPriority w:val="0"/>
    <w:pPr>
      <w:widowControl/>
      <w:spacing w:line="240" w:lineRule="auto"/>
    </w:pPr>
    <w:rPr>
      <w:rFonts w:ascii="Calibri" w:hAnsi="Calibri" w:eastAsia="宋体" w:cs="宋体"/>
      <w:kern w:val="0"/>
      <w:szCs w:val="21"/>
    </w:rPr>
  </w:style>
  <w:style w:type="paragraph" w:customStyle="1" w:styleId="8">
    <w:name w:val="p15"/>
    <w:basedOn w:val="1"/>
    <w:qFormat/>
    <w:uiPriority w:val="0"/>
    <w:pPr>
      <w:widowControl/>
      <w:spacing w:before="480" w:line="273" w:lineRule="auto"/>
      <w:jc w:val="left"/>
    </w:pPr>
    <w:rPr>
      <w:rFonts w:ascii="Cambria" w:hAnsi="Cambria" w:eastAsia="宋体" w:cs="宋体"/>
      <w:b/>
      <w:bCs/>
      <w:color w:val="365F91"/>
      <w:kern w:val="0"/>
      <w:sz w:val="28"/>
      <w:szCs w:val="28"/>
    </w:rPr>
  </w:style>
  <w:style w:type="paragraph" w:customStyle="1" w:styleId="9">
    <w:name w:val="p16"/>
    <w:basedOn w:val="1"/>
    <w:qFormat/>
    <w:uiPriority w:val="0"/>
    <w:pPr>
      <w:widowControl/>
      <w:spacing w:after="200" w:line="273" w:lineRule="auto"/>
      <w:jc w:val="left"/>
    </w:pPr>
    <w:rPr>
      <w:rFonts w:ascii="Calibri" w:hAnsi="Calibri" w:eastAsia="宋体" w:cs="宋体"/>
      <w:color w:val="000000"/>
      <w:kern w:val="0"/>
      <w:sz w:val="22"/>
    </w:rPr>
  </w:style>
  <w:style w:type="character" w:customStyle="1" w:styleId="10">
    <w:name w:val="批注框文本 Char"/>
    <w:basedOn w:val="6"/>
    <w:link w:val="2"/>
    <w:semiHidden/>
    <w:qFormat/>
    <w:uiPriority w:val="99"/>
    <w:rPr>
      <w:sz w:val="18"/>
      <w:szCs w:val="18"/>
    </w:rPr>
  </w:style>
  <w:style w:type="paragraph" w:customStyle="1" w:styleId="11">
    <w:name w:val="List Paragraph"/>
    <w:basedOn w:val="1"/>
    <w:qFormat/>
    <w:uiPriority w:val="34"/>
    <w:pPr>
      <w:ind w:firstLine="420" w:firstLineChars="200"/>
    </w:pPr>
  </w:style>
  <w:style w:type="character" w:customStyle="1" w:styleId="12">
    <w:name w:val="页眉 Char"/>
    <w:basedOn w:val="6"/>
    <w:link w:val="4"/>
    <w:semiHidden/>
    <w:qFormat/>
    <w:uiPriority w:val="99"/>
    <w:rPr>
      <w:sz w:val="18"/>
      <w:szCs w:val="18"/>
    </w:rPr>
  </w:style>
  <w:style w:type="character" w:customStyle="1" w:styleId="13">
    <w:name w:val="页脚 Char"/>
    <w:basedOn w:val="6"/>
    <w:link w:val="3"/>
    <w:qFormat/>
    <w:uiPriority w:val="99"/>
    <w:rPr>
      <w:sz w:val="18"/>
      <w:szCs w:val="18"/>
    </w:rPr>
  </w:style>
  <w:style w:type="character" w:customStyle="1" w:styleId="14">
    <w:name w:val="ca-0"/>
    <w:basedOn w:val="6"/>
    <w:qFormat/>
    <w:uiPriority w:val="0"/>
  </w:style>
  <w:style w:type="character" w:customStyle="1" w:styleId="15">
    <w:name w:val="style71"/>
    <w:basedOn w:val="6"/>
    <w:qFormat/>
    <w:uiPriority w:val="0"/>
    <w:rPr>
      <w:b/>
      <w:color w:val="D70703"/>
      <w:sz w:val="21"/>
      <w:szCs w:val="21"/>
    </w:rPr>
  </w:style>
  <w:style w:type="character" w:customStyle="1" w:styleId="16">
    <w:name w:val="ca-2"/>
    <w:basedOn w:val="6"/>
    <w:qFormat/>
    <w:uiPriority w:val="0"/>
  </w:style>
  <w:style w:type="paragraph" w:customStyle="1" w:styleId="17">
    <w:name w:val="pa-2"/>
    <w:basedOn w:val="1"/>
    <w:qFormat/>
    <w:uiPriority w:val="0"/>
    <w:pPr>
      <w:keepNext w:val="0"/>
      <w:keepLines w:val="0"/>
      <w:widowControl/>
      <w:suppressLineNumbers w:val="0"/>
      <w:spacing w:before="150" w:beforeAutospacing="0" w:after="15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630</Words>
  <Characters>3595</Characters>
  <Lines>29</Lines>
  <Paragraphs>8</Paragraphs>
  <TotalTime>14</TotalTime>
  <ScaleCrop>false</ScaleCrop>
  <LinksUpToDate>false</LinksUpToDate>
  <CharactersWithSpaces>4217</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2020-04-07T06:16:00Z</dcterms:created>
  <dc:creator>xzjd</dc:creator>
  <cp:lastModifiedBy>段辉</cp:lastModifiedBy>
  <dcterms:modified xsi:type="dcterms:W3CDTF">2021-05-31T08:17:12Z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