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240" w:lineRule="auto"/>
        <w:jc w:val="left"/>
        <w:rPr>
          <w:rFonts w:ascii="Times New Roman" w:hAnsi="Times New Roman" w:eastAsia="宋体" w:cs="Times New Roman"/>
          <w:b/>
          <w:bCs/>
          <w:kern w:val="0"/>
          <w:sz w:val="28"/>
          <w:szCs w:val="28"/>
        </w:rPr>
      </w:pPr>
    </w:p>
    <w:p>
      <w:pPr>
        <w:pStyle w:val="7"/>
        <w:spacing w:line="520" w:lineRule="atLeast"/>
        <w:ind w:left="630" w:hanging="840"/>
        <w:jc w:val="left"/>
        <w:rPr>
          <w:rFonts w:ascii="方正小标宋_GBK" w:eastAsia="方正小标宋_GBK"/>
          <w:sz w:val="28"/>
          <w:szCs w:val="28"/>
        </w:rPr>
      </w:pPr>
      <w:r>
        <w:rPr>
          <w:rFonts w:hint="eastAsia" w:ascii="方正小标宋_GBK" w:eastAsia="方正小标宋_GBK"/>
          <w:sz w:val="28"/>
          <w:szCs w:val="28"/>
        </w:rPr>
        <w:t>附件5：项目支出绩效评价报告（范本）</w:t>
      </w:r>
    </w:p>
    <w:p>
      <w:pPr>
        <w:pStyle w:val="7"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t xml:space="preserve"> </w:t>
      </w:r>
    </w:p>
    <w:p>
      <w:pPr>
        <w:pStyle w:val="7"/>
        <w:jc w:val="center"/>
        <w:rPr>
          <w:rFonts w:ascii="黑体" w:hAnsi="黑体" w:eastAsia="黑体"/>
          <w:sz w:val="52"/>
          <w:szCs w:val="52"/>
        </w:rPr>
      </w:pPr>
      <w:r>
        <w:rPr>
          <w:rFonts w:hint="eastAsia" w:ascii="黑体" w:hAnsi="黑体" w:eastAsia="黑体"/>
          <w:sz w:val="52"/>
          <w:szCs w:val="52"/>
        </w:rPr>
        <w:t>20</w:t>
      </w:r>
      <w:r>
        <w:rPr>
          <w:rFonts w:hint="eastAsia" w:ascii="黑体" w:hAnsi="黑体" w:eastAsia="黑体"/>
          <w:sz w:val="52"/>
          <w:szCs w:val="52"/>
          <w:lang w:val="en-US" w:eastAsia="zh-CN"/>
        </w:rPr>
        <w:t>20</w:t>
      </w:r>
      <w:r>
        <w:rPr>
          <w:rFonts w:hint="eastAsia" w:ascii="黑体" w:hAnsi="黑体" w:eastAsia="黑体"/>
          <w:sz w:val="52"/>
          <w:szCs w:val="52"/>
        </w:rPr>
        <w:t>年</w:t>
      </w:r>
      <w:r>
        <w:rPr>
          <w:rFonts w:hint="eastAsia" w:ascii="黑体" w:hAnsi="黑体" w:eastAsia="黑体"/>
          <w:sz w:val="52"/>
          <w:szCs w:val="52"/>
          <w:lang w:eastAsia="zh-CN"/>
        </w:rPr>
        <w:t>水源区群众奖励资金</w:t>
      </w:r>
      <w:r>
        <w:rPr>
          <w:rFonts w:hint="eastAsia" w:ascii="黑体" w:hAnsi="黑体" w:eastAsia="黑体"/>
          <w:sz w:val="52"/>
          <w:szCs w:val="52"/>
        </w:rPr>
        <w:t>支出绩效自评报告</w:t>
      </w:r>
    </w:p>
    <w:p>
      <w:pPr>
        <w:pStyle w:val="7"/>
        <w:jc w:val="center"/>
        <w:rPr>
          <w:rFonts w:ascii="黑体" w:hAnsi="黑体" w:eastAsia="黑体"/>
          <w:sz w:val="52"/>
          <w:szCs w:val="52"/>
        </w:rPr>
      </w:pPr>
      <w:r>
        <w:rPr>
          <w:rFonts w:hint="eastAsia" w:ascii="黑体" w:hAnsi="黑体" w:eastAsia="黑体"/>
          <w:sz w:val="52"/>
          <w:szCs w:val="52"/>
        </w:rPr>
        <w:t>（20</w:t>
      </w:r>
      <w:r>
        <w:rPr>
          <w:rFonts w:hint="eastAsia" w:ascii="黑体" w:hAnsi="黑体" w:eastAsia="黑体"/>
          <w:sz w:val="52"/>
          <w:szCs w:val="52"/>
          <w:lang w:val="en-US" w:eastAsia="zh-CN"/>
        </w:rPr>
        <w:t>20</w:t>
      </w:r>
      <w:r>
        <w:rPr>
          <w:rFonts w:hint="eastAsia" w:ascii="黑体" w:hAnsi="黑体" w:eastAsia="黑体"/>
          <w:sz w:val="52"/>
          <w:szCs w:val="52"/>
        </w:rPr>
        <w:t>年度）</w:t>
      </w:r>
    </w:p>
    <w:p>
      <w:pPr>
        <w:pStyle w:val="7"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t xml:space="preserve"> </w:t>
      </w:r>
      <w:bookmarkStart w:id="1" w:name="_GoBack"/>
      <w:bookmarkEnd w:id="1"/>
    </w:p>
    <w:p>
      <w:pPr>
        <w:pStyle w:val="7"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</w:p>
    <w:p>
      <w:pPr>
        <w:pStyle w:val="7"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</w:p>
    <w:p>
      <w:pPr>
        <w:pStyle w:val="7"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</w:p>
    <w:p>
      <w:pPr>
        <w:pStyle w:val="7"/>
        <w:adjustRightInd w:val="0"/>
        <w:snapToGrid w:val="0"/>
        <w:spacing w:line="360" w:lineRule="auto"/>
        <w:ind w:left="12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部门名称（公章）：盘龙区农业农村局</w:t>
      </w:r>
    </w:p>
    <w:p>
      <w:pPr>
        <w:pStyle w:val="7"/>
        <w:adjustRightInd w:val="0"/>
        <w:snapToGrid w:val="0"/>
        <w:spacing w:line="360" w:lineRule="auto"/>
        <w:ind w:left="12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项目单位：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盘龙区农业农村局</w:t>
      </w:r>
    </w:p>
    <w:p>
      <w:pPr>
        <w:pStyle w:val="7"/>
        <w:adjustRightInd w:val="0"/>
        <w:snapToGrid w:val="0"/>
        <w:spacing w:line="360" w:lineRule="auto"/>
        <w:ind w:left="12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主管部门：盘龙区农业农村局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>
      <w:pPr>
        <w:pStyle w:val="7"/>
        <w:adjustRightInd w:val="0"/>
        <w:snapToGrid w:val="0"/>
        <w:spacing w:line="360" w:lineRule="auto"/>
        <w:ind w:left="1260"/>
        <w:rPr>
          <w:rFonts w:hint="eastAsia" w:ascii="黑体" w:hAnsi="黑体" w:eastAsia="黑体"/>
          <w:b/>
          <w:bCs/>
          <w:sz w:val="28"/>
          <w:szCs w:val="28"/>
          <w:lang w:eastAsia="zh-CN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项目名称：</w:t>
      </w:r>
      <w:r>
        <w:rPr>
          <w:rFonts w:hint="eastAsia" w:ascii="黑体" w:hAnsi="黑体" w:eastAsia="黑体"/>
          <w:b/>
          <w:bCs/>
          <w:sz w:val="28"/>
          <w:szCs w:val="28"/>
          <w:lang w:eastAsia="zh-CN"/>
        </w:rPr>
        <w:t>水源区群众奖励资金</w:t>
      </w:r>
    </w:p>
    <w:p>
      <w:pPr>
        <w:pStyle w:val="7"/>
        <w:adjustRightInd w:val="0"/>
        <w:snapToGrid w:val="0"/>
        <w:spacing w:line="360" w:lineRule="auto"/>
        <w:ind w:left="12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绩效自评日期：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2020年</w:t>
      </w: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>5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月</w:t>
      </w: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>17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日</w:t>
      </w:r>
    </w:p>
    <w:p>
      <w:pPr>
        <w:pStyle w:val="7"/>
        <w:spacing w:line="360" w:lineRule="auto"/>
        <w:ind w:left="121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>
      <w:pPr>
        <w:pStyle w:val="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</w:t>
      </w:r>
      <w:r>
        <w:rPr>
          <w:rFonts w:hint="eastAsia" w:ascii="黑体" w:hAnsi="黑体" w:eastAsia="黑体"/>
          <w:b/>
          <w:bCs/>
          <w:sz w:val="28"/>
          <w:szCs w:val="28"/>
        </w:rPr>
        <w:t>20年</w:t>
      </w:r>
      <w:r>
        <w:rPr>
          <w:rFonts w:hint="eastAsia" w:ascii="黑体" w:hAnsi="黑体" w:eastAsia="黑体"/>
          <w:b/>
          <w:bCs/>
          <w:sz w:val="28"/>
          <w:szCs w:val="28"/>
          <w:lang w:val="en-US" w:eastAsia="zh-CN"/>
        </w:rPr>
        <w:t>5</w:t>
      </w:r>
      <w:r>
        <w:rPr>
          <w:rFonts w:hint="eastAsia" w:ascii="黑体" w:hAnsi="黑体" w:eastAsia="黑体"/>
          <w:b/>
          <w:bCs/>
          <w:sz w:val="28"/>
          <w:szCs w:val="28"/>
        </w:rPr>
        <w:t>月</w:t>
      </w:r>
    </w:p>
    <w:p>
      <w:pPr>
        <w:pStyle w:val="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>
      <w:pPr>
        <w:widowControl/>
        <w:spacing w:line="240" w:lineRule="auto"/>
        <w:jc w:val="center"/>
        <w:rPr>
          <w:rFonts w:ascii="Times New Roman" w:hAnsi="Times New Roman" w:eastAsia="宋体" w:cs="Times New Roman"/>
          <w:b/>
          <w:bCs/>
          <w:kern w:val="0"/>
          <w:sz w:val="28"/>
          <w:szCs w:val="28"/>
        </w:rPr>
      </w:pPr>
      <w:r>
        <w:rPr>
          <w:rFonts w:ascii="Times New Roman" w:hAnsi="Times New Roman" w:eastAsia="宋体" w:cs="Times New Roman"/>
          <w:b/>
          <w:bCs/>
          <w:kern w:val="0"/>
          <w:sz w:val="28"/>
          <w:szCs w:val="28"/>
        </w:rPr>
        <w:t xml:space="preserve"> </w:t>
      </w:r>
    </w:p>
    <w:p>
      <w:pPr>
        <w:widowControl/>
        <w:spacing w:line="240" w:lineRule="auto"/>
        <w:jc w:val="center"/>
        <w:rPr>
          <w:rFonts w:ascii="Times New Roman" w:hAnsi="Times New Roman" w:eastAsia="宋体" w:cs="Times New Roman"/>
          <w:b/>
          <w:bCs/>
          <w:kern w:val="0"/>
          <w:sz w:val="28"/>
          <w:szCs w:val="28"/>
        </w:rPr>
      </w:pPr>
      <w:r>
        <w:rPr>
          <w:rFonts w:ascii="Times New Roman" w:hAnsi="Times New Roman" w:eastAsia="宋体" w:cs="Times New Roman"/>
          <w:b/>
          <w:bCs/>
          <w:kern w:val="0"/>
          <w:sz w:val="28"/>
          <w:szCs w:val="28"/>
        </w:rPr>
        <w:t xml:space="preserve">  </w:t>
      </w:r>
    </w:p>
    <w:p>
      <w:pPr>
        <w:widowControl/>
        <w:spacing w:line="240" w:lineRule="auto"/>
        <w:jc w:val="left"/>
        <w:rPr>
          <w:rFonts w:ascii="黑体" w:hAnsi="黑体" w:eastAsia="黑体" w:cs="宋体"/>
          <w:kern w:val="0"/>
          <w:sz w:val="24"/>
          <w:szCs w:val="24"/>
        </w:rPr>
        <w:sectPr>
          <w:footerReference r:id="rId3" w:type="default"/>
          <w:pgSz w:w="11906" w:h="16838"/>
          <w:pgMar w:top="1440" w:right="1800" w:bottom="1440" w:left="1800" w:header="720" w:footer="720" w:gutter="0"/>
          <w:cols w:space="720" w:num="1"/>
          <w:docGrid w:type="lines" w:linePitch="312" w:charSpace="0"/>
        </w:sectPr>
      </w:pPr>
    </w:p>
    <w:p>
      <w:pPr>
        <w:widowControl/>
        <w:ind w:left="420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hint="eastAsia" w:ascii="黑体" w:hAnsi="黑体" w:eastAsia="黑体" w:cs="宋体"/>
          <w:color w:val="000000"/>
          <w:kern w:val="0"/>
          <w:sz w:val="24"/>
          <w:szCs w:val="24"/>
        </w:rPr>
        <w:t>评价小组成员：</w:t>
      </w:r>
    </w:p>
    <w:tbl>
      <w:tblPr>
        <w:tblStyle w:val="5"/>
        <w:tblW w:w="8102" w:type="dxa"/>
        <w:tblInd w:w="13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1620"/>
        <w:gridCol w:w="1620"/>
        <w:gridCol w:w="1621"/>
        <w:gridCol w:w="162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评价小组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机构职位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职务</w:t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/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职称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所属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单位</w:t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/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处室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签字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组长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  <w:t>鹿传奇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局长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盘龙区农业农村局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副组长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  <w:t>马仲令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  <w:t>专职副指挥长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盘龙区农业农村局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成员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  <w:t>段辉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  <w:t>林业和草原综合科科长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盘龙区农业农村局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……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9" w:hRule="atLeast"/>
        </w:trPr>
        <w:tc>
          <w:tcPr>
            <w:tcW w:w="810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报告撰写人（签字）：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2020年 4月7日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1" w:hRule="atLeast"/>
        </w:trPr>
        <w:tc>
          <w:tcPr>
            <w:tcW w:w="810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评价工作负责人（签字）：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年  月  日</w:t>
            </w:r>
          </w:p>
        </w:tc>
      </w:tr>
    </w:tbl>
    <w:p>
      <w:pPr>
        <w:widowControl/>
        <w:ind w:firstLine="566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 xml:space="preserve"> </w:t>
      </w:r>
    </w:p>
    <w:p>
      <w:pPr>
        <w:widowControl/>
        <w:spacing w:line="240" w:lineRule="auto"/>
        <w:jc w:val="left"/>
        <w:rPr>
          <w:rFonts w:ascii="宋体" w:hAnsi="宋体" w:eastAsia="宋体" w:cs="宋体"/>
          <w:kern w:val="0"/>
          <w:sz w:val="22"/>
        </w:rPr>
        <w:sectPr>
          <w:pgSz w:w="11906" w:h="16838"/>
          <w:pgMar w:top="1440" w:right="1800" w:bottom="1440" w:left="1800" w:header="720" w:footer="720" w:gutter="0"/>
          <w:cols w:space="720" w:num="1"/>
          <w:docGrid w:type="lines" w:linePitch="312" w:charSpace="0"/>
        </w:sectPr>
      </w:pPr>
    </w:p>
    <w:p>
      <w:pPr>
        <w:widowControl/>
        <w:spacing w:line="273" w:lineRule="auto"/>
        <w:jc w:val="center"/>
        <w:rPr>
          <w:rFonts w:ascii="Times New Roman" w:hAnsi="Times New Roman" w:eastAsia="宋体" w:cs="Times New Roman"/>
          <w:b/>
          <w:bCs/>
          <w:color w:val="365F91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365F91"/>
          <w:kern w:val="0"/>
          <w:sz w:val="28"/>
          <w:szCs w:val="28"/>
        </w:rPr>
        <w:t>目录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摘要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一、 项目基本情况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（一）项目立项背景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 xml:space="preserve">（二）项目立项依据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（三）项目实施内容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（四）项目实施计划及完成情况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（五）项目的组织及管理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 xml:space="preserve">（六）项目绩效目标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二、绩效评价工作情况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(一)评价的目的和依据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(二)绩效评价工作方案制定过程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(三)绩效评价原则、评价方法等</w:t>
      </w:r>
      <w:r>
        <w:rPr>
          <w:rFonts w:hint="eastAsia" w:ascii="黑体" w:hAnsi="黑体" w:eastAsia="黑体" w:cs="宋体"/>
          <w:kern w:val="0"/>
          <w:szCs w:val="21"/>
        </w:rPr>
        <w:tab/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(四)绩效评价实施过程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(五)绩效评价的局限性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 xml:space="preserve">三、评价结论及绩效分析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(一)评价结论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(二)绩效分析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 xml:space="preserve">四、项目主要经验及做法、存在的问题和建议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(一)主要经验及做法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(二)存在的问题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 xml:space="preserve">(三)建议和改进措施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五、附件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附件一：指标体系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附件二：基础数据表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附件三：访谈记录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附件四：问卷调查分析报告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0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附件五：</w:t>
      </w:r>
      <w:r>
        <w:rPr>
          <w:rFonts w:hint="eastAsia" w:ascii="黑体" w:hAnsi="黑体" w:eastAsia="黑体" w:cs="宋体"/>
          <w:kern w:val="0"/>
          <w:sz w:val="24"/>
          <w:szCs w:val="24"/>
        </w:rPr>
        <w:t>……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 </w:t>
      </w:r>
    </w:p>
    <w:p>
      <w:pPr>
        <w:widowControl/>
        <w:spacing w:line="540" w:lineRule="atLeast"/>
        <w:rPr>
          <w:rFonts w:ascii="方正小标宋_GBK" w:hAnsi="Calibri" w:eastAsia="方正小标宋_GBK" w:cs="宋体"/>
          <w:kern w:val="0"/>
          <w:szCs w:val="21"/>
        </w:rPr>
      </w:pPr>
      <w:r>
        <w:rPr>
          <w:rFonts w:hint="eastAsia" w:ascii="方正小标宋_GBK" w:hAnsi="Calibri" w:eastAsia="方正小标宋_GBK" w:cs="宋体"/>
          <w:kern w:val="0"/>
          <w:szCs w:val="21"/>
        </w:rPr>
        <w:t xml:space="preserve"> </w:t>
      </w:r>
    </w:p>
    <w:p>
      <w:pPr>
        <w:widowControl/>
        <w:spacing w:line="440" w:lineRule="atLeast"/>
        <w:jc w:val="center"/>
        <w:rPr>
          <w:rFonts w:ascii="方正小标宋_GBK" w:hAnsi="Calibri" w:eastAsia="方正小标宋_GBK" w:cs="宋体"/>
          <w:kern w:val="0"/>
          <w:sz w:val="36"/>
          <w:szCs w:val="36"/>
        </w:rPr>
      </w:pPr>
      <w:r>
        <w:rPr>
          <w:rFonts w:hint="eastAsia" w:ascii="方正小标宋_GBK" w:hAnsi="Calibri" w:eastAsia="方正小标宋_GBK" w:cs="宋体"/>
          <w:kern w:val="0"/>
          <w:sz w:val="36"/>
          <w:szCs w:val="36"/>
          <w:lang w:eastAsia="zh-CN"/>
        </w:rPr>
        <w:t>水源区群众奖励资金经费</w:t>
      </w:r>
      <w:r>
        <w:rPr>
          <w:rFonts w:hint="eastAsia" w:ascii="方正小标宋_GBK" w:hAnsi="Calibri" w:eastAsia="方正小标宋_GBK" w:cs="宋体"/>
          <w:kern w:val="0"/>
          <w:sz w:val="36"/>
          <w:szCs w:val="36"/>
        </w:rPr>
        <w:t>支出绩效自评报告</w:t>
      </w:r>
    </w:p>
    <w:p>
      <w:pPr>
        <w:widowControl/>
        <w:spacing w:line="440" w:lineRule="atLeast"/>
        <w:ind w:firstLine="720" w:firstLineChars="200"/>
        <w:jc w:val="left"/>
        <w:rPr>
          <w:rFonts w:hint="eastAsia" w:ascii="仿宋_GB2312" w:hAnsi="Calibri" w:eastAsia="仿宋_GB2312" w:cs="宋体"/>
          <w:kern w:val="0"/>
          <w:sz w:val="32"/>
          <w:szCs w:val="32"/>
        </w:rPr>
      </w:pPr>
      <w:r>
        <w:rPr>
          <w:rFonts w:hint="eastAsia" w:ascii="方正小标宋_GBK" w:hAnsi="Calibri" w:eastAsia="方正小标宋_GBK" w:cs="宋体"/>
          <w:kern w:val="0"/>
          <w:sz w:val="36"/>
          <w:szCs w:val="36"/>
        </w:rPr>
        <w:t>一、</w:t>
      </w:r>
      <w:r>
        <w:rPr>
          <w:rFonts w:hint="eastAsia" w:ascii="黑体" w:hAnsi="黑体" w:eastAsia="黑体" w:cs="宋体"/>
          <w:kern w:val="0"/>
          <w:sz w:val="32"/>
          <w:szCs w:val="32"/>
        </w:rPr>
        <w:t>项目概况：</w:t>
      </w:r>
      <w:r>
        <w:rPr>
          <w:rFonts w:hint="eastAsia" w:ascii="仿宋_GB2312" w:hAnsi="Calibri" w:eastAsia="仿宋_GB2312" w:cs="宋体"/>
          <w:kern w:val="0"/>
          <w:sz w:val="32"/>
          <w:szCs w:val="32"/>
        </w:rPr>
        <w:t>含项目立项背景及目的，预算收支情况。</w:t>
      </w:r>
    </w:p>
    <w:p>
      <w:pPr>
        <w:widowControl/>
        <w:spacing w:line="440" w:lineRule="atLeast"/>
        <w:ind w:firstLine="640" w:firstLineChars="200"/>
        <w:jc w:val="left"/>
        <w:rPr>
          <w:rFonts w:hint="eastAsia" w:ascii="仿宋_GB2312" w:hAnsi="Calibri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宋体"/>
          <w:kern w:val="0"/>
          <w:sz w:val="32"/>
          <w:szCs w:val="32"/>
          <w:lang w:val="en-US" w:eastAsia="zh-CN"/>
        </w:rPr>
        <w:t>2004年区划调整后，盘龙区从官渡区接手27万亩林地，2009年，盘龙区又从嵩明县接手60余万亩林地。每年12月至次年5月为全省森林防火期。这时间段，因林区的群众农事用火不当引发森林火情火灾较多，严重影响我区森林资源安全。2014年开始，区委区政府制定了盘龙区水源区街道群众责任制奖励办法，对双龙、松华、滇源、阿子营街道及青云、茨坝街道重点林区的村小组村民纳入考核，在防火期，村小组林地、农地不发生违规用火，村民每人奖励100元，连续三年不发生违规用火，村民每人奖励150元。资金由区财政安排预算。2019年预算1401余万元，兑现1324余万元。</w:t>
      </w:r>
    </w:p>
    <w:p>
      <w:pPr>
        <w:widowControl/>
        <w:spacing w:line="440" w:lineRule="atLeast"/>
        <w:ind w:firstLine="643" w:firstLineChars="200"/>
        <w:jc w:val="left"/>
        <w:rPr>
          <w:rFonts w:ascii="黑体" w:hAnsi="黑体" w:eastAsia="黑体" w:cs="宋体"/>
          <w:b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二、</w:t>
      </w:r>
      <w:r>
        <w:rPr>
          <w:rFonts w:hint="eastAsia" w:ascii="黑体" w:hAnsi="黑体" w:eastAsia="黑体" w:cs="宋体"/>
          <w:b/>
          <w:kern w:val="0"/>
          <w:sz w:val="32"/>
          <w:szCs w:val="32"/>
        </w:rPr>
        <w:t>评价结论</w:t>
      </w:r>
    </w:p>
    <w:p>
      <w:pPr>
        <w:widowControl/>
        <w:spacing w:line="440" w:lineRule="atLeast"/>
        <w:ind w:firstLine="640" w:firstLineChars="200"/>
        <w:jc w:val="left"/>
        <w:rPr>
          <w:rFonts w:hint="eastAsia" w:ascii="仿宋_GB2312" w:hAnsi="黑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宋体"/>
          <w:kern w:val="0"/>
          <w:sz w:val="32"/>
          <w:szCs w:val="32"/>
          <w:lang w:val="en-US" w:eastAsia="zh-CN"/>
        </w:rPr>
        <w:t>2019年度盘龙区未发生森林火灾，受害率控制在0.8</w:t>
      </w:r>
      <w:r>
        <w:rPr>
          <w:rFonts w:hint="default" w:ascii="Arial" w:hAnsi="Arial" w:eastAsia="仿宋_GB2312" w:cs="Arial"/>
          <w:kern w:val="0"/>
          <w:sz w:val="32"/>
          <w:szCs w:val="32"/>
          <w:lang w:val="en-US" w:eastAsia="zh-CN"/>
        </w:rPr>
        <w:t>‰</w:t>
      </w:r>
      <w:r>
        <w:rPr>
          <w:rFonts w:hint="eastAsia" w:ascii="Arial" w:hAnsi="Arial" w:eastAsia="仿宋_GB2312" w:cs="Arial"/>
          <w:kern w:val="0"/>
          <w:sz w:val="32"/>
          <w:szCs w:val="32"/>
          <w:lang w:val="en-US" w:eastAsia="zh-CN"/>
        </w:rPr>
        <w:t>.村民违规用火行为减少。</w:t>
      </w:r>
    </w:p>
    <w:p>
      <w:pPr>
        <w:widowControl/>
        <w:spacing w:line="440" w:lineRule="atLeast"/>
        <w:ind w:firstLine="640" w:firstLineChars="200"/>
        <w:jc w:val="left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三、经验、问题和建议</w:t>
      </w:r>
    </w:p>
    <w:p>
      <w:pPr>
        <w:widowControl/>
        <w:spacing w:line="440" w:lineRule="atLeast"/>
        <w:ind w:firstLine="579" w:firstLineChars="181"/>
        <w:jc w:val="left"/>
        <w:rPr>
          <w:rFonts w:hint="eastAsia" w:ascii="楷体" w:hAnsi="楷体" w:eastAsia="楷体" w:cs="宋体"/>
          <w:kern w:val="0"/>
          <w:sz w:val="32"/>
          <w:szCs w:val="32"/>
        </w:rPr>
      </w:pPr>
      <w:r>
        <w:rPr>
          <w:rFonts w:hint="eastAsia" w:ascii="楷体" w:hAnsi="楷体" w:eastAsia="楷体" w:cs="宋体"/>
          <w:kern w:val="0"/>
          <w:sz w:val="32"/>
          <w:szCs w:val="32"/>
        </w:rPr>
        <w:t>主要经验及做法；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 w:firstLine="640" w:firstLineChars="200"/>
        <w:jc w:val="both"/>
        <w:outlineLvl w:val="0"/>
        <w:rPr>
          <w:rFonts w:hint="eastAsia" w:ascii="楷体_GB2312" w:hAnsi="楷体_GB2312" w:eastAsia="楷体_GB2312" w:cs="楷体_GB2312"/>
          <w:sz w:val="32"/>
          <w:szCs w:val="32"/>
          <w:lang w:val="en-US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"/>
        </w:rPr>
        <w:t>（一）加强领导、落实责任，消除火灾隐患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 w:firstLine="640" w:firstLineChars="200"/>
        <w:jc w:val="both"/>
        <w:outlineLvl w:val="0"/>
        <w:rPr>
          <w:rFonts w:hint="eastAsia" w:ascii="楷体_GB2312" w:hAnsi="楷体_GB2312" w:eastAsia="楷体_GB2312" w:cs="楷体_GB2312"/>
          <w:sz w:val="32"/>
          <w:szCs w:val="32"/>
          <w:shd w:val="clear" w:fill="FFFFFF"/>
          <w:lang w:val="en-US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shd w:val="clear" w:fill="FFFFFF"/>
          <w:lang w:val="en-US" w:eastAsia="zh-CN" w:bidi="ar"/>
        </w:rPr>
        <w:t>（二）强化保障、加大投入，保障工作开展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 w:firstLine="627" w:firstLineChars="196"/>
        <w:jc w:val="both"/>
        <w:outlineLvl w:val="0"/>
        <w:rPr>
          <w:rFonts w:hint="eastAsia" w:ascii="楷体_GB2312" w:hAnsi="楷体_GB2312" w:eastAsia="楷体_GB2312" w:cs="楷体_GB2312"/>
          <w:bCs/>
          <w:sz w:val="32"/>
          <w:szCs w:val="32"/>
          <w:lang w:val="en-US"/>
        </w:rPr>
      </w:pPr>
      <w:r>
        <w:rPr>
          <w:rFonts w:hint="eastAsia" w:ascii="楷体_GB2312" w:hAnsi="楷体_GB2312" w:eastAsia="楷体_GB2312" w:cs="楷体_GB2312"/>
          <w:bCs/>
          <w:kern w:val="2"/>
          <w:sz w:val="32"/>
          <w:szCs w:val="32"/>
          <w:lang w:val="en-US" w:eastAsia="zh-CN" w:bidi="ar"/>
        </w:rPr>
        <w:t>（三）强化宣传、警钟长鸣，增强防火意识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600" w:lineRule="exact"/>
        <w:ind w:left="0" w:right="0" w:firstLine="640" w:firstLineChars="200"/>
        <w:jc w:val="left"/>
        <w:outlineLvl w:val="0"/>
        <w:rPr>
          <w:rFonts w:hint="eastAsia" w:ascii="楷体_GB2312" w:hAnsi="楷体_GB2312" w:eastAsia="楷体_GB2312" w:cs="楷体_GB2312"/>
          <w:kern w:val="0"/>
          <w:sz w:val="32"/>
          <w:szCs w:val="32"/>
          <w:shd w:val="clear" w:fill="FFFFFF"/>
          <w:lang w:val="en-US"/>
        </w:rPr>
      </w:pPr>
      <w:r>
        <w:rPr>
          <w:rFonts w:hint="eastAsia" w:ascii="楷体_GB2312" w:hAnsi="楷体_GB2312" w:eastAsia="楷体_GB2312" w:cs="楷体_GB2312"/>
          <w:kern w:val="0"/>
          <w:sz w:val="32"/>
          <w:szCs w:val="32"/>
          <w:shd w:val="clear" w:fill="FFFFFF"/>
          <w:lang w:val="en-US" w:eastAsia="zh-CN" w:bidi="ar"/>
        </w:rPr>
        <w:t>（四）强化措施、加强管控，狠抓火源管理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 w:firstLine="640" w:firstLineChars="200"/>
        <w:jc w:val="both"/>
        <w:outlineLvl w:val="0"/>
        <w:rPr>
          <w:rFonts w:hint="eastAsia" w:ascii="楷体_GB2312" w:hAnsi="楷体_GB2312" w:eastAsia="楷体_GB2312" w:cs="楷体_GB2312"/>
          <w:sz w:val="32"/>
          <w:szCs w:val="32"/>
          <w:lang w:val="en-US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"/>
        </w:rPr>
        <w:t>（五）充实队伍、强化技战，提高扑救能力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 w:firstLine="640" w:firstLineChars="200"/>
        <w:jc w:val="both"/>
        <w:rPr>
          <w:rFonts w:hint="eastAsia" w:ascii="楷体_GB2312" w:hAnsi="楷体_GB2312" w:eastAsia="楷体_GB2312" w:cs="楷体_GB2312"/>
          <w:kern w:val="0"/>
          <w:sz w:val="32"/>
          <w:szCs w:val="32"/>
          <w:lang w:val="en-US"/>
        </w:rPr>
      </w:pPr>
      <w:r>
        <w:rPr>
          <w:rFonts w:hint="eastAsia" w:ascii="楷体_GB2312" w:hAnsi="楷体_GB2312" w:eastAsia="楷体_GB2312" w:cs="楷体_GB2312"/>
          <w:snapToGrid w:val="0"/>
          <w:kern w:val="0"/>
          <w:sz w:val="32"/>
          <w:szCs w:val="32"/>
          <w:lang w:val="en-US" w:eastAsia="zh-CN" w:bidi="ar"/>
        </w:rPr>
        <w:t>（六）强化值班、加强监督，科学防灾救灾</w:t>
      </w:r>
    </w:p>
    <w:p>
      <w:pPr>
        <w:widowControl/>
        <w:spacing w:line="440" w:lineRule="atLeast"/>
        <w:ind w:firstLine="736" w:firstLineChars="230"/>
        <w:jc w:val="left"/>
        <w:rPr>
          <w:rFonts w:ascii="楷体" w:hAnsi="楷体" w:eastAsia="楷体" w:cs="宋体"/>
          <w:kern w:val="0"/>
          <w:sz w:val="32"/>
          <w:szCs w:val="32"/>
        </w:rPr>
      </w:pPr>
      <w:r>
        <w:rPr>
          <w:rFonts w:hint="eastAsia" w:ascii="楷体" w:hAnsi="楷体" w:eastAsia="楷体" w:cs="宋体"/>
          <w:kern w:val="0"/>
          <w:sz w:val="32"/>
          <w:szCs w:val="32"/>
        </w:rPr>
        <w:t>2.存在的问题；</w:t>
      </w:r>
    </w:p>
    <w:p>
      <w:pPr>
        <w:ind w:firstLine="640" w:firstLineChars="200"/>
        <w:outlineLvl w:val="0"/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  <w:lang w:eastAsia="zh-CN"/>
        </w:rPr>
        <w:t>无</w:t>
      </w:r>
    </w:p>
    <w:p>
      <w:pPr>
        <w:widowControl/>
        <w:spacing w:line="440" w:lineRule="atLeast"/>
        <w:ind w:firstLine="640" w:firstLineChars="200"/>
        <w:jc w:val="left"/>
        <w:rPr>
          <w:rFonts w:ascii="楷体" w:hAnsi="楷体" w:eastAsia="楷体" w:cs="宋体"/>
          <w:kern w:val="0"/>
          <w:sz w:val="32"/>
          <w:szCs w:val="32"/>
        </w:rPr>
      </w:pPr>
      <w:r>
        <w:rPr>
          <w:rFonts w:hint="eastAsia" w:ascii="楷体" w:hAnsi="楷体" w:eastAsia="楷体" w:cs="宋体"/>
          <w:kern w:val="0"/>
          <w:sz w:val="32"/>
          <w:szCs w:val="32"/>
        </w:rPr>
        <w:t>3.改进措施及建议。</w:t>
      </w:r>
    </w:p>
    <w:p>
      <w:pPr>
        <w:widowControl/>
        <w:spacing w:line="440" w:lineRule="atLeast"/>
        <w:ind w:firstLine="640" w:firstLineChars="200"/>
        <w:jc w:val="left"/>
        <w:rPr>
          <w:rFonts w:hint="eastAsia" w:ascii="楷体" w:hAnsi="楷体" w:eastAsia="楷体" w:cs="宋体"/>
          <w:kern w:val="0"/>
          <w:sz w:val="32"/>
          <w:szCs w:val="32"/>
          <w:lang w:eastAsia="zh-CN"/>
        </w:rPr>
      </w:pPr>
      <w:r>
        <w:rPr>
          <w:rFonts w:hint="eastAsia" w:ascii="楷体" w:hAnsi="楷体" w:eastAsia="楷体" w:cs="宋体"/>
          <w:kern w:val="0"/>
          <w:sz w:val="32"/>
          <w:szCs w:val="32"/>
          <w:lang w:eastAsia="zh-CN"/>
        </w:rPr>
        <w:t>无</w:t>
      </w:r>
    </w:p>
    <w:p>
      <w:pPr>
        <w:widowControl/>
        <w:spacing w:line="440" w:lineRule="atLeast"/>
        <w:ind w:firstLine="640" w:firstLineChars="200"/>
        <w:jc w:val="left"/>
        <w:rPr>
          <w:rFonts w:ascii="楷体" w:hAnsi="楷体" w:eastAsia="楷体" w:cs="宋体"/>
          <w:kern w:val="0"/>
          <w:sz w:val="32"/>
          <w:szCs w:val="32"/>
        </w:rPr>
      </w:pPr>
    </w:p>
    <w:p>
      <w:pPr>
        <w:widowControl/>
        <w:spacing w:line="440" w:lineRule="atLeast"/>
        <w:ind w:firstLine="640" w:firstLineChars="200"/>
        <w:jc w:val="left"/>
        <w:rPr>
          <w:rFonts w:ascii="楷体" w:hAnsi="楷体" w:eastAsia="楷体" w:cs="宋体"/>
          <w:kern w:val="0"/>
          <w:sz w:val="32"/>
          <w:szCs w:val="32"/>
        </w:rPr>
      </w:pPr>
    </w:p>
    <w:p>
      <w:pPr>
        <w:widowControl/>
        <w:spacing w:line="440" w:lineRule="atLeast"/>
        <w:ind w:firstLine="420"/>
        <w:jc w:val="left"/>
        <w:rPr>
          <w:rFonts w:hint="eastAsia" w:ascii="楷体" w:hAnsi="楷体" w:eastAsia="楷体" w:cs="宋体"/>
          <w:kern w:val="0"/>
          <w:szCs w:val="21"/>
        </w:rPr>
      </w:pPr>
      <w:r>
        <w:rPr>
          <w:rFonts w:hint="eastAsia" w:ascii="楷体" w:hAnsi="楷体" w:eastAsia="楷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hint="eastAsia" w:ascii="楷体" w:hAnsi="楷体" w:eastAsia="楷体" w:cs="宋体"/>
          <w:kern w:val="0"/>
          <w:szCs w:val="21"/>
        </w:rPr>
      </w:pPr>
    </w:p>
    <w:p>
      <w:pPr>
        <w:widowControl/>
        <w:spacing w:line="440" w:lineRule="atLeast"/>
        <w:ind w:firstLine="420"/>
        <w:jc w:val="left"/>
        <w:rPr>
          <w:rFonts w:hint="eastAsia" w:ascii="楷体" w:hAnsi="楷体" w:eastAsia="楷体" w:cs="宋体"/>
          <w:kern w:val="0"/>
          <w:szCs w:val="21"/>
        </w:rPr>
      </w:pPr>
    </w:p>
    <w:p>
      <w:pPr>
        <w:widowControl/>
        <w:spacing w:line="440" w:lineRule="atLeast"/>
        <w:ind w:firstLine="420"/>
        <w:jc w:val="left"/>
        <w:rPr>
          <w:rFonts w:hint="eastAsia" w:ascii="楷体" w:hAnsi="楷体" w:eastAsia="楷体" w:cs="宋体"/>
          <w:kern w:val="0"/>
          <w:szCs w:val="21"/>
        </w:rPr>
      </w:pPr>
    </w:p>
    <w:p>
      <w:pPr>
        <w:widowControl/>
        <w:spacing w:line="440" w:lineRule="atLeast"/>
        <w:ind w:firstLine="420"/>
        <w:jc w:val="left"/>
        <w:rPr>
          <w:rFonts w:hint="eastAsia" w:ascii="楷体" w:hAnsi="楷体" w:eastAsia="楷体" w:cs="宋体"/>
          <w:kern w:val="0"/>
          <w:szCs w:val="21"/>
        </w:rPr>
      </w:pPr>
    </w:p>
    <w:p>
      <w:pPr>
        <w:widowControl/>
        <w:spacing w:line="440" w:lineRule="atLeast"/>
        <w:ind w:firstLine="420"/>
        <w:jc w:val="left"/>
        <w:rPr>
          <w:rFonts w:hint="eastAsia" w:ascii="楷体" w:hAnsi="楷体" w:eastAsia="楷体" w:cs="宋体"/>
          <w:kern w:val="0"/>
          <w:szCs w:val="21"/>
        </w:rPr>
      </w:pPr>
    </w:p>
    <w:p>
      <w:pPr>
        <w:widowControl/>
        <w:spacing w:line="440" w:lineRule="atLeast"/>
        <w:ind w:firstLine="420"/>
        <w:jc w:val="left"/>
        <w:rPr>
          <w:rFonts w:hint="eastAsia" w:ascii="楷体" w:hAnsi="楷体" w:eastAsia="楷体" w:cs="宋体"/>
          <w:kern w:val="0"/>
          <w:szCs w:val="21"/>
        </w:rPr>
      </w:pPr>
    </w:p>
    <w:p>
      <w:pPr>
        <w:widowControl/>
        <w:spacing w:line="440" w:lineRule="atLeast"/>
        <w:ind w:firstLine="420"/>
        <w:jc w:val="left"/>
        <w:rPr>
          <w:rFonts w:hint="eastAsia" w:ascii="楷体" w:hAnsi="楷体" w:eastAsia="楷体" w:cs="宋体"/>
          <w:kern w:val="0"/>
          <w:szCs w:val="21"/>
        </w:rPr>
      </w:pPr>
    </w:p>
    <w:p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b/>
          <w:kern w:val="0"/>
          <w:sz w:val="44"/>
          <w:szCs w:val="44"/>
        </w:rPr>
      </w:pPr>
      <w:r>
        <w:rPr>
          <w:rFonts w:hint="eastAsia" w:ascii="黑体" w:hAnsi="黑体" w:eastAsia="黑体" w:cs="宋体"/>
          <w:b/>
          <w:kern w:val="0"/>
          <w:sz w:val="44"/>
          <w:szCs w:val="44"/>
          <w:lang w:eastAsia="zh-CN"/>
        </w:rPr>
        <w:t>水源区群众奖励</w:t>
      </w:r>
      <w:r>
        <w:rPr>
          <w:rFonts w:hint="eastAsia" w:ascii="黑体" w:hAnsi="黑体" w:eastAsia="黑体" w:cs="宋体"/>
          <w:b/>
          <w:kern w:val="0"/>
          <w:sz w:val="44"/>
          <w:szCs w:val="44"/>
        </w:rPr>
        <w:t>支出绩效自评报告</w:t>
      </w:r>
    </w:p>
    <w:p>
      <w:pPr>
        <w:widowControl/>
        <w:topLinePunct/>
        <w:spacing w:line="440" w:lineRule="atLeast"/>
        <w:ind w:firstLine="525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 xml:space="preserve"> </w:t>
      </w:r>
    </w:p>
    <w:p>
      <w:pPr>
        <w:widowControl/>
        <w:topLinePunct/>
        <w:spacing w:line="440" w:lineRule="atLeast"/>
        <w:ind w:firstLine="525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一、项目基本情况</w:t>
      </w:r>
    </w:p>
    <w:p>
      <w:pPr>
        <w:widowControl/>
        <w:topLinePunct/>
        <w:spacing w:line="440" w:lineRule="atLeast"/>
        <w:ind w:firstLine="525"/>
        <w:rPr>
          <w:rFonts w:ascii="楷体" w:hAnsi="楷体" w:eastAsia="楷体" w:cs="宋体"/>
          <w:b/>
          <w:kern w:val="0"/>
          <w:sz w:val="32"/>
          <w:szCs w:val="32"/>
        </w:rPr>
      </w:pPr>
      <w:r>
        <w:rPr>
          <w:rFonts w:hint="eastAsia" w:ascii="楷体" w:hAnsi="楷体" w:eastAsia="楷体" w:cs="宋体"/>
          <w:b/>
          <w:kern w:val="0"/>
          <w:sz w:val="32"/>
          <w:szCs w:val="32"/>
        </w:rPr>
        <w:t>（一）项目概况。</w:t>
      </w:r>
    </w:p>
    <w:p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b/>
          <w:kern w:val="0"/>
          <w:sz w:val="32"/>
          <w:szCs w:val="32"/>
        </w:rPr>
      </w:pPr>
      <w:r>
        <w:rPr>
          <w:rFonts w:hint="eastAsia" w:ascii="仿宋_GB2312" w:hAnsi="Calibri" w:eastAsia="仿宋_GB2312" w:cs="宋体"/>
          <w:b/>
          <w:kern w:val="0"/>
          <w:sz w:val="32"/>
          <w:szCs w:val="32"/>
        </w:rPr>
        <w:t>1.立项背景及目的。</w:t>
      </w:r>
    </w:p>
    <w:p>
      <w:pPr>
        <w:widowControl/>
        <w:spacing w:line="440" w:lineRule="atLeast"/>
        <w:ind w:firstLine="640" w:firstLineChars="200"/>
        <w:jc w:val="left"/>
        <w:rPr>
          <w:rFonts w:hint="eastAsia" w:ascii="仿宋_GB2312" w:hAnsi="Calibri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宋体"/>
          <w:kern w:val="0"/>
          <w:sz w:val="32"/>
          <w:szCs w:val="32"/>
          <w:lang w:val="en-US" w:eastAsia="zh-CN"/>
        </w:rPr>
        <w:t>2004年区划调整后，盘龙区从官渡区接手27万亩林地，2009年，盘龙区又从嵩明县接手60余万亩林地。每年12月至次年5月为全省森林防火期。这时间段，因林区的群众农事用火不当引发森林火情火灾较多，严重影响我区森林资源安全。2014年开始，区委区政府制定了盘龙区水源区街道群众责任制奖励办法，对双龙、松华、滇源、阿子营街道及青云、茨坝街道重点林区的村小组村民纳入考核，在防火期，村小组林地、农地不发生违规用火，村民每人奖励100元，连续三年不发生违规用火，村民每人奖励150元。资金由区财政安排预算。2020年预算1400余万元，兑现1298余万元。</w:t>
      </w:r>
    </w:p>
    <w:p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b/>
          <w:kern w:val="0"/>
          <w:sz w:val="32"/>
          <w:szCs w:val="32"/>
        </w:rPr>
      </w:pPr>
      <w:r>
        <w:rPr>
          <w:rFonts w:hint="eastAsia" w:ascii="仿宋_GB2312" w:hAnsi="Calibri" w:eastAsia="仿宋_GB2312" w:cs="宋体"/>
          <w:b/>
          <w:kern w:val="0"/>
          <w:sz w:val="32"/>
          <w:szCs w:val="32"/>
        </w:rPr>
        <w:t>2.项目实施情况。</w:t>
      </w:r>
    </w:p>
    <w:p>
      <w:pPr>
        <w:spacing w:line="4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2020年经考核，兑现了1298余万元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widowControl/>
        <w:topLinePunct/>
        <w:spacing w:line="440" w:lineRule="atLeast"/>
        <w:ind w:firstLine="684" w:firstLineChars="213"/>
        <w:rPr>
          <w:rFonts w:ascii="仿宋_GB2312" w:hAnsi="Calibri" w:eastAsia="仿宋_GB2312" w:cs="宋体"/>
          <w:b/>
          <w:kern w:val="0"/>
          <w:sz w:val="32"/>
          <w:szCs w:val="32"/>
        </w:rPr>
      </w:pPr>
      <w:r>
        <w:rPr>
          <w:rFonts w:hint="eastAsia" w:ascii="仿宋_GB2312" w:hAnsi="Calibri" w:eastAsia="仿宋_GB2312" w:cs="宋体"/>
          <w:b/>
          <w:kern w:val="0"/>
          <w:sz w:val="32"/>
          <w:szCs w:val="32"/>
        </w:rPr>
        <w:t>3.资金来源及使用情况。</w:t>
      </w:r>
    </w:p>
    <w:p>
      <w:pPr>
        <w:spacing w:line="4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2019年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eastAsia="zh-CN"/>
        </w:rPr>
        <w:t>水源区群众责任制奖励经费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区级财政安排资金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val="en-US" w:eastAsia="zh-CN"/>
        </w:rPr>
        <w:t>1400万元。</w:t>
      </w:r>
      <w:bookmarkStart w:id="0" w:name="OLE_LINK1"/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val="en-US" w:eastAsia="zh-CN"/>
        </w:rPr>
        <w:t>通过考核对青云、茨坝、双龙、松华、滇源、阿子营街道289村小组进行奖励兑现。</w:t>
      </w:r>
    </w:p>
    <w:bookmarkEnd w:id="0"/>
    <w:p>
      <w:pPr>
        <w:widowControl/>
        <w:topLinePunct/>
        <w:spacing w:line="440" w:lineRule="atLeast"/>
        <w:ind w:firstLine="525"/>
        <w:rPr>
          <w:rFonts w:hint="eastAsia" w:ascii="仿宋_GB2312" w:hAnsi="Calibri" w:eastAsia="仿宋_GB2312" w:cs="宋体"/>
          <w:kern w:val="0"/>
          <w:sz w:val="32"/>
          <w:szCs w:val="32"/>
        </w:rPr>
      </w:pPr>
      <w:r>
        <w:rPr>
          <w:rFonts w:hint="eastAsia" w:ascii="仿宋_GB2312" w:hAnsi="Calibri" w:eastAsia="仿宋_GB2312" w:cs="宋体"/>
          <w:b/>
          <w:kern w:val="0"/>
          <w:sz w:val="32"/>
          <w:szCs w:val="32"/>
        </w:rPr>
        <w:t>4.组织及管理情况。</w:t>
      </w:r>
      <w:r>
        <w:rPr>
          <w:rFonts w:hint="eastAsia" w:ascii="仿宋_GB2312" w:hAnsi="Calibri" w:eastAsia="仿宋_GB2312" w:cs="宋体"/>
          <w:kern w:val="0"/>
          <w:sz w:val="32"/>
          <w:szCs w:val="32"/>
        </w:rPr>
        <w:t>包括项目组织情况、项目实施流程、资金拨付流程。</w:t>
      </w:r>
    </w:p>
    <w:p>
      <w:pPr>
        <w:widowControl/>
        <w:topLinePunct/>
        <w:spacing w:line="440" w:lineRule="atLeast"/>
        <w:ind w:firstLine="525"/>
        <w:rPr>
          <w:rFonts w:hint="eastAsia" w:ascii="仿宋_GB2312" w:hAnsi="Calibri" w:eastAsia="仿宋_GB2312" w:cs="宋体"/>
          <w:kern w:val="0"/>
          <w:sz w:val="32"/>
          <w:szCs w:val="32"/>
          <w:lang w:eastAsia="zh-CN"/>
        </w:rPr>
      </w:pPr>
      <w:r>
        <w:rPr>
          <w:rFonts w:hint="eastAsia" w:ascii="仿宋_GB2312" w:hAnsi="Calibri" w:eastAsia="仿宋_GB2312" w:cs="宋体"/>
          <w:kern w:val="0"/>
          <w:sz w:val="32"/>
          <w:szCs w:val="32"/>
          <w:lang w:eastAsia="zh-CN"/>
        </w:rPr>
        <w:t>防火期结束后，防火办对涉林街道进行森林防火目标管理责任状执行情况考核。并将考核情况报区森林草原防指挥部审核，通报区政府常务会。同意后，下拨街道兑现发放。</w:t>
      </w:r>
    </w:p>
    <w:p>
      <w:pPr>
        <w:widowControl/>
        <w:topLinePunct/>
        <w:spacing w:line="440" w:lineRule="atLeast"/>
        <w:ind w:firstLine="525"/>
        <w:rPr>
          <w:rFonts w:ascii="楷体" w:hAnsi="楷体" w:eastAsia="楷体" w:cs="宋体"/>
          <w:kern w:val="0"/>
          <w:sz w:val="32"/>
          <w:szCs w:val="32"/>
        </w:rPr>
      </w:pPr>
      <w:r>
        <w:rPr>
          <w:rFonts w:hint="eastAsia" w:ascii="楷体" w:hAnsi="楷体" w:eastAsia="楷体" w:cs="宋体"/>
          <w:kern w:val="0"/>
          <w:sz w:val="32"/>
          <w:szCs w:val="32"/>
        </w:rPr>
        <w:t>（二）绩效目标。</w:t>
      </w:r>
    </w:p>
    <w:p>
      <w:pPr>
        <w:widowControl/>
        <w:topLinePunct/>
        <w:spacing w:line="440" w:lineRule="atLeast"/>
        <w:ind w:firstLine="525"/>
        <w:rPr>
          <w:rFonts w:hint="eastAsia" w:ascii="仿宋_GB2312" w:hAnsi="Calibri" w:eastAsia="仿宋_GB2312" w:cs="宋体"/>
          <w:kern w:val="0"/>
          <w:sz w:val="32"/>
          <w:szCs w:val="32"/>
        </w:rPr>
      </w:pPr>
      <w:r>
        <w:rPr>
          <w:rFonts w:hint="eastAsia" w:ascii="仿宋_GB2312" w:hAnsi="Calibri" w:eastAsia="仿宋_GB2312" w:cs="宋体"/>
          <w:kern w:val="0"/>
          <w:sz w:val="32"/>
          <w:szCs w:val="32"/>
        </w:rPr>
        <w:t>1.总目标。</w:t>
      </w:r>
    </w:p>
    <w:p>
      <w:pPr>
        <w:widowControl/>
        <w:topLinePunct/>
        <w:spacing w:line="440" w:lineRule="atLeast"/>
        <w:ind w:firstLine="525"/>
        <w:rPr>
          <w:rFonts w:hint="eastAsia" w:ascii="仿宋_GB2312" w:hAnsi="Calibri" w:eastAsia="仿宋_GB2312" w:cs="宋体"/>
          <w:kern w:val="0"/>
          <w:sz w:val="32"/>
          <w:szCs w:val="32"/>
          <w:lang w:eastAsia="zh-CN"/>
        </w:rPr>
      </w:pPr>
      <w:r>
        <w:rPr>
          <w:rFonts w:hint="eastAsia" w:ascii="仿宋_GB2312" w:hAnsi="Calibri" w:eastAsia="仿宋_GB2312" w:cs="宋体"/>
          <w:kern w:val="0"/>
          <w:sz w:val="32"/>
          <w:szCs w:val="32"/>
          <w:lang w:eastAsia="zh-CN"/>
        </w:rPr>
        <w:t>确保盘龙区不发生重特大森林火灾，受害率控制在</w:t>
      </w:r>
      <w:r>
        <w:rPr>
          <w:rFonts w:hint="eastAsia" w:ascii="仿宋_GB2312" w:hAnsi="Calibri" w:eastAsia="仿宋_GB2312" w:cs="宋体"/>
          <w:kern w:val="0"/>
          <w:sz w:val="32"/>
          <w:szCs w:val="32"/>
          <w:lang w:val="en-US" w:eastAsia="zh-CN"/>
        </w:rPr>
        <w:t>0.8</w:t>
      </w:r>
      <w:r>
        <w:rPr>
          <w:rFonts w:hint="default" w:ascii="Arial" w:hAnsi="Arial" w:eastAsia="仿宋_GB2312" w:cs="Arial"/>
          <w:kern w:val="0"/>
          <w:sz w:val="32"/>
          <w:szCs w:val="32"/>
          <w:lang w:val="en-US" w:eastAsia="zh-CN"/>
        </w:rPr>
        <w:t>‰</w:t>
      </w:r>
    </w:p>
    <w:p>
      <w:pPr>
        <w:widowControl/>
        <w:numPr>
          <w:ilvl w:val="0"/>
          <w:numId w:val="1"/>
        </w:numPr>
        <w:topLinePunct/>
        <w:spacing w:line="440" w:lineRule="atLeast"/>
        <w:ind w:firstLine="525"/>
        <w:rPr>
          <w:rFonts w:hint="eastAsia" w:ascii="仿宋_GB2312" w:hAnsi="Calibri" w:eastAsia="仿宋_GB2312" w:cs="宋体"/>
          <w:kern w:val="0"/>
          <w:sz w:val="32"/>
          <w:szCs w:val="32"/>
        </w:rPr>
      </w:pPr>
      <w:r>
        <w:rPr>
          <w:rFonts w:hint="eastAsia" w:ascii="仿宋_GB2312" w:hAnsi="Calibri" w:eastAsia="仿宋_GB2312" w:cs="宋体"/>
          <w:kern w:val="0"/>
          <w:sz w:val="32"/>
          <w:szCs w:val="32"/>
        </w:rPr>
        <w:t>年度目标。包括产出目标、效果目标。</w:t>
      </w:r>
    </w:p>
    <w:p>
      <w:pPr>
        <w:widowControl/>
        <w:topLinePunct/>
        <w:spacing w:line="440" w:lineRule="atLeast"/>
        <w:ind w:firstLine="525"/>
        <w:rPr>
          <w:rFonts w:hint="eastAsia" w:ascii="仿宋_GB2312" w:hAnsi="Calibri" w:eastAsia="仿宋_GB2312" w:cs="宋体"/>
          <w:kern w:val="0"/>
          <w:sz w:val="32"/>
          <w:szCs w:val="32"/>
        </w:rPr>
      </w:pPr>
      <w:r>
        <w:rPr>
          <w:rFonts w:hint="eastAsia" w:ascii="仿宋_GB2312" w:hAnsi="Calibri" w:eastAsia="仿宋_GB2312" w:cs="宋体"/>
          <w:kern w:val="0"/>
          <w:sz w:val="32"/>
          <w:szCs w:val="32"/>
          <w:lang w:eastAsia="zh-CN"/>
        </w:rPr>
        <w:t>确保盘龙区不发生重特大森林火灾，受害率控制在</w:t>
      </w:r>
      <w:r>
        <w:rPr>
          <w:rFonts w:hint="eastAsia" w:ascii="仿宋_GB2312" w:hAnsi="Calibri" w:eastAsia="仿宋_GB2312" w:cs="宋体"/>
          <w:kern w:val="0"/>
          <w:sz w:val="32"/>
          <w:szCs w:val="32"/>
          <w:lang w:val="en-US" w:eastAsia="zh-CN"/>
        </w:rPr>
        <w:t>0.8</w:t>
      </w:r>
      <w:r>
        <w:rPr>
          <w:rFonts w:hint="default" w:ascii="Arial" w:hAnsi="Arial" w:eastAsia="仿宋_GB2312" w:cs="Arial"/>
          <w:kern w:val="0"/>
          <w:sz w:val="32"/>
          <w:szCs w:val="32"/>
          <w:lang w:val="en-US" w:eastAsia="zh-CN"/>
        </w:rPr>
        <w:t>‰</w:t>
      </w:r>
    </w:p>
    <w:p>
      <w:pPr>
        <w:widowControl/>
        <w:topLinePunct/>
        <w:spacing w:line="440" w:lineRule="atLeast"/>
        <w:ind w:firstLine="525"/>
        <w:rPr>
          <w:rFonts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二、绩效评价工作情况</w:t>
      </w:r>
    </w:p>
    <w:p>
      <w:pPr>
        <w:widowControl/>
        <w:topLinePunct/>
        <w:spacing w:line="440" w:lineRule="atLeast"/>
        <w:ind w:firstLine="525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（一）绩效评价目的。</w:t>
      </w:r>
    </w:p>
    <w:p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有没有必要继续实施此项目。</w:t>
      </w:r>
    </w:p>
    <w:p>
      <w:pPr>
        <w:widowControl/>
        <w:numPr>
          <w:ilvl w:val="0"/>
          <w:numId w:val="2"/>
        </w:numPr>
        <w:topLinePunct/>
        <w:spacing w:line="440" w:lineRule="atLeast"/>
        <w:ind w:firstLine="525"/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绩效评价工作方案制定过程。</w:t>
      </w:r>
    </w:p>
    <w:p>
      <w:pPr>
        <w:widowControl/>
        <w:numPr>
          <w:ilvl w:val="0"/>
          <w:numId w:val="0"/>
        </w:numPr>
        <w:topLinePunct/>
        <w:spacing w:line="440" w:lineRule="atLeast"/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　　通过森林防火目标管理责任考核</w:t>
      </w:r>
    </w:p>
    <w:p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3.绩效评价指标体系及工作方案的设计。</w:t>
      </w:r>
    </w:p>
    <w:p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主要突出资金的社会效益和经济效益。</w:t>
      </w:r>
    </w:p>
    <w:p>
      <w:pPr>
        <w:widowControl/>
        <w:topLinePunct/>
        <w:spacing w:line="440" w:lineRule="atLeast"/>
        <w:ind w:firstLine="525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（三）绩效评价原则、评价方法</w:t>
      </w:r>
    </w:p>
    <w:p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1.绩效评价原则。包括科学规范、公开公正、绩效相关等原则。</w:t>
      </w:r>
    </w:p>
    <w:p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根据市、区目标管理责任状执行情况考核</w:t>
      </w: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widowControl/>
        <w:topLinePunct/>
        <w:spacing w:line="440" w:lineRule="atLeast"/>
        <w:ind w:firstLine="640" w:firstLineChars="200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2.绩效评价方法。包括指标评价、数据采集和社会调查中所采用的方法。</w:t>
      </w:r>
    </w:p>
    <w:p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根据市级对我区森林防火目标管理责任状执行情况进行考核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widowControl/>
        <w:topLinePunct/>
        <w:spacing w:line="440" w:lineRule="atLeast"/>
        <w:ind w:firstLine="525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（四）绩效评价实施过程</w:t>
      </w:r>
    </w:p>
    <w:p>
      <w:pPr>
        <w:widowControl/>
        <w:topLinePunct/>
        <w:spacing w:line="440" w:lineRule="atLeast"/>
        <w:ind w:firstLine="525"/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根据年终森林防火工作考核</w:t>
      </w:r>
    </w:p>
    <w:p>
      <w:pPr>
        <w:widowControl/>
        <w:topLinePunct/>
        <w:spacing w:line="440" w:lineRule="atLeast"/>
        <w:ind w:firstLine="525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（五）本次绩效评价的局限性。</w:t>
      </w:r>
    </w:p>
    <w:p>
      <w:pPr>
        <w:widowControl/>
        <w:topLinePunct/>
        <w:spacing w:line="440" w:lineRule="atLeast"/>
        <w:ind w:firstLine="525"/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无</w:t>
      </w:r>
    </w:p>
    <w:p>
      <w:pPr>
        <w:widowControl/>
        <w:topLinePunct/>
        <w:spacing w:line="440" w:lineRule="atLeast"/>
        <w:ind w:firstLine="525"/>
        <w:rPr>
          <w:rFonts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三、评价结论和绩效分析</w:t>
      </w:r>
    </w:p>
    <w:p>
      <w:pPr>
        <w:widowControl/>
        <w:topLinePunct/>
        <w:spacing w:line="440" w:lineRule="atLeast"/>
        <w:ind w:firstLine="525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（一）评价结论。</w:t>
      </w:r>
    </w:p>
    <w:p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1.评价结果。</w:t>
      </w:r>
    </w:p>
    <w:p>
      <w:pPr>
        <w:ind w:firstLine="640" w:firstLineChars="200"/>
        <w:outlineLvl w:val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通过水源区街道群众责任制奖励办法，让水源区群众人人参与森林防火，形成群防群治局面。</w:t>
      </w:r>
    </w:p>
    <w:p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2.主要绩效。</w:t>
      </w:r>
    </w:p>
    <w:p>
      <w:pPr>
        <w:widowControl/>
        <w:topLinePunct/>
        <w:spacing w:line="440" w:lineRule="atLeast"/>
        <w:ind w:firstLine="525"/>
        <w:rPr>
          <w:rFonts w:ascii="仿宋" w:hAnsi="仿宋" w:eastAsia="仿宋" w:cs="宋体"/>
          <w:color w:val="FF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　在昆明市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2019年度森林防火目标管理考核中，评为优秀等级。</w:t>
      </w:r>
    </w:p>
    <w:p>
      <w:pPr>
        <w:widowControl/>
        <w:topLinePunct/>
        <w:spacing w:line="440" w:lineRule="atLeast"/>
        <w:ind w:firstLine="525"/>
        <w:rPr>
          <w:rFonts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四、成本效益分析。</w:t>
      </w:r>
    </w:p>
    <w:p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对资金使用方向、资金收入和支出结构；</w:t>
      </w:r>
    </w:p>
    <w:p>
      <w:pPr>
        <w:ind w:firstLine="640" w:firstLineChars="200"/>
        <w:outlineLvl w:val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2019年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水源区群众责任制奖励资金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区级财政安排资金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1401余万元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主要用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于水源区街道群众责任制奖励。</w:t>
      </w:r>
    </w:p>
    <w:p>
      <w:pPr>
        <w:outlineLvl w:val="0"/>
        <w:rPr>
          <w:rFonts w:ascii="仿宋_GB2312" w:hAnsi="仿宋_GB2312" w:eastAsia="仿宋_GB2312" w:cs="仿宋_GB2312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　　　年初根据往年考核资金情况申报预算，区财政根据申报，预拨资金，在年终考核后，根据考核情况，测算拨付资金，报请区森林草原防灭火指挥部研究，下拨涉及街道进行兑现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。</w:t>
      </w:r>
    </w:p>
    <w:p>
      <w:pPr>
        <w:widowControl/>
        <w:topLinePunct/>
        <w:spacing w:line="440" w:lineRule="atLeast"/>
        <w:ind w:firstLine="525"/>
        <w:rPr>
          <w:rFonts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五、主要经验及做法、存在的问题和建议</w:t>
      </w:r>
    </w:p>
    <w:p>
      <w:pPr>
        <w:widowControl/>
        <w:topLinePunct/>
        <w:spacing w:line="440" w:lineRule="atLeast"/>
        <w:ind w:firstLine="525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（一）主要经验及做法；</w:t>
      </w:r>
    </w:p>
    <w:p>
      <w:pPr>
        <w:ind w:left="640"/>
        <w:jc w:val="left"/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（1）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资金使用。组织考核、考核结果报请局党组研究，同意后，上报区指挥部研究同意，按照财务相关规定及奖励办法，规范使用兑现资金。</w:t>
      </w:r>
    </w:p>
    <w:p>
      <w:pPr>
        <w:ind w:left="640"/>
        <w:jc w:val="left"/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）建立台账</w:t>
      </w:r>
    </w:p>
    <w:p>
      <w:pPr>
        <w:widowControl/>
        <w:spacing w:line="440" w:lineRule="atLeast"/>
        <w:ind w:firstLine="420"/>
        <w:jc w:val="left"/>
        <w:rPr>
          <w:rFonts w:ascii="楷体" w:hAnsi="楷体" w:eastAsia="楷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（二）存在的问题；</w:t>
      </w:r>
    </w:p>
    <w:p>
      <w:pPr>
        <w:ind w:firstLine="640" w:firstLineChars="200"/>
        <w:outlineLvl w:val="0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无</w:t>
      </w:r>
    </w:p>
    <w:p>
      <w:pPr>
        <w:ind w:firstLine="640" w:firstLineChars="200"/>
        <w:outlineLvl w:val="0"/>
        <w:rPr>
          <w:rFonts w:ascii="仿宋_GB2312" w:hAnsi="仿宋_GB2312" w:eastAsia="仿宋_GB2312" w:cs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（三）建议和改进措施。</w:t>
      </w:r>
    </w:p>
    <w:p>
      <w:pPr>
        <w:widowControl/>
        <w:spacing w:line="440" w:lineRule="atLeast"/>
        <w:ind w:firstLine="640" w:firstLineChars="200"/>
        <w:jc w:val="left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　建议增加兑现奖励资金，连续三年无违规用火，每人奖励资金增加到</w:t>
      </w: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200元。</w:t>
      </w:r>
    </w:p>
    <w:p>
      <w:pPr>
        <w:widowControl/>
        <w:spacing w:line="440" w:lineRule="atLeast"/>
        <w:ind w:firstLine="640" w:firstLineChars="200"/>
        <w:jc w:val="right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盘龙区农业农村局</w:t>
      </w:r>
    </w:p>
    <w:p>
      <w:pPr>
        <w:widowControl/>
        <w:spacing w:line="440" w:lineRule="atLeast"/>
        <w:ind w:right="160" w:firstLine="640" w:firstLineChars="200"/>
        <w:jc w:val="right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2020年</w:t>
      </w: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月17日</w:t>
      </w:r>
    </w:p>
    <w:p>
      <w:pPr>
        <w:widowControl/>
        <w:spacing w:line="440" w:lineRule="atLeast"/>
        <w:rPr>
          <w:rFonts w:ascii="Calibri" w:hAnsi="Calibri" w:eastAsia="宋体" w:cs="宋体"/>
          <w:color w:val="FF0000"/>
          <w:kern w:val="0"/>
          <w:sz w:val="32"/>
          <w:szCs w:val="32"/>
        </w:rPr>
      </w:pPr>
    </w:p>
    <w:p>
      <w:pPr>
        <w:rPr>
          <w:color w:val="FF0000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MS PMincho">
    <w:panose1 w:val="02020600040205080304"/>
    <w:charset w:val="80"/>
    <w:family w:val="auto"/>
    <w:pitch w:val="default"/>
    <w:sig w:usb0="E00002FF" w:usb1="6AC7FDFB" w:usb2="00000012" w:usb3="00000000" w:csb0="4002009F" w:csb1="DFD7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017191"/>
    </w:sdtPr>
    <w:sdtContent>
      <w:p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12</w:t>
        </w:r>
        <w:r>
          <w:rPr>
            <w:lang w:val="zh-CN"/>
          </w:rPr>
          <w:fldChar w:fldCharType="end"/>
        </w:r>
      </w:p>
    </w:sdtContent>
  </w:sdt>
  <w:p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A7F9B2"/>
    <w:multiLevelType w:val="singleLevel"/>
    <w:tmpl w:val="5EA7F9B2"/>
    <w:lvl w:ilvl="0" w:tentative="0">
      <w:start w:val="2"/>
      <w:numFmt w:val="decimal"/>
      <w:suff w:val="nothing"/>
      <w:lvlText w:val="%1."/>
      <w:lvlJc w:val="left"/>
    </w:lvl>
  </w:abstractNum>
  <w:abstractNum w:abstractNumId="1">
    <w:nsid w:val="5EAA74DA"/>
    <w:multiLevelType w:val="singleLevel"/>
    <w:tmpl w:val="5EAA74DA"/>
    <w:lvl w:ilvl="0" w:tentative="0">
      <w:start w:val="2"/>
      <w:numFmt w:val="chineseCounting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225"/>
    <w:rsid w:val="00042382"/>
    <w:rsid w:val="001373A7"/>
    <w:rsid w:val="001E4BCF"/>
    <w:rsid w:val="0020186F"/>
    <w:rsid w:val="00227C04"/>
    <w:rsid w:val="00241185"/>
    <w:rsid w:val="00243ECB"/>
    <w:rsid w:val="002C7F09"/>
    <w:rsid w:val="002F1101"/>
    <w:rsid w:val="002F7EBD"/>
    <w:rsid w:val="003044D4"/>
    <w:rsid w:val="00327AD6"/>
    <w:rsid w:val="00370770"/>
    <w:rsid w:val="003C04FB"/>
    <w:rsid w:val="003C2FEC"/>
    <w:rsid w:val="00402D35"/>
    <w:rsid w:val="004263CA"/>
    <w:rsid w:val="00435187"/>
    <w:rsid w:val="00485309"/>
    <w:rsid w:val="004A49F2"/>
    <w:rsid w:val="005C2740"/>
    <w:rsid w:val="00600818"/>
    <w:rsid w:val="0062132F"/>
    <w:rsid w:val="00660D84"/>
    <w:rsid w:val="0069585B"/>
    <w:rsid w:val="006A5163"/>
    <w:rsid w:val="0078104C"/>
    <w:rsid w:val="007B7192"/>
    <w:rsid w:val="007E14D4"/>
    <w:rsid w:val="00813BE9"/>
    <w:rsid w:val="00860225"/>
    <w:rsid w:val="008C7DCA"/>
    <w:rsid w:val="00936BDA"/>
    <w:rsid w:val="00966592"/>
    <w:rsid w:val="00AE255D"/>
    <w:rsid w:val="00B2355B"/>
    <w:rsid w:val="00C16CBC"/>
    <w:rsid w:val="00C44441"/>
    <w:rsid w:val="00C733B1"/>
    <w:rsid w:val="00CA1253"/>
    <w:rsid w:val="00CB1F3D"/>
    <w:rsid w:val="00CB6AE4"/>
    <w:rsid w:val="00CE096D"/>
    <w:rsid w:val="00D12065"/>
    <w:rsid w:val="00D439E0"/>
    <w:rsid w:val="00DB0A1F"/>
    <w:rsid w:val="00E653F0"/>
    <w:rsid w:val="00E728AC"/>
    <w:rsid w:val="00EC69F3"/>
    <w:rsid w:val="00F009E9"/>
    <w:rsid w:val="00F32A28"/>
    <w:rsid w:val="1CCD55BA"/>
    <w:rsid w:val="282C4935"/>
    <w:rsid w:val="445804EB"/>
    <w:rsid w:val="5BAC34DB"/>
    <w:rsid w:val="5EE27BA5"/>
    <w:rsid w:val="68706AD2"/>
    <w:rsid w:val="700423C1"/>
    <w:rsid w:val="7D2D4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Times New Roman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customStyle="1" w:styleId="7">
    <w:name w:val="p0"/>
    <w:basedOn w:val="1"/>
    <w:qFormat/>
    <w:uiPriority w:val="0"/>
    <w:pPr>
      <w:widowControl/>
      <w:spacing w:line="240" w:lineRule="auto"/>
    </w:pPr>
    <w:rPr>
      <w:rFonts w:ascii="Calibri" w:hAnsi="Calibri" w:eastAsia="宋体" w:cs="宋体"/>
      <w:kern w:val="0"/>
      <w:szCs w:val="21"/>
    </w:rPr>
  </w:style>
  <w:style w:type="paragraph" w:customStyle="1" w:styleId="8">
    <w:name w:val="p15"/>
    <w:basedOn w:val="1"/>
    <w:qFormat/>
    <w:uiPriority w:val="0"/>
    <w:pPr>
      <w:widowControl/>
      <w:spacing w:before="480" w:line="273" w:lineRule="auto"/>
      <w:jc w:val="left"/>
    </w:pPr>
    <w:rPr>
      <w:rFonts w:ascii="Cambria" w:hAnsi="Cambria" w:eastAsia="宋体" w:cs="宋体"/>
      <w:b/>
      <w:bCs/>
      <w:color w:val="365F91"/>
      <w:kern w:val="0"/>
      <w:sz w:val="28"/>
      <w:szCs w:val="28"/>
    </w:rPr>
  </w:style>
  <w:style w:type="paragraph" w:customStyle="1" w:styleId="9">
    <w:name w:val="p16"/>
    <w:basedOn w:val="1"/>
    <w:qFormat/>
    <w:uiPriority w:val="0"/>
    <w:pPr>
      <w:widowControl/>
      <w:spacing w:after="200" w:line="273" w:lineRule="auto"/>
      <w:jc w:val="left"/>
    </w:pPr>
    <w:rPr>
      <w:rFonts w:ascii="Calibri" w:hAnsi="Calibri" w:eastAsia="宋体" w:cs="宋体"/>
      <w:color w:val="000000"/>
      <w:kern w:val="0"/>
      <w:sz w:val="22"/>
    </w:rPr>
  </w:style>
  <w:style w:type="character" w:customStyle="1" w:styleId="10">
    <w:name w:val="批注框文本 Char"/>
    <w:basedOn w:val="6"/>
    <w:link w:val="2"/>
    <w:semiHidden/>
    <w:qFormat/>
    <w:uiPriority w:val="99"/>
    <w:rPr>
      <w:sz w:val="18"/>
      <w:szCs w:val="18"/>
    </w:rPr>
  </w:style>
  <w:style w:type="paragraph" w:customStyle="1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13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14">
    <w:name w:val="ca-0"/>
    <w:basedOn w:val="6"/>
    <w:qFormat/>
    <w:uiPriority w:val="0"/>
  </w:style>
  <w:style w:type="character" w:customStyle="1" w:styleId="15">
    <w:name w:val="style71"/>
    <w:basedOn w:val="6"/>
    <w:qFormat/>
    <w:uiPriority w:val="0"/>
    <w:rPr>
      <w:b/>
      <w:color w:val="D70703"/>
      <w:sz w:val="21"/>
      <w:szCs w:val="21"/>
    </w:rPr>
  </w:style>
  <w:style w:type="character" w:customStyle="1" w:styleId="16">
    <w:name w:val="ca-2"/>
    <w:basedOn w:val="6"/>
    <w:qFormat/>
    <w:uiPriority w:val="0"/>
  </w:style>
  <w:style w:type="paragraph" w:customStyle="1" w:styleId="17">
    <w:name w:val="pa-2"/>
    <w:basedOn w:val="1"/>
    <w:qFormat/>
    <w:uiPriority w:val="0"/>
    <w:pPr>
      <w:keepNext w:val="0"/>
      <w:keepLines w:val="0"/>
      <w:widowControl/>
      <w:suppressLineNumbers w:val="0"/>
      <w:spacing w:before="150" w:beforeAutospacing="0" w:after="150" w:afterAutospacing="0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630</Words>
  <Characters>3595</Characters>
  <Lines>29</Lines>
  <Paragraphs>8</Paragraphs>
  <TotalTime>2</TotalTime>
  <ScaleCrop>false</ScaleCrop>
  <LinksUpToDate>false</LinksUpToDate>
  <CharactersWithSpaces>4217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2020-04-07T06:16:00Z</dcterms:created>
  <dc:creator>xzjd</dc:creator>
  <cp:lastModifiedBy>段辉</cp:lastModifiedBy>
  <dcterms:modified xsi:type="dcterms:W3CDTF">2021-05-31T02:18:37Z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