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left="630" w:hanging="840" w:hangingChars="300"/>
        <w:jc w:val="left"/>
        <w:rPr>
          <w:rFonts w:ascii="方正小标宋_GBK" w:eastAsia="方正小标宋_GBK"/>
          <w:sz w:val="28"/>
          <w:szCs w:val="28"/>
        </w:rPr>
      </w:pPr>
      <w:r>
        <w:rPr>
          <w:rFonts w:hint="eastAsia" w:ascii="方正小标宋_GBK" w:eastAsia="方正小标宋_GBK"/>
          <w:sz w:val="28"/>
          <w:szCs w:val="28"/>
        </w:rPr>
        <w:t>附件5：项目支出绩效评价报告（范本）</w:t>
      </w:r>
    </w:p>
    <w:p>
      <w:pPr>
        <w:spacing w:before="120" w:after="120" w:line="480" w:lineRule="auto"/>
        <w:jc w:val="center"/>
        <w:rPr>
          <w:rFonts w:ascii="Times New Roman" w:hAnsi="Times New Roman" w:eastAsia="黑体"/>
          <w:b/>
          <w:bCs/>
          <w:sz w:val="52"/>
          <w:szCs w:val="52"/>
        </w:rPr>
      </w:pPr>
    </w:p>
    <w:p>
      <w:pPr>
        <w:jc w:val="center"/>
        <w:rPr>
          <w:rFonts w:ascii="黑体" w:hAnsi="黑体" w:eastAsia="黑体" w:cs="黑体"/>
          <w:bCs/>
          <w:sz w:val="52"/>
          <w:szCs w:val="52"/>
        </w:rPr>
      </w:pPr>
      <w:r>
        <w:rPr>
          <w:rFonts w:hint="eastAsia" w:ascii="黑体" w:hAnsi="黑体" w:eastAsia="黑体" w:cs="黑体"/>
          <w:bCs/>
          <w:sz w:val="52"/>
          <w:szCs w:val="52"/>
          <w:lang w:val="en-US" w:eastAsia="zh-CN"/>
        </w:rPr>
        <w:t>2020年中央农村厕所革命整村推进补助资金</w:t>
      </w:r>
      <w:r>
        <w:rPr>
          <w:rFonts w:hint="eastAsia" w:ascii="黑体" w:hAnsi="黑体" w:eastAsia="黑体" w:cs="黑体"/>
          <w:bCs/>
          <w:sz w:val="52"/>
          <w:szCs w:val="52"/>
        </w:rPr>
        <w:t>支出绩效自评报告</w:t>
      </w:r>
    </w:p>
    <w:p>
      <w:pPr>
        <w:jc w:val="center"/>
        <w:rPr>
          <w:rFonts w:ascii="黑体" w:hAnsi="黑体" w:eastAsia="黑体"/>
          <w:bCs/>
          <w:sz w:val="52"/>
          <w:szCs w:val="52"/>
        </w:rPr>
      </w:pPr>
      <w:r>
        <w:rPr>
          <w:rFonts w:hint="eastAsia" w:ascii="黑体" w:hAnsi="黑体" w:eastAsia="黑体" w:cs="黑体"/>
          <w:bCs/>
          <w:sz w:val="52"/>
          <w:szCs w:val="52"/>
        </w:rPr>
        <w:t>（</w:t>
      </w:r>
      <w:r>
        <w:rPr>
          <w:rFonts w:hint="eastAsia" w:ascii="黑体" w:hAnsi="黑体" w:eastAsia="黑体" w:cs="黑体"/>
          <w:bCs/>
          <w:sz w:val="52"/>
          <w:szCs w:val="52"/>
          <w:lang w:val="en-US" w:eastAsia="zh-CN"/>
        </w:rPr>
        <w:t>2020</w:t>
      </w:r>
      <w:r>
        <w:rPr>
          <w:rFonts w:hint="eastAsia" w:ascii="黑体" w:hAnsi="黑体" w:eastAsia="黑体" w:cs="黑体"/>
          <w:bCs/>
          <w:sz w:val="52"/>
          <w:szCs w:val="52"/>
        </w:rPr>
        <w:t>年度）</w:t>
      </w:r>
    </w:p>
    <w:p>
      <w:pPr>
        <w:spacing w:before="120" w:after="120" w:line="480" w:lineRule="auto"/>
        <w:jc w:val="center"/>
        <w:rPr>
          <w:rFonts w:ascii="Times New Roman" w:hAnsi="Times New Roman" w:eastAsia="黑体"/>
          <w:b/>
          <w:bCs/>
          <w:sz w:val="52"/>
          <w:szCs w:val="52"/>
        </w:rPr>
      </w:pPr>
    </w:p>
    <w:p>
      <w:pPr>
        <w:spacing w:before="120" w:after="120" w:line="480" w:lineRule="auto"/>
        <w:jc w:val="center"/>
        <w:rPr>
          <w:rFonts w:ascii="Times New Roman" w:hAnsi="Times New Roman"/>
          <w:b/>
          <w:bCs/>
          <w:sz w:val="44"/>
          <w:szCs w:val="44"/>
        </w:rPr>
      </w:pPr>
    </w:p>
    <w:p>
      <w:pPr>
        <w:spacing w:before="120" w:after="120" w:line="480" w:lineRule="auto"/>
        <w:jc w:val="center"/>
        <w:rPr>
          <w:rFonts w:ascii="Times New Roman" w:hAnsi="Times New Roman"/>
          <w:b/>
          <w:bCs/>
          <w:sz w:val="44"/>
          <w:szCs w:val="44"/>
        </w:rPr>
      </w:pPr>
    </w:p>
    <w:p>
      <w:pPr>
        <w:spacing w:before="120" w:after="120" w:line="480" w:lineRule="auto"/>
        <w:jc w:val="center"/>
        <w:rPr>
          <w:rFonts w:ascii="Times New Roman" w:hAnsi="Times New Roman" w:eastAsia="黑体"/>
          <w:b/>
          <w:bCs/>
          <w:sz w:val="44"/>
          <w:szCs w:val="44"/>
        </w:rPr>
      </w:pPr>
    </w:p>
    <w:p>
      <w:pPr>
        <w:adjustRightInd w:val="0"/>
        <w:snapToGrid w:val="0"/>
        <w:spacing w:line="360" w:lineRule="auto"/>
        <w:ind w:left="1260" w:leftChars="600"/>
        <w:rPr>
          <w:rFonts w:hint="eastAsia" w:ascii="Times New Roman" w:hAnsi="Times New Roman" w:eastAsia="黑体" w:cs="黑体"/>
          <w:b/>
          <w:bCs/>
          <w:sz w:val="28"/>
          <w:szCs w:val="28"/>
          <w:lang w:eastAsia="zh-CN"/>
        </w:rPr>
      </w:pPr>
      <w:r>
        <w:rPr>
          <w:rFonts w:ascii="Times New Roman" w:hAnsi="Times New Roman" w:eastAsia="黑体" w:cs="黑体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2371725</wp:posOffset>
                </wp:positionH>
                <wp:positionV relativeFrom="paragraph">
                  <wp:posOffset>196215</wp:posOffset>
                </wp:positionV>
                <wp:extent cx="2495550" cy="0"/>
                <wp:effectExtent l="0" t="0" r="0" b="0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55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86.75pt;margin-top:15.45pt;height:0pt;width:196.5pt;z-index:251658240;mso-width-relative:page;mso-height-relative:page;" filled="f" stroked="t" coordsize="21600,21600" o:gfxdata="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KXqXKDXAAAACQEA&#10;AA8AAAAAAAAAAQAgAAAAIgAAAGRycy9kb3ducmV2LnhtbFBLAQIUABQAAAAIAIdO4kBTqpAm4gEA&#10;AJ4DAAAOAAAAAAAAAAEAIAAAACYBAABkcnMvZTJvRG9jLnhtbFBLBQYAAAAABgAGAFkBAAB6BQAA&#10;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部门名称（公章）：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lang w:eastAsia="zh-CN"/>
        </w:rPr>
        <w:t>昆明市盘龙区农业农村局</w:t>
      </w:r>
    </w:p>
    <w:p>
      <w:pPr>
        <w:adjustRightInd w:val="0"/>
        <w:snapToGrid w:val="0"/>
        <w:spacing w:line="360" w:lineRule="auto"/>
        <w:ind w:left="1260" w:leftChars="600"/>
        <w:rPr>
          <w:rFonts w:hint="eastAsia" w:ascii="Times New Roman" w:hAnsi="Times New Roman" w:eastAsia="黑体" w:cs="黑体"/>
          <w:b/>
          <w:bCs/>
          <w:sz w:val="28"/>
          <w:szCs w:val="28"/>
          <w:lang w:eastAsia="zh-CN"/>
        </w:rPr>
      </w:pPr>
      <w:r>
        <w:rPr>
          <w:rFonts w:ascii="Times New Roman" w:hAnsi="Times New Roman" w:eastAsia="黑体" w:cs="黑体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221615</wp:posOffset>
                </wp:positionV>
                <wp:extent cx="2495550" cy="0"/>
                <wp:effectExtent l="0" t="0" r="0" b="0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55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35pt;margin-top:17.45pt;height:0pt;width:196.5pt;z-index:251659264;mso-width-relative:page;mso-height-relative:page;" filled="f" stroked="t" coordsize="21600,21600" o:gfxdata="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DxhF2DXAAAACQEA&#10;AA8AAAAAAAAAAQAgAAAAIgAAAGRycy9kb3ducmV2LnhtbFBLAQIUABQAAAAIAIdO4kC+lQRR4gEA&#10;AJ4DAAAOAAAAAAAAAAEAIAAAACYBAABkcnMvZTJvRG9jLnhtbFBLBQYAAAAABgAGAFkBAAB6BQAA&#10;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项目单位：</w:t>
      </w:r>
      <w:r>
        <w:rPr>
          <w:rFonts w:ascii="Times New Roman" w:hAnsi="Times New Roman" w:eastAsia="黑体" w:cs="黑体"/>
          <w:b/>
          <w:bCs/>
          <w:sz w:val="28"/>
          <w:szCs w:val="28"/>
        </w:rPr>
        <w:t xml:space="preserve"> 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lang w:eastAsia="zh-CN"/>
        </w:rPr>
        <w:t>昆明市盘龙区农业农村局</w:t>
      </w:r>
    </w:p>
    <w:p>
      <w:pPr>
        <w:adjustRightInd w:val="0"/>
        <w:snapToGrid w:val="0"/>
        <w:spacing w:line="360" w:lineRule="auto"/>
        <w:ind w:left="1260" w:leftChars="600"/>
        <w:rPr>
          <w:rFonts w:hint="eastAsia" w:ascii="Times New Roman" w:hAnsi="Times New Roman" w:eastAsia="黑体" w:cs="黑体"/>
          <w:b/>
          <w:bCs/>
          <w:sz w:val="28"/>
          <w:szCs w:val="28"/>
        </w:rPr>
      </w:pPr>
      <w:r>
        <w:rPr>
          <w:rFonts w:ascii="Times New Roman" w:hAnsi="Times New Roman" w:eastAsia="黑体" w:cs="黑体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180975</wp:posOffset>
                </wp:positionV>
                <wp:extent cx="2495550" cy="0"/>
                <wp:effectExtent l="0" t="0" r="0" b="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55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35pt;margin-top:14.25pt;height:0pt;width:196.5pt;z-index:251660288;mso-width-relative:page;mso-height-relative:page;" filled="f" stroked="t" coordsize="21600,21600" o:gfxdata="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0IL+71wAAAAkB&#10;AAAPAAAAAAAAAAEAIAAAACIAAABkcnMvZG93bnJldi54bWxQSwECFAAUAAAACACHTuJA2oKnyuMB&#10;AACeAwAADgAAAAAAAAABACAAAAAmAQAAZHJzL2Uyb0RvYy54bWxQSwUGAAAAAAYABgBZAQAAewUA&#10;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主管部门：</w:t>
      </w:r>
    </w:p>
    <w:p>
      <w:pPr>
        <w:adjustRightInd w:val="0"/>
        <w:snapToGrid w:val="0"/>
        <w:spacing w:line="360" w:lineRule="auto"/>
        <w:ind w:left="2665" w:leftChars="600" w:hanging="1405" w:hangingChars="500"/>
        <w:rPr>
          <w:rFonts w:ascii="Times New Roman" w:hAnsi="Times New Roman" w:eastAsia="黑体"/>
          <w:b/>
          <w:bCs/>
          <w:sz w:val="28"/>
          <w:szCs w:val="28"/>
          <w:u w:val="single"/>
        </w:rPr>
      </w:pPr>
      <w:r>
        <w:rPr>
          <w:rFonts w:ascii="Times New Roman" w:hAnsi="Times New Roman" w:eastAsia="黑体" w:cs="黑体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180975</wp:posOffset>
                </wp:positionV>
                <wp:extent cx="2495550" cy="0"/>
                <wp:effectExtent l="0" t="0" r="0" b="0"/>
                <wp:wrapNone/>
                <wp:docPr id="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55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35pt;margin-top:14.25pt;height:0pt;width:196.5pt;z-index:251661312;mso-width-relative:page;mso-height-relative:page;" filled="f" stroked="t" coordsize="21600,21600" o:gfxdata="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0IL+71wAAAAkB&#10;AAAPAAAAAAAAAAEAIAAAACIAAABkcnMvZG93bnJldi54bWxQSwECFAAUAAAACACHTuJAZOosvuMB&#10;AACeAwAADgAAAAAAAAABACAAAAAmAQAAZHJzL2Uyb0RvYy54bWxQSwUGAAAAAAYABgBZAQAAewUA&#10;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项目名称：</w:t>
      </w:r>
      <w:r>
        <w:rPr>
          <w:rFonts w:ascii="Times New Roman" w:hAnsi="Times New Roman" w:eastAsia="黑体"/>
          <w:b/>
          <w:bCs/>
          <w:sz w:val="28"/>
          <w:szCs w:val="28"/>
        </w:rPr>
        <w:t xml:space="preserve"> </w:t>
      </w:r>
      <w:r>
        <w:rPr>
          <w:rFonts w:hint="eastAsia" w:ascii="Times New Roman" w:hAnsi="Times New Roman" w:eastAsia="黑体"/>
          <w:b/>
          <w:bCs/>
          <w:sz w:val="28"/>
          <w:szCs w:val="28"/>
        </w:rPr>
        <w:t>2020年中央农村厕所革命整村推进补助资金</w:t>
      </w:r>
      <w:r>
        <w:rPr>
          <w:rFonts w:hint="eastAsia" w:ascii="Times New Roman" w:hAnsi="Times New Roman" w:eastAsia="黑体"/>
          <w:b/>
          <w:bCs/>
          <w:sz w:val="28"/>
          <w:szCs w:val="28"/>
          <w:u w:val="single"/>
        </w:rPr>
        <w:t>项目</w:t>
      </w:r>
    </w:p>
    <w:p>
      <w:pPr>
        <w:adjustRightInd w:val="0"/>
        <w:snapToGrid w:val="0"/>
        <w:spacing w:line="360" w:lineRule="auto"/>
        <w:ind w:left="1260" w:leftChars="600"/>
        <w:rPr>
          <w:rFonts w:hint="default" w:ascii="Times New Roman" w:hAnsi="Times New Roman" w:eastAsia="黑体"/>
          <w:b/>
          <w:bCs/>
          <w:sz w:val="28"/>
          <w:szCs w:val="28"/>
          <w:lang w:val="en-US" w:eastAsia="zh-CN"/>
        </w:rPr>
      </w:pPr>
      <w:r>
        <w:rPr>
          <w:rFonts w:ascii="Times New Roman" w:hAnsi="Times New Roman" w:eastAsia="黑体" w:cs="黑体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180975</wp:posOffset>
                </wp:positionV>
                <wp:extent cx="2495550" cy="0"/>
                <wp:effectExtent l="0" t="0" r="0" b="0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55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35pt;margin-top:14.25pt;height:0pt;width:196.5pt;z-index:251662336;mso-width-relative:page;mso-height-relative:page;" filled="f" stroked="t" coordsize="21600,21600" o:gfxdata="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LQgv7vXAAAACQEA&#10;AA8AAAAAAAAAAQAgAAAAIgAAAGRycy9kb3ducmV2LnhtbFBLAQIUABQAAAAIAIdO4kAA/Y8l4gEA&#10;AJ4DAAAOAAAAAAAAAAEAIAAAACYBAABkcnMvZTJvRG9jLnhtbFBLBQYAAAAABgAGAFkBAAB6BQAA&#10;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绩效自评日期：</w:t>
      </w:r>
      <w:r>
        <w:rPr>
          <w:rFonts w:ascii="Times New Roman" w:hAnsi="Times New Roman" w:eastAsia="黑体"/>
          <w:b/>
          <w:bCs/>
          <w:sz w:val="28"/>
          <w:szCs w:val="28"/>
        </w:rPr>
        <w:t xml:space="preserve"> </w:t>
      </w:r>
      <w:r>
        <w:rPr>
          <w:rFonts w:hint="eastAsia" w:ascii="Times New Roman" w:hAnsi="Times New Roman" w:eastAsia="黑体"/>
          <w:b/>
          <w:bCs/>
          <w:sz w:val="28"/>
          <w:szCs w:val="28"/>
          <w:lang w:val="en-US" w:eastAsia="zh-CN"/>
        </w:rPr>
        <w:t>2021年5月14日</w:t>
      </w:r>
    </w:p>
    <w:p>
      <w:pPr>
        <w:spacing w:line="360" w:lineRule="auto"/>
        <w:ind w:left="1218" w:leftChars="580"/>
        <w:rPr>
          <w:rFonts w:ascii="Times New Roman" w:hAnsi="Times New Roman" w:eastAsia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  <w:r>
        <w:rPr>
          <w:rFonts w:ascii="Times New Roman" w:hAnsi="Times New Roman" w:eastAsia="黑体"/>
          <w:b/>
          <w:bCs/>
          <w:sz w:val="28"/>
          <w:szCs w:val="28"/>
        </w:rPr>
        <w:t>20</w:t>
      </w:r>
      <w:r>
        <w:rPr>
          <w:rFonts w:hint="eastAsia" w:ascii="Times New Roman" w:hAnsi="Times New Roman" w:eastAsia="黑体"/>
          <w:b/>
          <w:bCs/>
          <w:sz w:val="28"/>
          <w:szCs w:val="28"/>
        </w:rPr>
        <w:t>XX</w: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年</w:t>
      </w:r>
      <w:r>
        <w:rPr>
          <w:rFonts w:hint="eastAsia" w:ascii="Times New Roman" w:hAnsi="Times New Roman" w:eastAsia="黑体"/>
          <w:b/>
          <w:bCs/>
          <w:sz w:val="28"/>
          <w:szCs w:val="28"/>
        </w:rPr>
        <w:t>XX</w: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月</w:t>
      </w: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仿宋_GB2312"/>
          <w:b/>
          <w:bCs/>
          <w:sz w:val="28"/>
          <w:szCs w:val="28"/>
        </w:rPr>
      </w:pPr>
    </w:p>
    <w:p>
      <w:pPr>
        <w:widowControl/>
        <w:jc w:val="left"/>
        <w:rPr>
          <w:rFonts w:ascii="Times New Roman" w:hAnsi="Times New Roman" w:eastAsia="仿宋_GB2312"/>
          <w:b/>
          <w:bCs/>
          <w:sz w:val="28"/>
          <w:szCs w:val="28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720" w:num="1"/>
          <w:titlePg/>
          <w:docGrid w:type="lines" w:linePitch="312" w:charSpace="0"/>
        </w:sectPr>
      </w:pPr>
    </w:p>
    <w:p>
      <w:pPr>
        <w:pStyle w:val="7"/>
        <w:widowControl w:val="0"/>
        <w:spacing w:after="0" w:line="360" w:lineRule="auto"/>
        <w:ind w:left="420" w:leftChars="200"/>
        <w:jc w:val="both"/>
        <w:rPr>
          <w:rFonts w:ascii="Times New Roman" w:hAnsi="Times New Roman" w:eastAsia="黑体" w:cs="Times New Roman"/>
          <w:kern w:val="2"/>
          <w:sz w:val="24"/>
          <w:szCs w:val="24"/>
          <w:lang w:val="zh-TW" w:eastAsia="zh-TW"/>
        </w:rPr>
      </w:pPr>
      <w:r>
        <w:rPr>
          <w:rFonts w:hint="eastAsia" w:ascii="Times New Roman" w:hAnsi="Times New Roman" w:eastAsia="黑体" w:cs="黑体"/>
          <w:kern w:val="2"/>
          <w:sz w:val="24"/>
          <w:szCs w:val="24"/>
          <w:lang w:val="zh-TW" w:eastAsia="zh-TW"/>
        </w:rPr>
        <w:t>评价小组成员：</w:t>
      </w:r>
    </w:p>
    <w:tbl>
      <w:tblPr>
        <w:tblStyle w:val="5"/>
        <w:tblpPr w:leftFromText="180" w:rightFromText="180" w:vertAnchor="text" w:horzAnchor="margin" w:tblpY="72"/>
        <w:tblW w:w="81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620"/>
        <w:gridCol w:w="1620"/>
        <w:gridCol w:w="1621"/>
        <w:gridCol w:w="1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noWrap w:val="0"/>
            <w:vAlign w:val="center"/>
          </w:tcPr>
          <w:p>
            <w:pPr>
              <w:pStyle w:val="7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评价小组</w:t>
            </w:r>
          </w:p>
          <w:p>
            <w:pPr>
              <w:pStyle w:val="7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机构职位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pStyle w:val="7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姓名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pStyle w:val="7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职务/职称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pStyle w:val="7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所属</w:t>
            </w:r>
          </w:p>
          <w:p>
            <w:pPr>
              <w:pStyle w:val="7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单位/处室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pStyle w:val="7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noWrap w:val="0"/>
            <w:vAlign w:val="center"/>
          </w:tcPr>
          <w:p>
            <w:pPr>
              <w:pStyle w:val="7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组长</w:t>
            </w:r>
          </w:p>
        </w:tc>
        <w:tc>
          <w:tcPr>
            <w:tcW w:w="1620" w:type="dxa"/>
            <w:noWrap w:val="0"/>
            <w:vAlign w:val="top"/>
          </w:tcPr>
          <w:p>
            <w:pPr>
              <w:pStyle w:val="7"/>
              <w:widowControl w:val="0"/>
              <w:spacing w:after="0" w:line="24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0" w:type="dxa"/>
            <w:noWrap w:val="0"/>
            <w:vAlign w:val="top"/>
          </w:tcPr>
          <w:p>
            <w:pPr>
              <w:pStyle w:val="7"/>
              <w:widowControl w:val="0"/>
              <w:spacing w:after="0" w:line="24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1" w:type="dxa"/>
            <w:noWrap w:val="0"/>
            <w:vAlign w:val="top"/>
          </w:tcPr>
          <w:p>
            <w:pPr>
              <w:pStyle w:val="7"/>
              <w:widowControl w:val="0"/>
              <w:spacing w:after="0" w:line="24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1" w:type="dxa"/>
            <w:noWrap w:val="0"/>
            <w:vAlign w:val="top"/>
          </w:tcPr>
          <w:p>
            <w:pPr>
              <w:pStyle w:val="7"/>
              <w:widowControl w:val="0"/>
              <w:spacing w:after="0" w:line="24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noWrap w:val="0"/>
            <w:vAlign w:val="center"/>
          </w:tcPr>
          <w:p>
            <w:pPr>
              <w:pStyle w:val="7"/>
              <w:widowControl w:val="0"/>
              <w:spacing w:after="0" w:line="36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副组长</w:t>
            </w:r>
          </w:p>
        </w:tc>
        <w:tc>
          <w:tcPr>
            <w:tcW w:w="1620" w:type="dxa"/>
            <w:noWrap w:val="0"/>
            <w:vAlign w:val="top"/>
          </w:tcPr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0" w:type="dxa"/>
            <w:noWrap w:val="0"/>
            <w:vAlign w:val="top"/>
          </w:tcPr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1" w:type="dxa"/>
            <w:noWrap w:val="0"/>
            <w:vAlign w:val="top"/>
          </w:tcPr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1" w:type="dxa"/>
            <w:noWrap w:val="0"/>
            <w:vAlign w:val="top"/>
          </w:tcPr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noWrap w:val="0"/>
            <w:vAlign w:val="center"/>
          </w:tcPr>
          <w:p>
            <w:pPr>
              <w:pStyle w:val="7"/>
              <w:widowControl w:val="0"/>
              <w:spacing w:after="0" w:line="36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成员</w:t>
            </w:r>
          </w:p>
        </w:tc>
        <w:tc>
          <w:tcPr>
            <w:tcW w:w="1620" w:type="dxa"/>
            <w:noWrap w:val="0"/>
            <w:vAlign w:val="top"/>
          </w:tcPr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0" w:type="dxa"/>
            <w:noWrap w:val="0"/>
            <w:vAlign w:val="top"/>
          </w:tcPr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1" w:type="dxa"/>
            <w:noWrap w:val="0"/>
            <w:vAlign w:val="top"/>
          </w:tcPr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1" w:type="dxa"/>
            <w:noWrap w:val="0"/>
            <w:vAlign w:val="top"/>
          </w:tcPr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noWrap w:val="0"/>
            <w:vAlign w:val="center"/>
          </w:tcPr>
          <w:p>
            <w:pPr>
              <w:pStyle w:val="7"/>
              <w:widowControl w:val="0"/>
              <w:spacing w:after="0" w:line="36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  <w:t>……</w:t>
            </w:r>
          </w:p>
        </w:tc>
        <w:tc>
          <w:tcPr>
            <w:tcW w:w="1620" w:type="dxa"/>
            <w:noWrap w:val="0"/>
            <w:vAlign w:val="top"/>
          </w:tcPr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0" w:type="dxa"/>
            <w:noWrap w:val="0"/>
            <w:vAlign w:val="top"/>
          </w:tcPr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1" w:type="dxa"/>
            <w:noWrap w:val="0"/>
            <w:vAlign w:val="top"/>
          </w:tcPr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1" w:type="dxa"/>
            <w:noWrap w:val="0"/>
            <w:vAlign w:val="top"/>
          </w:tcPr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</w:trPr>
        <w:tc>
          <w:tcPr>
            <w:tcW w:w="8102" w:type="dxa"/>
            <w:gridSpan w:val="5"/>
            <w:noWrap w:val="0"/>
            <w:vAlign w:val="top"/>
          </w:tcPr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报告撰写人（签字）：</w:t>
            </w:r>
          </w:p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7"/>
              <w:widowControl w:val="0"/>
              <w:wordWrap w:val="0"/>
              <w:spacing w:after="0" w:line="360" w:lineRule="auto"/>
              <w:jc w:val="right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1" w:hRule="atLeast"/>
        </w:trPr>
        <w:tc>
          <w:tcPr>
            <w:tcW w:w="8102" w:type="dxa"/>
            <w:gridSpan w:val="5"/>
            <w:noWrap w:val="0"/>
            <w:vAlign w:val="top"/>
          </w:tcPr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评价工作负责人（签字）：</w:t>
            </w:r>
          </w:p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7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7"/>
              <w:widowControl w:val="0"/>
              <w:wordWrap w:val="0"/>
              <w:spacing w:after="0" w:line="360" w:lineRule="auto"/>
              <w:jc w:val="right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年  月  日</w:t>
            </w:r>
          </w:p>
        </w:tc>
      </w:tr>
    </w:tbl>
    <w:p>
      <w:pPr>
        <w:pStyle w:val="7"/>
        <w:widowControl w:val="0"/>
        <w:spacing w:after="0" w:line="360" w:lineRule="auto"/>
        <w:ind w:firstLine="566" w:firstLineChars="236"/>
        <w:jc w:val="both"/>
        <w:rPr>
          <w:rFonts w:ascii="Times New Roman" w:hAnsi="Times New Roman" w:eastAsia="PMingLiU" w:cs="Times New Roman"/>
          <w:kern w:val="2"/>
          <w:sz w:val="24"/>
          <w:szCs w:val="24"/>
          <w:lang w:val="zh-TW" w:eastAsia="zh-TW"/>
        </w:rPr>
      </w:pPr>
    </w:p>
    <w:p>
      <w:pPr>
        <w:pStyle w:val="7"/>
        <w:widowControl w:val="0"/>
        <w:spacing w:after="0" w:line="360" w:lineRule="auto"/>
        <w:jc w:val="both"/>
        <w:rPr>
          <w:rFonts w:ascii="Times New Roman" w:hAnsi="Times New Roman" w:cs="Times New Roman"/>
          <w:kern w:val="2"/>
          <w:sz w:val="24"/>
          <w:szCs w:val="24"/>
          <w:lang w:val="zh-TW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pStyle w:val="8"/>
        <w:jc w:val="center"/>
        <w:rPr>
          <w:rFonts w:ascii="Times New Roman" w:hAnsi="Times New Roman" w:cs="Times New Roman"/>
          <w:color w:val="auto"/>
        </w:rPr>
      </w:pPr>
      <w:r>
        <w:rPr>
          <w:rFonts w:hint="eastAsia" w:ascii="Times New Roman" w:hAnsi="Times New Roman" w:cs="宋体"/>
          <w:color w:val="auto"/>
          <w:lang w:val="zh-CN"/>
        </w:rPr>
        <w:t>目录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摘要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一、 项目基本情况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（一）项目立项背景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（二）项目立项依据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（三）项目实施内容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（四）项目实施计划及完成情况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（五）项目的组织及管理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（六）项目绩效目标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二、绩效评价工作情况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(一)评价的目的和依据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(二)绩效评价工作方案制定过程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(三)绩效评价原则、评价方法等</w:t>
      </w:r>
      <w:r>
        <w:rPr>
          <w:rFonts w:hint="eastAsia" w:ascii="黑体" w:hAnsi="黑体" w:eastAsia="黑体"/>
          <w:szCs w:val="32"/>
        </w:rPr>
        <w:tab/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(四)绩效评价实施过程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(五)绩效评价的局限性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三、评价结论及绩效分析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(一)评价结论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(二)绩效分析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四、项目主要经验及做法、存在的问题和建议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(一)主要经验及做法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(二)存在的问题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(三)建议和改进措施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五、附件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附件一：指标体系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附件二：基础数据表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附件三：访谈记录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附件四：问卷调查分析报告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附件五：</w:t>
      </w:r>
      <w:r>
        <w:rPr>
          <w:rFonts w:ascii="黑体" w:hAnsi="黑体" w:eastAsia="黑体" w:cs="黑体"/>
          <w:sz w:val="24"/>
          <w:szCs w:val="24"/>
          <w:lang w:val="zh-TW"/>
        </w:rPr>
        <w:t>……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 </w:t>
      </w:r>
    </w:p>
    <w:p>
      <w:pPr>
        <w:spacing w:line="540" w:lineRule="exact"/>
        <w:rPr>
          <w:rFonts w:ascii="方正小标宋_GBK" w:hAnsi="黑体" w:eastAsia="方正小标宋_GBK"/>
          <w:szCs w:val="32"/>
        </w:rPr>
      </w:pPr>
    </w:p>
    <w:p>
      <w:pPr>
        <w:spacing w:line="440" w:lineRule="exact"/>
        <w:jc w:val="center"/>
        <w:rPr>
          <w:rFonts w:hint="eastAsia" w:ascii="方正小标宋_GBK" w:eastAsia="方正小标宋_GBK"/>
          <w:sz w:val="36"/>
          <w:szCs w:val="36"/>
        </w:rPr>
      </w:pPr>
    </w:p>
    <w:p>
      <w:pPr>
        <w:spacing w:line="44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2020年中央农村厕所革命整村推进补助资金项目支出绩效自评报告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</w:p>
    <w:p>
      <w:pPr>
        <w:numPr>
          <w:ilvl w:val="0"/>
          <w:numId w:val="1"/>
        </w:numPr>
        <w:spacing w:line="440" w:lineRule="exact"/>
        <w:ind w:firstLine="420" w:firstLineChars="200"/>
        <w:jc w:val="left"/>
        <w:rPr>
          <w:rFonts w:hint="eastAsia"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项目概况：</w:t>
      </w:r>
    </w:p>
    <w:p>
      <w:pPr>
        <w:ind w:firstLine="420" w:firstLineChars="200"/>
        <w:rPr>
          <w:rFonts w:hint="default" w:ascii="Times New Roman" w:hAnsi="Times New Roman" w:eastAsia="仿宋_GB2312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按照《</w:t>
      </w:r>
      <w:r>
        <w:rPr>
          <w:rFonts w:hint="eastAsia" w:ascii="Times New Roman" w:hAnsi="Times New Roman" w:eastAsia="仿宋_GB2312" w:cs="Times New Roman"/>
          <w:sz w:val="21"/>
          <w:szCs w:val="21"/>
        </w:rPr>
        <w:t>关于提前下达2020年中央农村“厕所革命”整村推进财政奖补资金的通知</w:t>
      </w: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》下达盘龙区</w:t>
      </w:r>
      <w:r>
        <w:rPr>
          <w:rFonts w:hint="eastAsia" w:ascii="Times New Roman" w:hAnsi="Times New Roman" w:eastAsia="仿宋_GB2312" w:cs="Times New Roman"/>
          <w:sz w:val="21"/>
          <w:szCs w:val="21"/>
        </w:rPr>
        <w:t>308.55</w:t>
      </w: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万作为管护资金，</w:t>
      </w: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对已建成农村卫生厕所管护实现基本全覆盖，用于支持粪污收集、存储等无害化处理和资源化利用设施设备建设</w:t>
      </w:r>
      <w:r>
        <w:rPr>
          <w:rFonts w:ascii="Times New Roman" w:hAnsi="Times New Roman" w:eastAsia="仿宋_GB2312" w:cs="Times New Roman"/>
          <w:sz w:val="21"/>
          <w:szCs w:val="21"/>
        </w:rPr>
        <w:t>。</w:t>
      </w: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2020年管护资金308.55万元，2020年支出308.55万元，结余0 万元。</w:t>
      </w:r>
    </w:p>
    <w:p>
      <w:pPr>
        <w:numPr>
          <w:ilvl w:val="0"/>
          <w:numId w:val="1"/>
        </w:numPr>
        <w:spacing w:line="440" w:lineRule="exact"/>
        <w:ind w:left="0" w:leftChars="0" w:firstLine="420" w:firstLineChars="200"/>
        <w:jc w:val="left"/>
        <w:rPr>
          <w:rFonts w:hint="eastAsia"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评价结论</w:t>
      </w:r>
    </w:p>
    <w:p>
      <w:pPr>
        <w:ind w:firstLine="420" w:firstLineChars="200"/>
        <w:rPr>
          <w:rFonts w:hint="default" w:ascii="Times New Roman" w:hAnsi="Times New Roman" w:eastAsia="仿宋_GB2312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《</w:t>
      </w:r>
      <w:r>
        <w:rPr>
          <w:rFonts w:hint="eastAsia" w:ascii="Times New Roman" w:hAnsi="Times New Roman" w:eastAsia="仿宋_GB2312" w:cs="Times New Roman"/>
          <w:sz w:val="21"/>
          <w:szCs w:val="21"/>
        </w:rPr>
        <w:t>关于拨付松华等街道办事处农村无害化卫生户厕建设经费的通知</w:t>
      </w: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》（</w:t>
      </w:r>
      <w:r>
        <w:rPr>
          <w:rFonts w:hint="eastAsia" w:ascii="Times New Roman" w:hAnsi="Times New Roman" w:eastAsia="仿宋_GB2312" w:cs="Times New Roman"/>
          <w:sz w:val="21"/>
          <w:szCs w:val="21"/>
        </w:rPr>
        <w:t>盘农通〔2020〕42号</w:t>
      </w: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），</w:t>
      </w:r>
      <w:r>
        <w:rPr>
          <w:rFonts w:hint="eastAsia" w:ascii="Times New Roman" w:hAnsi="Times New Roman" w:eastAsia="仿宋_GB2312" w:cs="Times New Roman"/>
          <w:sz w:val="21"/>
          <w:szCs w:val="21"/>
        </w:rPr>
        <w:t>20</w:t>
      </w: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sz w:val="21"/>
          <w:szCs w:val="21"/>
        </w:rPr>
        <w:t>年</w:t>
      </w: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下达双龙、松华、滇源、阿子营街道</w:t>
      </w: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658.17万元开展建设</w:t>
      </w:r>
      <w:r>
        <w:rPr>
          <w:rFonts w:hint="eastAsia" w:ascii="Times New Roman" w:hAnsi="Times New Roman" w:eastAsia="仿宋_GB2312" w:cs="Times New Roman"/>
          <w:sz w:val="21"/>
          <w:szCs w:val="21"/>
        </w:rPr>
        <w:t>，</w:t>
      </w: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其中包含中央奖补资金</w:t>
      </w: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308.55万元，</w:t>
      </w: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由街道牵头实施完成</w:t>
      </w: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。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三、经验、问题和建议</w:t>
      </w:r>
    </w:p>
    <w:p>
      <w:pPr>
        <w:spacing w:line="440" w:lineRule="exact"/>
        <w:ind w:firstLine="420" w:firstLineChars="200"/>
        <w:jc w:val="left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1.主要经验及做法；</w:t>
      </w:r>
    </w:p>
    <w:p>
      <w:pPr>
        <w:ind w:firstLine="420" w:firstLineChars="200"/>
        <w:rPr>
          <w:rFonts w:hint="eastAsia" w:ascii="Times New Roman" w:hAnsi="Times New Roman" w:eastAsia="仿宋_GB2312" w:cs="Times New Roman"/>
          <w:sz w:val="21"/>
          <w:szCs w:val="21"/>
        </w:rPr>
      </w:pPr>
      <w:r>
        <w:rPr>
          <w:rFonts w:hint="eastAsia" w:ascii="Times New Roman" w:hAnsi="Times New Roman" w:eastAsia="仿宋_GB2312" w:cs="Times New Roman"/>
          <w:sz w:val="21"/>
          <w:szCs w:val="21"/>
        </w:rPr>
        <w:t>近年来，盘龙区委、区政府结合自身实际，紧紧围绕农村人居环境整治工作重点、难点，加强组织领导，深入发动各级力量，全面整合各方资源，强化各项举措，压实各级责任，加快农村人居环境问题整改，盘龙区农村人居环境得到全面提升，农村“厕所革命”扎实有序推进。按照中央、市级资金下达任务，盘龙区</w:t>
      </w: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完成卫生厕所改建</w:t>
      </w:r>
      <w:r>
        <w:rPr>
          <w:rFonts w:hint="eastAsia" w:ascii="Times New Roman" w:hAnsi="Times New Roman" w:eastAsia="仿宋_GB2312" w:cs="Times New Roman"/>
          <w:sz w:val="21"/>
          <w:szCs w:val="21"/>
          <w:lang w:val="en-US" w:eastAsia="zh-CN"/>
        </w:rPr>
        <w:t>6662座</w:t>
      </w:r>
      <w:r>
        <w:rPr>
          <w:rFonts w:hint="eastAsia" w:ascii="Times New Roman" w:hAnsi="Times New Roman" w:eastAsia="仿宋_GB2312" w:cs="Times New Roman"/>
          <w:sz w:val="21"/>
          <w:szCs w:val="21"/>
        </w:rPr>
        <w:t>，盘龙区实现无害化卫生厕所普及率达90.1%。</w:t>
      </w:r>
    </w:p>
    <w:p>
      <w:pPr>
        <w:spacing w:line="440" w:lineRule="exact"/>
        <w:ind w:firstLine="420" w:firstLineChars="200"/>
        <w:jc w:val="left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2.存在的问题；</w:t>
      </w:r>
    </w:p>
    <w:p>
      <w:pPr>
        <w:ind w:firstLine="420" w:firstLineChars="200"/>
        <w:rPr>
          <w:rFonts w:hint="eastAsia" w:ascii="Times New Roman" w:hAnsi="Times New Roman" w:eastAsia="仿宋_GB2312" w:cs="Times New Roman"/>
          <w:sz w:val="21"/>
          <w:szCs w:val="21"/>
        </w:rPr>
      </w:pPr>
      <w:r>
        <w:rPr>
          <w:rFonts w:hint="eastAsia" w:ascii="Times New Roman" w:hAnsi="Times New Roman" w:eastAsia="仿宋_GB2312" w:cs="Times New Roman"/>
          <w:sz w:val="21"/>
          <w:szCs w:val="21"/>
        </w:rPr>
        <w:t>我区农村人居环境整治各方面的工作扎实推进，但与省、市要求及广大群众对美好生活的期待、向往相比，仍然存在很大差距。存少数农户不愿意改厕仍在使用老厕的现象。由于传统习惯，每个村还有少部分农户未进行户厕改造，继续使用卫生条件较差，没有进行无害化处理老式厕所。三是户厕改建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21"/>
          <w:szCs w:val="21"/>
        </w:rPr>
        <w:t>相关资料台账</w:t>
      </w: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仍需持续完善</w:t>
      </w:r>
      <w:r>
        <w:rPr>
          <w:rFonts w:hint="eastAsia" w:ascii="Times New Roman" w:hAnsi="Times New Roman" w:eastAsia="仿宋_GB2312" w:cs="Times New Roman"/>
          <w:sz w:val="21"/>
          <w:szCs w:val="21"/>
        </w:rPr>
        <w:t>。</w:t>
      </w:r>
    </w:p>
    <w:p>
      <w:pPr>
        <w:spacing w:line="440" w:lineRule="exact"/>
        <w:ind w:firstLine="420" w:firstLineChars="200"/>
        <w:jc w:val="left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3.改进措施及建议。</w:t>
      </w:r>
    </w:p>
    <w:p>
      <w:pPr>
        <w:ind w:firstLine="420" w:firstLineChars="200"/>
        <w:rPr>
          <w:rFonts w:hint="default" w:ascii="Times New Roman" w:hAnsi="Times New Roman" w:eastAsia="仿宋_GB2312" w:cs="Times New Roman"/>
          <w:sz w:val="21"/>
          <w:szCs w:val="21"/>
        </w:rPr>
      </w:pPr>
      <w:r>
        <w:rPr>
          <w:rFonts w:hint="default" w:ascii="Times New Roman" w:hAnsi="Times New Roman" w:eastAsia="仿宋_GB2312" w:cs="Times New Roman"/>
          <w:sz w:val="21"/>
          <w:szCs w:val="21"/>
        </w:rPr>
        <w:t>下一步，盘龙区将继续深入农村人居环境整治工作，提升农民幸福指数，一是强化参与意识。在农村人居环境整治工作过程中，继续充分发挥新闻、电视、网络、报纸等宣传媒体作用，大力宣传农村人居环境整治、农村“厕所革命”，深入农村深入农户家中开展农村人居环境整治工作的政策宣传，正确引导农村居民养成健康向上的卫生习惯。进一步增强农村广大群众参与人居环境整治、提高农村“厕所革命”知晓率、参与度，营造人人参与清洁整治的良好氛围。</w:t>
      </w: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二是</w:t>
      </w:r>
      <w:r>
        <w:rPr>
          <w:rFonts w:hint="default" w:ascii="Times New Roman" w:hAnsi="Times New Roman" w:eastAsia="仿宋_GB2312" w:cs="Times New Roman"/>
          <w:sz w:val="21"/>
          <w:szCs w:val="21"/>
        </w:rPr>
        <w:t>坚持问题督导，强化整改落实。针对“厕所革命”方面存在的问题，要认真分析研究解决办法，制定整改措施，将问题分解，责任到人。</w:t>
      </w: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三是</w:t>
      </w:r>
      <w:r>
        <w:rPr>
          <w:rFonts w:hint="default" w:ascii="Times New Roman" w:hAnsi="Times New Roman" w:eastAsia="仿宋_GB2312" w:cs="Times New Roman"/>
          <w:sz w:val="21"/>
          <w:szCs w:val="21"/>
        </w:rPr>
        <w:t>完善管护机制，强化日常保障。建立和完善各类机制</w:t>
      </w:r>
      <w:r>
        <w:rPr>
          <w:rFonts w:hint="eastAsia" w:ascii="Times New Roman" w:hAnsi="Times New Roman" w:eastAsia="仿宋_GB2312" w:cs="Times New Roman"/>
          <w:sz w:val="21"/>
          <w:szCs w:val="21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21"/>
          <w:szCs w:val="21"/>
        </w:rPr>
        <w:t>建立工作例会、工作报告、巡查检查、问题通报、督查问责、验收考核等制度，通过制度管人、管事，推动农村人居环境整治工作制度化、常态化。</w:t>
      </w:r>
    </w:p>
    <w:p>
      <w:pPr>
        <w:spacing w:line="440" w:lineRule="exact"/>
        <w:ind w:firstLine="420" w:firstLineChars="200"/>
        <w:jc w:val="left"/>
        <w:rPr>
          <w:rFonts w:ascii="楷体" w:hAnsi="楷体" w:eastAsia="楷体"/>
          <w:szCs w:val="32"/>
        </w:rPr>
      </w:pPr>
    </w:p>
    <w:p>
      <w:pPr>
        <w:spacing w:line="440" w:lineRule="exact"/>
        <w:ind w:firstLine="420" w:firstLineChars="200"/>
        <w:jc w:val="left"/>
        <w:rPr>
          <w:rFonts w:ascii="楷体" w:hAnsi="楷体" w:eastAsia="楷体"/>
          <w:szCs w:val="32"/>
        </w:rPr>
      </w:pPr>
    </w:p>
    <w:p>
      <w:pPr>
        <w:spacing w:line="440" w:lineRule="exact"/>
        <w:ind w:firstLine="420" w:firstLineChars="200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Cs w:val="32"/>
        </w:rPr>
        <w:t>正文：2020年中央农村厕所革命整村推进补助资金项目支出绩效自评报告</w:t>
      </w:r>
    </w:p>
    <w:p>
      <w:pPr>
        <w:topLinePunct/>
        <w:spacing w:line="440" w:lineRule="exact"/>
        <w:ind w:firstLine="525" w:firstLineChars="250"/>
        <w:rPr>
          <w:rFonts w:ascii="黑体" w:eastAsia="黑体"/>
          <w:szCs w:val="32"/>
        </w:rPr>
      </w:pPr>
    </w:p>
    <w:p>
      <w:pPr>
        <w:topLinePunct/>
        <w:spacing w:line="440" w:lineRule="exact"/>
        <w:ind w:firstLine="525" w:firstLineChars="250"/>
        <w:rPr>
          <w:rFonts w:ascii="黑体" w:eastAsia="黑体"/>
          <w:szCs w:val="32"/>
        </w:rPr>
      </w:pPr>
      <w:r>
        <w:rPr>
          <w:rFonts w:hint="eastAsia" w:ascii="黑体" w:eastAsia="黑体"/>
          <w:szCs w:val="32"/>
        </w:rPr>
        <w:t>一、项目基本情况</w:t>
      </w:r>
    </w:p>
    <w:p>
      <w:pPr>
        <w:topLinePunct/>
        <w:spacing w:line="440" w:lineRule="exact"/>
        <w:ind w:firstLine="525" w:firstLineChars="250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（一）项目概况。</w:t>
      </w:r>
    </w:p>
    <w:p>
      <w:pPr>
        <w:topLinePunct/>
        <w:spacing w:line="440" w:lineRule="exact"/>
        <w:ind w:firstLine="525" w:firstLineChars="250"/>
        <w:rPr>
          <w:rFonts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1.立项背景及目的。</w:t>
      </w:r>
    </w:p>
    <w:p>
      <w:pPr>
        <w:topLinePunct/>
        <w:spacing w:line="440" w:lineRule="exact"/>
        <w:ind w:firstLine="525" w:firstLineChars="250"/>
        <w:rPr>
          <w:rFonts w:hint="default" w:ascii="仿宋_GB2312" w:hAnsi="楷体" w:eastAsia="仿宋_GB2312"/>
          <w:szCs w:val="32"/>
          <w:lang w:val="en-US" w:eastAsia="zh-CN"/>
        </w:rPr>
      </w:pPr>
      <w:r>
        <w:rPr>
          <w:rFonts w:hint="default" w:ascii="仿宋_GB2312" w:hAnsi="楷体" w:eastAsia="仿宋_GB2312"/>
          <w:szCs w:val="32"/>
        </w:rPr>
        <w:t>为全面贯彻落实省、市、区对</w:t>
      </w:r>
      <w:r>
        <w:rPr>
          <w:rFonts w:hint="eastAsia" w:ascii="仿宋_GB2312" w:hAnsi="楷体" w:eastAsia="仿宋_GB2312"/>
          <w:szCs w:val="32"/>
          <w:lang w:eastAsia="zh-CN"/>
        </w:rPr>
        <w:t>“厕所革命”</w:t>
      </w:r>
      <w:r>
        <w:rPr>
          <w:rFonts w:hint="default" w:ascii="仿宋_GB2312" w:hAnsi="楷体" w:eastAsia="仿宋_GB2312"/>
          <w:szCs w:val="32"/>
        </w:rPr>
        <w:t>的有关会议精神，按照《关于提前下达2020年中央农村“厕所革命”整村推进财政奖补资金的通知》下达盘龙区308.55万作为管护资金，对已建成农村卫生厕所管护实现基本全覆盖，用于支持粪污收集、存储等无害化处理和资源化利用设施设备建设</w:t>
      </w:r>
      <w:r>
        <w:rPr>
          <w:rFonts w:hint="default" w:ascii="仿宋_GB2312" w:hAnsi="楷体" w:eastAsia="仿宋_GB2312"/>
          <w:szCs w:val="32"/>
          <w:lang w:val="en-US" w:eastAsia="zh-CN"/>
        </w:rPr>
        <w:t>。</w:t>
      </w:r>
    </w:p>
    <w:p>
      <w:pPr>
        <w:topLinePunct/>
        <w:spacing w:line="440" w:lineRule="exact"/>
        <w:ind w:firstLine="525" w:firstLineChars="250"/>
        <w:rPr>
          <w:rFonts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2.项目实施情况。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《关于拨付松华等街道办事处农村无害化卫生户厕建设经费的通知》（盘农通〔2020〕42号），2020年下达双龙、松华、滇源、阿子营街道658.17万元开展建设，其中包含中央奖补资金308.55万元，由街道牵头实施完成。</w:t>
      </w:r>
    </w:p>
    <w:p>
      <w:pPr>
        <w:topLinePunct/>
        <w:spacing w:line="440" w:lineRule="exact"/>
        <w:ind w:firstLine="525" w:firstLineChars="250"/>
        <w:rPr>
          <w:rFonts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3.资金来源及使用情况。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  <w:lang w:eastAsia="zh-CN"/>
        </w:rPr>
      </w:pPr>
      <w:r>
        <w:rPr>
          <w:rFonts w:hint="eastAsia" w:ascii="仿宋_GB2312" w:hAnsi="楷体" w:eastAsia="仿宋_GB2312"/>
          <w:szCs w:val="32"/>
          <w:lang w:eastAsia="zh-CN"/>
        </w:rPr>
        <w:t>《关于提前下达2020年中央农村“厕所革命”整村推进财政奖补资金的通知》下达盘龙区308.55万作为管护资金。拨付双龙、松华、滇源、阿子营街道完成。</w:t>
      </w:r>
    </w:p>
    <w:p>
      <w:pPr>
        <w:numPr>
          <w:ilvl w:val="0"/>
          <w:numId w:val="2"/>
        </w:num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组织及管理情况。</w:t>
      </w:r>
    </w:p>
    <w:p>
      <w:pPr>
        <w:topLinePunct/>
        <w:spacing w:line="440" w:lineRule="exact"/>
        <w:ind w:firstLine="525" w:firstLineChars="250"/>
        <w:rPr>
          <w:rFonts w:hint="default" w:ascii="仿宋_GB2312" w:hAnsi="楷体" w:eastAsia="仿宋_GB2312"/>
          <w:szCs w:val="32"/>
          <w:lang w:val="en-US" w:eastAsia="zh-CN"/>
        </w:rPr>
      </w:pPr>
      <w:r>
        <w:rPr>
          <w:rFonts w:hint="eastAsia" w:ascii="仿宋_GB2312" w:hAnsi="楷体" w:eastAsia="仿宋_GB2312"/>
          <w:szCs w:val="32"/>
          <w:lang w:val="en-US" w:eastAsia="zh-CN"/>
        </w:rPr>
        <w:t>项目由村级组织实施，对项目建设进行监督管理，项目完成后交由村民进行管护。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  <w:lang w:val="en-US" w:eastAsia="zh-CN"/>
        </w:rPr>
      </w:pPr>
      <w:r>
        <w:rPr>
          <w:rFonts w:hint="eastAsia" w:ascii="仿宋_GB2312" w:hAnsi="楷体" w:eastAsia="仿宋_GB2312"/>
          <w:szCs w:val="32"/>
          <w:lang w:val="en-US" w:eastAsia="zh-CN"/>
        </w:rPr>
        <w:t>（二）绩效目标。</w:t>
      </w:r>
    </w:p>
    <w:p>
      <w:pPr>
        <w:topLinePunct/>
        <w:spacing w:line="440" w:lineRule="exact"/>
        <w:ind w:firstLine="525" w:firstLineChars="250"/>
        <w:rPr>
          <w:rFonts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1.总目标。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  <w:lang w:eastAsia="zh-CN"/>
        </w:rPr>
        <w:t>目前已建成农村卫生厕所管护基本全覆盖</w:t>
      </w:r>
      <w:r>
        <w:rPr>
          <w:rFonts w:hint="eastAsia" w:ascii="仿宋_GB2312" w:hAnsi="楷体" w:eastAsia="仿宋_GB2312"/>
          <w:szCs w:val="32"/>
        </w:rPr>
        <w:t>，进一步改善</w:t>
      </w:r>
      <w:r>
        <w:rPr>
          <w:rFonts w:hint="eastAsia" w:ascii="仿宋_GB2312" w:hAnsi="楷体" w:eastAsia="仿宋_GB2312"/>
          <w:szCs w:val="32"/>
          <w:lang w:eastAsia="zh-CN"/>
        </w:rPr>
        <w:t>各街道</w:t>
      </w:r>
      <w:r>
        <w:rPr>
          <w:rFonts w:hint="eastAsia" w:ascii="仿宋_GB2312" w:hAnsi="楷体" w:eastAsia="仿宋_GB2312"/>
          <w:szCs w:val="32"/>
        </w:rPr>
        <w:t>农村人居环境。</w:t>
      </w:r>
    </w:p>
    <w:p>
      <w:pPr>
        <w:topLinePunct/>
        <w:spacing w:line="440" w:lineRule="exact"/>
        <w:ind w:firstLine="525" w:firstLineChars="250"/>
        <w:rPr>
          <w:rFonts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2.年度目标。包括产出目标、效果目标。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  <w:lang w:eastAsia="zh-CN"/>
        </w:rPr>
      </w:pPr>
      <w:r>
        <w:rPr>
          <w:rFonts w:hint="eastAsia" w:ascii="仿宋_GB2312" w:hAnsi="楷体" w:eastAsia="仿宋_GB2312"/>
          <w:szCs w:val="32"/>
          <w:lang w:eastAsia="zh-CN"/>
        </w:rPr>
        <w:t>产出目标：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  <w:lang w:eastAsia="zh-CN"/>
        </w:rPr>
      </w:pPr>
      <w:r>
        <w:rPr>
          <w:rFonts w:hint="eastAsia" w:ascii="仿宋_GB2312" w:hAnsi="楷体" w:eastAsia="仿宋_GB2312"/>
          <w:szCs w:val="32"/>
        </w:rPr>
        <w:t>数量指标</w:t>
      </w:r>
      <w:r>
        <w:rPr>
          <w:rFonts w:hint="eastAsia" w:ascii="仿宋_GB2312" w:hAnsi="楷体" w:eastAsia="仿宋_GB2312"/>
          <w:szCs w:val="32"/>
          <w:lang w:eastAsia="zh-CN"/>
        </w:rPr>
        <w:t>：</w:t>
      </w:r>
      <w:r>
        <w:rPr>
          <w:rFonts w:hint="eastAsia" w:ascii="仿宋_GB2312" w:hAnsi="楷体" w:eastAsia="仿宋_GB2312"/>
          <w:szCs w:val="32"/>
        </w:rPr>
        <w:t>已建成农村卫生厕所管护基本全覆盖</w:t>
      </w:r>
      <w:r>
        <w:rPr>
          <w:rFonts w:hint="eastAsia" w:ascii="仿宋_GB2312" w:hAnsi="楷体" w:eastAsia="仿宋_GB2312"/>
          <w:szCs w:val="32"/>
          <w:lang w:eastAsia="zh-CN"/>
        </w:rPr>
        <w:t>；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  <w:lang w:eastAsia="zh-CN"/>
        </w:rPr>
      </w:pPr>
      <w:r>
        <w:rPr>
          <w:rFonts w:hint="eastAsia" w:ascii="仿宋_GB2312" w:hAnsi="楷体" w:eastAsia="仿宋_GB2312"/>
          <w:szCs w:val="32"/>
        </w:rPr>
        <w:t>质量指标</w:t>
      </w:r>
      <w:r>
        <w:rPr>
          <w:rFonts w:hint="eastAsia" w:ascii="仿宋_GB2312" w:hAnsi="楷体" w:eastAsia="仿宋_GB2312"/>
          <w:szCs w:val="32"/>
          <w:lang w:eastAsia="zh-CN"/>
        </w:rPr>
        <w:t>：改厕设施合格率≥</w:t>
      </w:r>
      <w:r>
        <w:rPr>
          <w:rFonts w:hint="eastAsia" w:ascii="仿宋_GB2312" w:hAnsi="楷体" w:eastAsia="仿宋_GB2312"/>
          <w:szCs w:val="32"/>
          <w:lang w:val="en-US" w:eastAsia="zh-CN"/>
        </w:rPr>
        <w:t>9</w:t>
      </w:r>
      <w:r>
        <w:rPr>
          <w:rFonts w:hint="eastAsia" w:ascii="仿宋_GB2312" w:hAnsi="楷体" w:eastAsia="仿宋_GB2312"/>
          <w:szCs w:val="32"/>
        </w:rPr>
        <w:t>0%</w:t>
      </w:r>
      <w:r>
        <w:rPr>
          <w:rFonts w:hint="eastAsia" w:ascii="仿宋_GB2312" w:hAnsi="楷体" w:eastAsia="仿宋_GB2312"/>
          <w:szCs w:val="32"/>
          <w:lang w:eastAsia="zh-CN"/>
        </w:rPr>
        <w:t>；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  <w:lang w:eastAsia="zh-CN"/>
        </w:rPr>
      </w:pPr>
      <w:r>
        <w:rPr>
          <w:rFonts w:hint="eastAsia" w:ascii="仿宋_GB2312" w:hAnsi="楷体" w:eastAsia="仿宋_GB2312"/>
          <w:szCs w:val="32"/>
        </w:rPr>
        <w:t>时效指标</w:t>
      </w:r>
      <w:r>
        <w:rPr>
          <w:rFonts w:hint="eastAsia" w:ascii="仿宋_GB2312" w:hAnsi="楷体" w:eastAsia="仿宋_GB2312"/>
          <w:szCs w:val="32"/>
          <w:lang w:eastAsia="zh-CN"/>
        </w:rPr>
        <w:t>：</w:t>
      </w:r>
      <w:r>
        <w:rPr>
          <w:rFonts w:hint="eastAsia" w:ascii="仿宋_GB2312" w:hAnsi="楷体" w:eastAsia="仿宋_GB2312"/>
          <w:szCs w:val="32"/>
        </w:rPr>
        <w:t>20</w:t>
      </w:r>
      <w:r>
        <w:rPr>
          <w:rFonts w:hint="eastAsia" w:ascii="仿宋_GB2312" w:hAnsi="楷体" w:eastAsia="仿宋_GB2312"/>
          <w:szCs w:val="32"/>
          <w:lang w:val="en-US" w:eastAsia="zh-CN"/>
        </w:rPr>
        <w:t>20</w:t>
      </w:r>
      <w:r>
        <w:rPr>
          <w:rFonts w:hint="eastAsia" w:ascii="仿宋_GB2312" w:hAnsi="楷体" w:eastAsia="仿宋_GB2312"/>
          <w:szCs w:val="32"/>
        </w:rPr>
        <w:t>年完成</w:t>
      </w:r>
      <w:r>
        <w:rPr>
          <w:rFonts w:hint="eastAsia" w:ascii="仿宋_GB2312" w:hAnsi="楷体" w:eastAsia="仿宋_GB2312"/>
          <w:szCs w:val="32"/>
          <w:lang w:eastAsia="zh-CN"/>
        </w:rPr>
        <w:t>。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  <w:lang w:eastAsia="zh-CN"/>
        </w:rPr>
      </w:pPr>
      <w:r>
        <w:rPr>
          <w:rFonts w:hint="eastAsia" w:ascii="仿宋_GB2312" w:hAnsi="楷体" w:eastAsia="仿宋_GB2312"/>
          <w:szCs w:val="32"/>
        </w:rPr>
        <w:t>成本指标</w:t>
      </w:r>
      <w:r>
        <w:rPr>
          <w:rFonts w:hint="eastAsia" w:ascii="仿宋_GB2312" w:hAnsi="楷体" w:eastAsia="仿宋_GB2312"/>
          <w:szCs w:val="32"/>
          <w:lang w:eastAsia="zh-CN"/>
        </w:rPr>
        <w:t>：</w:t>
      </w:r>
      <w:r>
        <w:rPr>
          <w:rFonts w:hint="eastAsia" w:ascii="仿宋_GB2312" w:hAnsi="楷体" w:eastAsia="仿宋_GB2312"/>
          <w:szCs w:val="32"/>
          <w:lang w:val="en-US" w:eastAsia="zh-CN"/>
        </w:rPr>
        <w:t>308.55</w:t>
      </w:r>
      <w:r>
        <w:rPr>
          <w:rFonts w:hint="eastAsia" w:ascii="仿宋_GB2312" w:hAnsi="楷体" w:eastAsia="仿宋_GB2312"/>
          <w:szCs w:val="32"/>
        </w:rPr>
        <w:t>万元奖补资金</w:t>
      </w:r>
      <w:r>
        <w:rPr>
          <w:rFonts w:hint="eastAsia" w:ascii="仿宋_GB2312" w:hAnsi="楷体" w:eastAsia="仿宋_GB2312"/>
          <w:szCs w:val="32"/>
          <w:lang w:eastAsia="zh-CN"/>
        </w:rPr>
        <w:t>；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  <w:lang w:eastAsia="zh-CN"/>
        </w:rPr>
      </w:pPr>
      <w:r>
        <w:rPr>
          <w:rFonts w:hint="eastAsia" w:ascii="仿宋_GB2312" w:hAnsi="楷体" w:eastAsia="仿宋_GB2312"/>
          <w:szCs w:val="32"/>
          <w:lang w:eastAsia="zh-CN"/>
        </w:rPr>
        <w:t>效果目标：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  <w:lang w:eastAsia="zh-CN"/>
        </w:rPr>
      </w:pPr>
      <w:r>
        <w:rPr>
          <w:rFonts w:hint="eastAsia" w:ascii="仿宋_GB2312" w:hAnsi="楷体" w:eastAsia="仿宋_GB2312"/>
          <w:szCs w:val="32"/>
        </w:rPr>
        <w:t>经济效益指标</w:t>
      </w:r>
      <w:r>
        <w:rPr>
          <w:rFonts w:hint="eastAsia" w:ascii="仿宋_GB2312" w:hAnsi="楷体" w:eastAsia="仿宋_GB2312"/>
          <w:szCs w:val="32"/>
          <w:lang w:eastAsia="zh-CN"/>
        </w:rPr>
        <w:t>：</w:t>
      </w:r>
      <w:r>
        <w:rPr>
          <w:rFonts w:hint="eastAsia" w:ascii="仿宋_GB2312" w:hAnsi="楷体" w:eastAsia="仿宋_GB2312"/>
          <w:szCs w:val="32"/>
        </w:rPr>
        <w:t>项目为非盈利性质，不产生直接经济效益，通过提高项目村居民生产生活水平</w:t>
      </w:r>
      <w:r>
        <w:rPr>
          <w:rFonts w:hint="eastAsia" w:ascii="仿宋_GB2312" w:hAnsi="楷体" w:eastAsia="仿宋_GB2312"/>
          <w:szCs w:val="32"/>
          <w:lang w:eastAsia="zh-CN"/>
        </w:rPr>
        <w:t>；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  <w:lang w:eastAsia="zh-CN"/>
        </w:rPr>
      </w:pPr>
      <w:r>
        <w:rPr>
          <w:rFonts w:hint="eastAsia" w:ascii="仿宋_GB2312" w:hAnsi="楷体" w:eastAsia="仿宋_GB2312"/>
          <w:szCs w:val="32"/>
        </w:rPr>
        <w:t>社会效益指标</w:t>
      </w:r>
      <w:r>
        <w:rPr>
          <w:rFonts w:hint="eastAsia" w:ascii="仿宋_GB2312" w:hAnsi="楷体" w:eastAsia="仿宋_GB2312"/>
          <w:szCs w:val="32"/>
          <w:lang w:eastAsia="zh-CN"/>
        </w:rPr>
        <w:t>：当年完成农村“厕所革命”整村推进行政村的粪污无害化处理或资源化利用基本实现；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  <w:lang w:eastAsia="zh-CN"/>
        </w:rPr>
      </w:pPr>
      <w:r>
        <w:rPr>
          <w:rFonts w:hint="eastAsia" w:ascii="仿宋_GB2312" w:hAnsi="楷体" w:eastAsia="仿宋_GB2312"/>
          <w:szCs w:val="32"/>
        </w:rPr>
        <w:t>生态效益指标</w:t>
      </w:r>
      <w:r>
        <w:rPr>
          <w:rFonts w:hint="eastAsia" w:ascii="仿宋_GB2312" w:hAnsi="楷体" w:eastAsia="仿宋_GB2312"/>
          <w:szCs w:val="32"/>
          <w:lang w:eastAsia="zh-CN"/>
        </w:rPr>
        <w:t>：</w:t>
      </w:r>
      <w:r>
        <w:rPr>
          <w:rFonts w:hint="eastAsia" w:ascii="仿宋_GB2312" w:hAnsi="楷体" w:eastAsia="仿宋_GB2312"/>
          <w:szCs w:val="32"/>
        </w:rPr>
        <w:t>通过</w:t>
      </w:r>
      <w:r>
        <w:rPr>
          <w:rFonts w:hint="eastAsia" w:ascii="仿宋_GB2312" w:hAnsi="楷体" w:eastAsia="仿宋_GB2312"/>
          <w:szCs w:val="32"/>
          <w:lang w:eastAsia="zh-CN"/>
        </w:rPr>
        <w:t>粪污无害化处理及资源化利用</w:t>
      </w:r>
      <w:r>
        <w:rPr>
          <w:rFonts w:hint="eastAsia" w:ascii="仿宋_GB2312" w:hAnsi="楷体" w:eastAsia="仿宋_GB2312"/>
          <w:szCs w:val="32"/>
        </w:rPr>
        <w:t>，降低水源区污染</w:t>
      </w:r>
      <w:r>
        <w:rPr>
          <w:rFonts w:hint="eastAsia" w:ascii="仿宋_GB2312" w:hAnsi="楷体" w:eastAsia="仿宋_GB2312"/>
          <w:szCs w:val="32"/>
          <w:lang w:eastAsia="zh-CN"/>
        </w:rPr>
        <w:t>；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  <w:lang w:eastAsia="zh-CN"/>
        </w:rPr>
      </w:pPr>
      <w:r>
        <w:rPr>
          <w:rFonts w:hint="eastAsia" w:ascii="仿宋_GB2312" w:hAnsi="楷体" w:eastAsia="仿宋_GB2312"/>
          <w:szCs w:val="32"/>
        </w:rPr>
        <w:t>可持续影响指标</w:t>
      </w:r>
      <w:r>
        <w:rPr>
          <w:rFonts w:hint="eastAsia" w:ascii="仿宋_GB2312" w:hAnsi="楷体" w:eastAsia="仿宋_GB2312"/>
          <w:szCs w:val="32"/>
          <w:lang w:eastAsia="zh-CN"/>
        </w:rPr>
        <w:t>：初步建立农村厕所长效管护机制；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服务对象满意度指标</w:t>
      </w:r>
      <w:r>
        <w:rPr>
          <w:rFonts w:hint="eastAsia" w:ascii="仿宋_GB2312" w:hAnsi="楷体" w:eastAsia="仿宋_GB2312"/>
          <w:szCs w:val="32"/>
          <w:lang w:eastAsia="zh-CN"/>
        </w:rPr>
        <w:t>：</w:t>
      </w:r>
      <w:r>
        <w:rPr>
          <w:rFonts w:hint="eastAsia" w:ascii="仿宋_GB2312" w:hAnsi="楷体" w:eastAsia="仿宋_GB2312"/>
          <w:szCs w:val="32"/>
        </w:rPr>
        <w:t>项目服务对象满意度达95%。</w:t>
      </w:r>
    </w:p>
    <w:p>
      <w:pPr>
        <w:topLinePunct/>
        <w:spacing w:line="440" w:lineRule="exact"/>
        <w:ind w:firstLine="525" w:firstLineChars="250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二、绩效评价工作情况</w:t>
      </w:r>
    </w:p>
    <w:p>
      <w:pPr>
        <w:topLinePunct/>
        <w:spacing w:line="440" w:lineRule="exact"/>
        <w:ind w:firstLine="525" w:firstLineChars="250"/>
        <w:rPr>
          <w:rFonts w:ascii="仿宋_GB2312" w:hAnsi="楷体" w:eastAsia="仿宋_GB2312"/>
          <w:szCs w:val="32"/>
        </w:rPr>
      </w:pPr>
      <w:r>
        <w:rPr>
          <w:rFonts w:hint="eastAsia" w:ascii="楷体" w:hAnsi="楷体" w:eastAsia="楷体"/>
          <w:szCs w:val="32"/>
        </w:rPr>
        <w:t>（一）绩效评价目的。</w:t>
      </w:r>
      <w:r>
        <w:rPr>
          <w:rFonts w:hint="eastAsia" w:ascii="仿宋_GB2312" w:hAnsi="楷体" w:eastAsia="仿宋_GB2312"/>
          <w:szCs w:val="32"/>
        </w:rPr>
        <w:t>全面了解项目管理过程是否规范、产出目标是否完成以及效果目标是否实现等方面的内容，总结经验，查找不足，为项目在以后年度的开展提供可行性参考建议。在此基础上，重点分析项目预算编制的合理性、成本支出的真实性和控制有效性，评价财政资金的使用效率和效果，为以后年度编制项目预算、选择项目实施主体等提供参考依据。</w:t>
      </w:r>
    </w:p>
    <w:p>
      <w:pPr>
        <w:topLinePunct/>
        <w:spacing w:line="440" w:lineRule="exact"/>
        <w:ind w:firstLine="525" w:firstLineChars="250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（二）绩效评价工作方案制定过程。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1.前期调研。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  <w:lang w:eastAsia="zh-CN"/>
        </w:rPr>
      </w:pPr>
      <w:r>
        <w:rPr>
          <w:rFonts w:hint="eastAsia" w:ascii="仿宋_GB2312" w:hAnsi="楷体" w:eastAsia="仿宋_GB2312"/>
          <w:szCs w:val="32"/>
        </w:rPr>
        <w:t>2019年通过</w:t>
      </w:r>
      <w:r>
        <w:rPr>
          <w:rFonts w:hint="eastAsia" w:ascii="仿宋_GB2312" w:hAnsi="楷体" w:eastAsia="仿宋_GB2312"/>
          <w:szCs w:val="32"/>
          <w:lang w:eastAsia="zh-CN"/>
        </w:rPr>
        <w:t>走访调研，实施</w:t>
      </w:r>
      <w:r>
        <w:rPr>
          <w:rFonts w:hint="eastAsia" w:ascii="仿宋_GB2312" w:hAnsi="楷体" w:eastAsia="仿宋_GB2312"/>
          <w:szCs w:val="32"/>
          <w:lang w:val="en-US" w:eastAsia="zh-CN"/>
        </w:rPr>
        <w:t>6662座农村卫生厕所改造</w:t>
      </w:r>
      <w:r>
        <w:rPr>
          <w:rFonts w:hint="eastAsia" w:ascii="仿宋_GB2312" w:hAnsi="楷体" w:eastAsia="仿宋_GB2312"/>
          <w:szCs w:val="32"/>
        </w:rPr>
        <w:t>，</w:t>
      </w:r>
      <w:r>
        <w:rPr>
          <w:rFonts w:hint="eastAsia" w:ascii="仿宋_GB2312" w:hAnsi="楷体" w:eastAsia="仿宋_GB2312"/>
          <w:szCs w:val="32"/>
          <w:lang w:eastAsia="zh-CN"/>
        </w:rPr>
        <w:t>对管护提要求。</w:t>
      </w:r>
    </w:p>
    <w:p>
      <w:pPr>
        <w:numPr>
          <w:ilvl w:val="0"/>
          <w:numId w:val="3"/>
        </w:num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研究文件。</w:t>
      </w:r>
    </w:p>
    <w:p>
      <w:pPr>
        <w:numPr>
          <w:ilvl w:val="0"/>
          <w:numId w:val="0"/>
        </w:numPr>
        <w:topLinePunct/>
        <w:spacing w:line="440" w:lineRule="exact"/>
        <w:ind w:firstLine="420" w:firstLineChars="200"/>
        <w:rPr>
          <w:rFonts w:hint="eastAsia" w:ascii="仿宋_GB2312" w:hAnsi="楷体" w:eastAsia="仿宋_GB2312"/>
          <w:szCs w:val="32"/>
          <w:lang w:eastAsia="zh-CN"/>
        </w:rPr>
      </w:pPr>
      <w:r>
        <w:rPr>
          <w:rFonts w:hint="eastAsia" w:ascii="仿宋_GB2312" w:hAnsi="楷体" w:eastAsia="仿宋_GB2312"/>
          <w:szCs w:val="32"/>
        </w:rPr>
        <w:t>《关于提前下达2020年中央农村“厕所革命”整村推进财政奖补资金的通知》</w:t>
      </w:r>
      <w:r>
        <w:rPr>
          <w:rFonts w:hint="eastAsia" w:ascii="仿宋_GB2312" w:hAnsi="楷体" w:eastAsia="仿宋_GB2312"/>
          <w:szCs w:val="32"/>
          <w:lang w:eastAsia="zh-CN"/>
        </w:rPr>
        <w:t>。</w:t>
      </w:r>
    </w:p>
    <w:p>
      <w:pPr>
        <w:numPr>
          <w:ilvl w:val="0"/>
          <w:numId w:val="3"/>
        </w:numPr>
        <w:topLinePunct/>
        <w:spacing w:line="440" w:lineRule="exact"/>
        <w:ind w:left="0" w:leftChars="0" w:firstLine="525" w:firstLineChars="250"/>
        <w:rPr>
          <w:rFonts w:hint="eastAsia"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绩效评价指标体系及工作方案的设计。</w:t>
      </w:r>
    </w:p>
    <w:p>
      <w:pPr>
        <w:numPr>
          <w:ilvl w:val="0"/>
          <w:numId w:val="0"/>
        </w:numPr>
        <w:topLinePunct/>
        <w:spacing w:line="440" w:lineRule="exact"/>
        <w:ind w:firstLine="420" w:firstLineChars="200"/>
        <w:rPr>
          <w:rFonts w:hint="eastAsia" w:ascii="仿宋_GB2312" w:hAnsi="楷体" w:eastAsia="仿宋_GB2312"/>
          <w:szCs w:val="32"/>
          <w:lang w:eastAsia="zh-CN"/>
        </w:rPr>
      </w:pPr>
      <w:r>
        <w:rPr>
          <w:rFonts w:hint="eastAsia" w:ascii="仿宋_GB2312" w:hAnsi="楷体" w:eastAsia="仿宋_GB2312"/>
          <w:szCs w:val="32"/>
          <w:lang w:eastAsia="zh-CN"/>
        </w:rPr>
        <w:t>纳入区农业农村局统一评价指标体系，制定《</w:t>
      </w:r>
      <w:r>
        <w:rPr>
          <w:rFonts w:hint="eastAsia" w:ascii="仿宋_GB2312" w:hAnsi="楷体" w:eastAsia="仿宋_GB2312"/>
          <w:szCs w:val="32"/>
        </w:rPr>
        <w:t>盘龙区农村厕所管护资金使用方案</w:t>
      </w:r>
      <w:r>
        <w:rPr>
          <w:rFonts w:hint="eastAsia" w:ascii="仿宋_GB2312" w:hAnsi="楷体" w:eastAsia="仿宋_GB2312"/>
          <w:szCs w:val="32"/>
          <w:lang w:eastAsia="zh-CN"/>
        </w:rPr>
        <w:t>》。</w:t>
      </w:r>
    </w:p>
    <w:p>
      <w:pPr>
        <w:topLinePunct/>
        <w:spacing w:line="440" w:lineRule="exact"/>
        <w:ind w:firstLine="525" w:firstLineChars="250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（三）绩效评价原则、评价方法</w:t>
      </w:r>
    </w:p>
    <w:p>
      <w:pPr>
        <w:topLinePunct/>
        <w:spacing w:line="440" w:lineRule="exact"/>
        <w:ind w:firstLine="525" w:firstLineChars="250"/>
        <w:rPr>
          <w:rFonts w:hint="eastAsia"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1.绩效评价原则。</w:t>
      </w:r>
    </w:p>
    <w:p>
      <w:pPr>
        <w:topLinePunct/>
        <w:spacing w:line="440" w:lineRule="exact"/>
        <w:ind w:firstLine="525" w:firstLineChars="250"/>
        <w:rPr>
          <w:rFonts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包括科学规范、公开公正、绩效相关等原则。</w:t>
      </w:r>
    </w:p>
    <w:p>
      <w:pPr>
        <w:numPr>
          <w:ilvl w:val="0"/>
          <w:numId w:val="4"/>
        </w:numPr>
        <w:topLinePunct/>
        <w:spacing w:line="440" w:lineRule="exact"/>
        <w:ind w:firstLine="525" w:firstLineChars="250"/>
        <w:rPr>
          <w:rFonts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绩效评价方法。</w:t>
      </w:r>
    </w:p>
    <w:p>
      <w:pPr>
        <w:numPr>
          <w:ilvl w:val="0"/>
          <w:numId w:val="0"/>
        </w:numPr>
        <w:topLinePunct/>
        <w:spacing w:line="440" w:lineRule="exact"/>
        <w:ind w:firstLine="420" w:firstLineChars="200"/>
        <w:rPr>
          <w:rFonts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包括指标评价、数据采集和社会调查中所采用的方法。</w:t>
      </w:r>
    </w:p>
    <w:p>
      <w:pPr>
        <w:topLinePunct/>
        <w:spacing w:line="440" w:lineRule="exact"/>
        <w:ind w:firstLine="525" w:firstLineChars="250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（四）绩效评价实施过程</w:t>
      </w:r>
    </w:p>
    <w:p>
      <w:pPr>
        <w:topLinePunct/>
        <w:spacing w:line="440" w:lineRule="exact"/>
        <w:ind w:firstLine="525" w:firstLineChars="250"/>
        <w:rPr>
          <w:rFonts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1.数据填报和采集。</w:t>
      </w:r>
    </w:p>
    <w:p>
      <w:pPr>
        <w:topLinePunct/>
        <w:spacing w:line="440" w:lineRule="exact"/>
        <w:ind w:firstLine="525" w:firstLineChars="250"/>
        <w:rPr>
          <w:rFonts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2.社会调查。</w:t>
      </w:r>
    </w:p>
    <w:p>
      <w:pPr>
        <w:topLinePunct/>
        <w:spacing w:line="440" w:lineRule="exact"/>
        <w:ind w:firstLine="525" w:firstLineChars="250"/>
        <w:rPr>
          <w:rFonts w:ascii="仿宋_GB2312" w:hAnsi="楷体" w:eastAsia="仿宋_GB2312"/>
          <w:szCs w:val="32"/>
        </w:rPr>
      </w:pPr>
      <w:r>
        <w:rPr>
          <w:rFonts w:hint="eastAsia" w:ascii="仿宋_GB2312" w:hAnsi="楷体" w:eastAsia="仿宋_GB2312"/>
          <w:szCs w:val="32"/>
        </w:rPr>
        <w:t>3.数据分析和撰写报告。</w:t>
      </w:r>
    </w:p>
    <w:p>
      <w:pPr>
        <w:topLinePunct/>
        <w:spacing w:line="440" w:lineRule="exact"/>
        <w:ind w:firstLine="525" w:firstLineChars="250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（五）本次绩效评价的局限性。</w:t>
      </w:r>
    </w:p>
    <w:p>
      <w:pPr>
        <w:topLinePunct/>
        <w:spacing w:line="440" w:lineRule="exact"/>
        <w:ind w:firstLine="525" w:firstLineChars="250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三、评价结论和绩效分析</w:t>
      </w:r>
    </w:p>
    <w:p>
      <w:pPr>
        <w:topLinePunct/>
        <w:spacing w:line="440" w:lineRule="exact"/>
        <w:ind w:firstLine="525" w:firstLineChars="250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（一）评价结论。</w:t>
      </w:r>
    </w:p>
    <w:p>
      <w:pPr>
        <w:topLinePunct/>
        <w:spacing w:line="440" w:lineRule="exact"/>
        <w:ind w:firstLine="525" w:firstLineChars="250"/>
        <w:rPr>
          <w:rFonts w:ascii="仿宋_GB2312" w:hAnsi="仿宋" w:eastAsia="仿宋_GB2312"/>
          <w:szCs w:val="32"/>
        </w:rPr>
      </w:pPr>
      <w:r>
        <w:rPr>
          <w:rFonts w:hint="eastAsia" w:ascii="仿宋_GB2312" w:hAnsi="仿宋" w:eastAsia="仿宋_GB2312"/>
          <w:szCs w:val="32"/>
        </w:rPr>
        <w:t>1.评价结果。</w:t>
      </w:r>
    </w:p>
    <w:p>
      <w:pPr>
        <w:topLinePunct/>
        <w:spacing w:line="440" w:lineRule="exact"/>
        <w:ind w:firstLine="525" w:firstLineChars="250"/>
        <w:rPr>
          <w:rFonts w:ascii="仿宋_GB2312" w:hAnsi="仿宋" w:eastAsia="仿宋_GB2312"/>
          <w:szCs w:val="32"/>
        </w:rPr>
      </w:pPr>
      <w:r>
        <w:rPr>
          <w:rFonts w:hint="eastAsia" w:ascii="仿宋_GB2312" w:hAnsi="仿宋" w:eastAsia="仿宋_GB2312"/>
          <w:szCs w:val="32"/>
        </w:rPr>
        <w:t>2.主要绩效。</w:t>
      </w:r>
    </w:p>
    <w:p>
      <w:pPr>
        <w:topLinePunct/>
        <w:spacing w:line="440" w:lineRule="exact"/>
        <w:ind w:firstLine="525" w:firstLineChars="250"/>
        <w:rPr>
          <w:rFonts w:ascii="仿宋" w:hAnsi="仿宋" w:eastAsia="仿宋"/>
          <w:szCs w:val="32"/>
        </w:rPr>
      </w:pPr>
      <w:r>
        <w:rPr>
          <w:rFonts w:hint="eastAsia" w:ascii="楷体" w:hAnsi="楷体" w:eastAsia="楷体"/>
          <w:szCs w:val="32"/>
        </w:rPr>
        <w:t>（二）具体绩效分析。</w:t>
      </w:r>
      <w:r>
        <w:rPr>
          <w:rFonts w:hint="eastAsia" w:ascii="仿宋" w:hAnsi="仿宋" w:eastAsia="仿宋"/>
          <w:szCs w:val="32"/>
        </w:rPr>
        <w:t>对照绩效评价指标体系逐项进行分析、评价并打分。</w:t>
      </w:r>
    </w:p>
    <w:p>
      <w:pPr>
        <w:topLinePunct/>
        <w:spacing w:line="440" w:lineRule="exact"/>
        <w:ind w:firstLine="525" w:firstLineChars="250"/>
        <w:rPr>
          <w:rFonts w:ascii="仿宋_GB2312" w:hAnsi="黑体" w:eastAsia="仿宋_GB2312"/>
          <w:szCs w:val="32"/>
        </w:rPr>
      </w:pPr>
      <w:r>
        <w:rPr>
          <w:rFonts w:hint="eastAsia" w:ascii="黑体" w:hAnsi="黑体" w:eastAsia="黑体"/>
          <w:szCs w:val="32"/>
        </w:rPr>
        <w:t>四、成本效益分析。</w:t>
      </w:r>
      <w:r>
        <w:rPr>
          <w:rFonts w:hint="eastAsia" w:ascii="仿宋_GB2312" w:hAnsi="仿宋" w:eastAsia="仿宋_GB2312"/>
        </w:rPr>
        <w:t>对资金使用方向、资金收入和支出结构；项目和资金管理情况；资金的节约性、资金使用效果；变化趋势等进行分析评价。</w:t>
      </w:r>
    </w:p>
    <w:p>
      <w:pPr>
        <w:topLinePunct/>
        <w:spacing w:line="440" w:lineRule="exact"/>
        <w:ind w:firstLine="525" w:firstLineChars="250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五、主要经验及做法、存在的问题和建议</w:t>
      </w:r>
    </w:p>
    <w:p>
      <w:pPr>
        <w:topLinePunct/>
        <w:spacing w:line="440" w:lineRule="exact"/>
        <w:ind w:firstLine="525" w:firstLineChars="250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（一）主要经验及做法；</w:t>
      </w:r>
    </w:p>
    <w:p>
      <w:pPr>
        <w:topLinePunct/>
        <w:spacing w:line="440" w:lineRule="exact"/>
        <w:ind w:firstLine="525" w:firstLineChars="250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（二）存在的问题；</w:t>
      </w:r>
    </w:p>
    <w:p>
      <w:pPr>
        <w:topLinePunct/>
        <w:spacing w:line="440" w:lineRule="exact"/>
        <w:ind w:firstLine="525" w:firstLineChars="250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（三）建议和改进措施。</w:t>
      </w:r>
    </w:p>
    <w:p>
      <w:pPr>
        <w:spacing w:line="440" w:lineRule="exact"/>
        <w:rPr>
          <w:rFonts w:eastAsia="黑体"/>
        </w:rPr>
      </w:pPr>
    </w:p>
    <w:p>
      <w:pPr>
        <w:spacing w:line="440" w:lineRule="exact"/>
        <w:jc w:val="center"/>
        <w:rPr>
          <w:rFonts w:ascii="方正小标宋_GBK" w:eastAsia="方正小标宋_GBK"/>
        </w:rPr>
      </w:pPr>
      <w:r>
        <w:rPr>
          <w:rFonts w:hint="eastAsia" w:ascii="方正小标宋_GBK" w:eastAsia="方正小标宋_GBK"/>
        </w:rPr>
        <w:t>绩效评价报告正文后附以下佐证材料</w:t>
      </w:r>
    </w:p>
    <w:p>
      <w:pPr>
        <w:spacing w:line="440" w:lineRule="exact"/>
        <w:ind w:left="630" w:hanging="630" w:hangingChars="300"/>
        <w:jc w:val="left"/>
        <w:rPr>
          <w:rFonts w:ascii="仿宋_GB2312" w:hAnsi="仿宋" w:eastAsia="仿宋_GB2312"/>
        </w:rPr>
      </w:pPr>
      <w:r>
        <w:rPr>
          <w:rFonts w:hint="eastAsia" w:ascii="仿宋_GB2312" w:hAnsi="仿宋" w:eastAsia="仿宋_GB2312"/>
        </w:rPr>
        <w:t>1.绩效评价指标体系；</w:t>
      </w:r>
    </w:p>
    <w:p>
      <w:pPr>
        <w:spacing w:line="440" w:lineRule="exact"/>
        <w:ind w:left="630" w:hanging="630" w:hangingChars="300"/>
        <w:jc w:val="left"/>
        <w:rPr>
          <w:rFonts w:ascii="仿宋_GB2312" w:hAnsi="仿宋" w:eastAsia="仿宋_GB2312"/>
        </w:rPr>
      </w:pPr>
      <w:r>
        <w:rPr>
          <w:rFonts w:hint="eastAsia" w:ascii="仿宋_GB2312" w:hAnsi="仿宋" w:eastAsia="仿宋_GB2312"/>
        </w:rPr>
        <w:t>2.基础数据表（进行成本效益分析需采集的数据）；</w:t>
      </w:r>
    </w:p>
    <w:p>
      <w:pPr>
        <w:spacing w:line="440" w:lineRule="exact"/>
        <w:ind w:left="630" w:hanging="630" w:hangingChars="300"/>
        <w:jc w:val="left"/>
        <w:rPr>
          <w:rFonts w:ascii="仿宋_GB2312" w:hAnsi="仿宋" w:eastAsia="仿宋_GB2312"/>
        </w:rPr>
      </w:pPr>
      <w:r>
        <w:rPr>
          <w:rFonts w:hint="eastAsia" w:ascii="仿宋_GB2312" w:hAnsi="仿宋" w:eastAsia="仿宋_GB2312"/>
        </w:rPr>
        <w:t>3.访谈分析报告；</w:t>
      </w:r>
    </w:p>
    <w:p>
      <w:pPr>
        <w:spacing w:line="440" w:lineRule="exact"/>
        <w:ind w:left="630" w:hanging="630" w:hangingChars="300"/>
        <w:jc w:val="left"/>
        <w:rPr>
          <w:rFonts w:ascii="仿宋_GB2312" w:hAnsi="仿宋" w:eastAsia="仿宋_GB2312"/>
        </w:rPr>
      </w:pPr>
      <w:r>
        <w:rPr>
          <w:rFonts w:hint="eastAsia" w:ascii="仿宋_GB2312" w:hAnsi="仿宋" w:eastAsia="仿宋_GB2312"/>
        </w:rPr>
        <w:t>4.社会调查问卷分析报告；</w:t>
      </w:r>
    </w:p>
    <w:p>
      <w:pPr>
        <w:jc w:val="left"/>
        <w:rPr>
          <w:rFonts w:ascii="方正小标宋_GBK" w:eastAsia="方正小标宋_GBK"/>
          <w:sz w:val="32"/>
          <w:szCs w:val="32"/>
        </w:rPr>
      </w:pPr>
      <w:r>
        <w:rPr>
          <w:rFonts w:hint="eastAsia" w:ascii="仿宋_GB2312" w:hAnsi="仿宋" w:eastAsia="仿宋_GB2312"/>
        </w:rPr>
        <w:t>5.①市政府相关规划、决策、批复；②立项申请、批复文件；③绩效目标申报表。</w:t>
      </w:r>
    </w:p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39</w:t>
    </w:r>
    <w: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B017AAE"/>
    <w:multiLevelType w:val="singleLevel"/>
    <w:tmpl w:val="8B017AA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CCBE435"/>
    <w:multiLevelType w:val="singleLevel"/>
    <w:tmpl w:val="ACCBE435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49F1AED4"/>
    <w:multiLevelType w:val="singleLevel"/>
    <w:tmpl w:val="49F1AED4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57DA7143"/>
    <w:multiLevelType w:val="singleLevel"/>
    <w:tmpl w:val="57DA7143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7A27BC"/>
    <w:rsid w:val="32870990"/>
    <w:rsid w:val="5A570047"/>
    <w:rsid w:val="727A27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customStyle="1" w:styleId="7">
    <w:name w:val="正文 A"/>
    <w:uiPriority w:val="99"/>
    <w:pPr>
      <w:spacing w:after="200" w:line="276" w:lineRule="auto"/>
    </w:pPr>
    <w:rPr>
      <w:rFonts w:ascii="Calibri" w:hAnsi="Calibri" w:eastAsia="宋体" w:cs="Calibri"/>
      <w:color w:val="000000"/>
      <w:sz w:val="22"/>
      <w:szCs w:val="22"/>
      <w:u w:val="none" w:color="000000"/>
      <w:lang w:val="en-US" w:eastAsia="zh-CN" w:bidi="ar-SA"/>
    </w:rPr>
  </w:style>
  <w:style w:type="paragraph" w:customStyle="1" w:styleId="8">
    <w:name w:val="TOC 标题1"/>
    <w:basedOn w:val="2"/>
    <w:next w:val="1"/>
    <w:uiPriority w:val="99"/>
    <w:pPr>
      <w:widowControl/>
      <w:spacing w:before="480" w:after="0" w:line="276" w:lineRule="auto"/>
      <w:jc w:val="left"/>
      <w:outlineLvl w:val="9"/>
    </w:pPr>
    <w:rPr>
      <w:rFonts w:ascii="Cambria" w:hAnsi="Cambria" w:eastAsia="宋体" w:cs="Cambria"/>
      <w:color w:val="365F91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昆明市盘龙区党政机关单位</Company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2021-05-31T01:51:00Z</dcterms:created>
  <dc:creator>Administrator</dc:creator>
  <cp:lastModifiedBy>Administrator</cp:lastModifiedBy>
  <dcterms:modified xsi:type="dcterms:W3CDTF">2021-05-31T04:23:59Z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