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63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附件5：项目支出绩效评价报告（范本）</w:t>
      </w:r>
    </w:p>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昆明市</w:t>
      </w:r>
      <w:r>
        <w:rPr>
          <w:rFonts w:hint="eastAsia" w:ascii="黑体" w:hAnsi="黑体" w:eastAsia="黑体" w:cs="黑体"/>
          <w:bCs/>
          <w:sz w:val="52"/>
          <w:szCs w:val="52"/>
          <w:lang w:val="en-US" w:eastAsia="zh-CN"/>
        </w:rPr>
        <w:t>2019年乡村振兴农村人居环境整治激励奖补资金</w:t>
      </w: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2020</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昆明市盘龙区农业农村局</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xhF2D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昆明市盘龙区农业农村局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p>
    <w:p>
      <w:pPr>
        <w:adjustRightInd w:val="0"/>
        <w:snapToGrid w:val="0"/>
        <w:spacing w:line="360" w:lineRule="auto"/>
        <w:ind w:left="1260" w:leftChars="600"/>
        <w:jc w:val="both"/>
        <w:rPr>
          <w:rFonts w:hint="eastAsia"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rPr>
        <w:t>昆明市2019年乡村振兴农村人居环境整治</w:t>
      </w:r>
    </w:p>
    <w:p>
      <w:pPr>
        <w:adjustRightInd w:val="0"/>
        <w:snapToGrid w:val="0"/>
        <w:spacing w:line="360" w:lineRule="auto"/>
        <w:ind w:left="1260" w:leftChars="600" w:firstLine="1405" w:firstLineChars="500"/>
        <w:jc w:val="left"/>
        <w:rPr>
          <w:rFonts w:ascii="Times New Roman" w:hAnsi="Times New Roman" w:eastAsia="黑体"/>
          <w:b/>
          <w:bCs/>
          <w:sz w:val="28"/>
          <w:szCs w:val="28"/>
          <w:u w:val="single"/>
        </w:rPr>
      </w:pPr>
      <w:r>
        <w:rPr>
          <w:rFonts w:hint="eastAsia" w:ascii="Times New Roman" w:hAnsi="Times New Roman" w:eastAsia="黑体"/>
          <w:b/>
          <w:bCs/>
          <w:sz w:val="28"/>
          <w:szCs w:val="28"/>
          <w:u w:val="single"/>
        </w:rPr>
        <w:t>激励奖补资金项目</w:t>
      </w:r>
    </w:p>
    <w:p>
      <w:pPr>
        <w:adjustRightInd w:val="0"/>
        <w:snapToGrid w:val="0"/>
        <w:spacing w:line="360" w:lineRule="auto"/>
        <w:ind w:left="1260" w:leftChars="600"/>
        <w:rPr>
          <w:rFonts w:hint="default" w:ascii="Times New Roman" w:hAnsi="Times New Roman" w:eastAsia="黑体"/>
          <w:b/>
          <w:bCs/>
          <w:sz w:val="28"/>
          <w:szCs w:val="28"/>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lang w:val="en-US" w:eastAsia="zh-CN"/>
        </w:rPr>
        <w:t>2021年5月14日</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XX</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XX</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3" w:type="default"/>
          <w:footerReference r:id="rId4" w:type="default"/>
          <w:pgSz w:w="11906" w:h="16838"/>
          <w:pgMar w:top="1440" w:right="1800" w:bottom="1440" w:left="1800" w:header="851" w:footer="992" w:gutter="0"/>
          <w:cols w:space="720" w:num="1"/>
          <w:titlePg/>
          <w:docGrid w:type="lines" w:linePitch="312" w:charSpace="0"/>
        </w:sectPr>
      </w:pPr>
    </w:p>
    <w:p>
      <w:pPr>
        <w:pStyle w:val="7"/>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621"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noWrap w:val="0"/>
            <w:vAlign w:val="top"/>
          </w:tcPr>
          <w:p>
            <w:pPr>
              <w:pStyle w:val="7"/>
              <w:widowControl w:val="0"/>
              <w:spacing w:after="0" w:line="240" w:lineRule="auto"/>
              <w:jc w:val="both"/>
              <w:rPr>
                <w:rFonts w:ascii="Times New Roman" w:hAnsi="Times New Roman" w:eastAsia="黑体" w:cs="黑体"/>
                <w:kern w:val="2"/>
                <w:sz w:val="24"/>
                <w:szCs w:val="24"/>
                <w:lang w:val="zh-TW" w:eastAsia="zh-TW"/>
              </w:rPr>
            </w:pPr>
          </w:p>
        </w:tc>
        <w:tc>
          <w:tcPr>
            <w:tcW w:w="1620" w:type="dxa"/>
            <w:noWrap w:val="0"/>
            <w:vAlign w:val="top"/>
          </w:tcPr>
          <w:p>
            <w:pPr>
              <w:pStyle w:val="7"/>
              <w:widowControl w:val="0"/>
              <w:spacing w:after="0" w:line="24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7"/>
              <w:widowControl w:val="0"/>
              <w:spacing w:after="0" w:line="24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7"/>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7"/>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c>
          <w:tcPr>
            <w:tcW w:w="1620"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7"/>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c>
          <w:tcPr>
            <w:tcW w:w="1620"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7"/>
              <w:widowControl w:val="0"/>
              <w:spacing w:after="0" w:line="360" w:lineRule="auto"/>
              <w:jc w:val="center"/>
              <w:rPr>
                <w:rFonts w:ascii="Times New Roman" w:hAnsi="Times New Roman" w:eastAsia="黑体" w:cs="黑体"/>
                <w:kern w:val="2"/>
                <w:sz w:val="24"/>
                <w:szCs w:val="24"/>
                <w:lang w:val="zh-TW"/>
              </w:rPr>
            </w:pPr>
            <w:r>
              <w:rPr>
                <w:rFonts w:ascii="Times New Roman" w:hAnsi="Times New Roman" w:eastAsia="黑体" w:cs="黑体"/>
                <w:kern w:val="2"/>
                <w:sz w:val="24"/>
                <w:szCs w:val="24"/>
                <w:lang w:val="zh-TW"/>
              </w:rPr>
              <w:t>……</w:t>
            </w:r>
          </w:p>
        </w:tc>
        <w:tc>
          <w:tcPr>
            <w:tcW w:w="1620"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c>
          <w:tcPr>
            <w:tcW w:w="1620"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val="0"/>
            <w:vAlign w:val="top"/>
          </w:tcPr>
          <w:p>
            <w:pPr>
              <w:pStyle w:val="7"/>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7"/>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7"/>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7"/>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8"/>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jc w:val="center"/>
        <w:rPr>
          <w:rFonts w:hint="eastAsia" w:ascii="方正小标宋_GBK" w:eastAsia="方正小标宋_GBK"/>
          <w:sz w:val="36"/>
          <w:szCs w:val="36"/>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昆明市2019年乡村振兴农村人居环境整治激励奖补资金项目支出绩效自评报告</w:t>
      </w:r>
    </w:p>
    <w:p>
      <w:pPr>
        <w:spacing w:line="440" w:lineRule="exact"/>
        <w:ind w:firstLine="420" w:firstLineChars="200"/>
        <w:jc w:val="left"/>
        <w:rPr>
          <w:rFonts w:ascii="黑体" w:hAnsi="黑体" w:eastAsia="黑体"/>
          <w:szCs w:val="32"/>
        </w:rPr>
      </w:pPr>
    </w:p>
    <w:p>
      <w:pPr>
        <w:numPr>
          <w:ilvl w:val="0"/>
          <w:numId w:val="1"/>
        </w:numPr>
        <w:spacing w:line="440" w:lineRule="exact"/>
        <w:ind w:firstLine="420" w:firstLineChars="200"/>
        <w:jc w:val="left"/>
        <w:rPr>
          <w:rFonts w:hint="eastAsia" w:ascii="黑体" w:hAnsi="黑体" w:eastAsia="黑体"/>
          <w:szCs w:val="32"/>
        </w:rPr>
      </w:pPr>
      <w:r>
        <w:rPr>
          <w:rFonts w:hint="eastAsia" w:ascii="黑体" w:hAnsi="黑体" w:eastAsia="黑体"/>
          <w:szCs w:val="32"/>
        </w:rPr>
        <w:t>项目概况：</w:t>
      </w:r>
    </w:p>
    <w:p>
      <w:pPr>
        <w:ind w:firstLine="420" w:firstLineChars="200"/>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rPr>
        <w:t>为全面贯彻落实省、市、区对农村人居环境集中整治的有关会议精神，</w:t>
      </w:r>
      <w:r>
        <w:rPr>
          <w:rFonts w:hint="eastAsia" w:ascii="Times New Roman" w:hAnsi="Times New Roman" w:eastAsia="仿宋_GB2312" w:cs="Times New Roman"/>
          <w:sz w:val="21"/>
          <w:szCs w:val="21"/>
          <w:lang w:eastAsia="zh-CN"/>
        </w:rPr>
        <w:t>《</w:t>
      </w:r>
      <w:r>
        <w:rPr>
          <w:rFonts w:hint="eastAsia" w:ascii="Times New Roman" w:hAnsi="Times New Roman" w:eastAsia="仿宋_GB2312" w:cs="Times New Roman"/>
          <w:sz w:val="21"/>
          <w:szCs w:val="21"/>
        </w:rPr>
        <w:t>关于下达昆明市2019年乡村振兴农村人居环境整治激励奖补资金的通知</w:t>
      </w:r>
      <w:r>
        <w:rPr>
          <w:rFonts w:hint="eastAsia" w:ascii="Times New Roman" w:hAnsi="Times New Roman" w:eastAsia="仿宋_GB2312" w:cs="Times New Roman"/>
          <w:sz w:val="21"/>
          <w:szCs w:val="21"/>
          <w:lang w:eastAsia="zh-CN"/>
        </w:rPr>
        <w:t>》下达盘龙区</w:t>
      </w:r>
      <w:r>
        <w:rPr>
          <w:rFonts w:hint="eastAsia" w:ascii="Times New Roman" w:hAnsi="Times New Roman" w:eastAsia="仿宋_GB2312" w:cs="Times New Roman"/>
          <w:sz w:val="21"/>
          <w:szCs w:val="21"/>
          <w:lang w:val="en-US" w:eastAsia="zh-CN"/>
        </w:rPr>
        <w:t>3个市级激励行政村各70万，共210万元奖补资金，</w:t>
      </w:r>
      <w:r>
        <w:rPr>
          <w:rFonts w:hint="eastAsia" w:ascii="Times New Roman" w:hAnsi="Times New Roman" w:eastAsia="仿宋_GB2312" w:cs="Times New Roman"/>
          <w:sz w:val="21"/>
          <w:szCs w:val="21"/>
        </w:rPr>
        <w:t>进一步改善松华街道办事处小河社区、滇源街道办事处老坝村、阿子营街道办事处甸头村农村人居环境和发展环境，促进城乡协调发展，增强农民群众的幸福感和获得感，按照“产业兴旺、 生态宜居、乡风文明、治理有效、生活富裕”的总体要求，突出问题导向，创新工作举措，纵深推进农村环境综合整治，努力打造实力、 提升活力、 彰显魅力、 构建幸福</w:t>
      </w:r>
      <w:r>
        <w:rPr>
          <w:rFonts w:hint="eastAsia" w:ascii="Times New Roman" w:hAnsi="Times New Roman" w:eastAsia="仿宋_GB2312" w:cs="Times New Roman"/>
          <w:sz w:val="21"/>
          <w:szCs w:val="21"/>
          <w:lang w:eastAsia="zh-CN"/>
        </w:rPr>
        <w:t>乡村</w:t>
      </w:r>
      <w:r>
        <w:rPr>
          <w:rFonts w:ascii="Times New Roman" w:hAnsi="Times New Roman" w:eastAsia="仿宋_GB2312" w:cs="Times New Roman"/>
          <w:sz w:val="21"/>
          <w:szCs w:val="21"/>
        </w:rPr>
        <w:t>。</w:t>
      </w:r>
      <w:r>
        <w:rPr>
          <w:rFonts w:hint="eastAsia" w:ascii="Times New Roman" w:hAnsi="Times New Roman" w:eastAsia="仿宋_GB2312" w:cs="Times New Roman"/>
          <w:sz w:val="21"/>
          <w:szCs w:val="21"/>
          <w:lang w:val="en-US" w:eastAsia="zh-CN"/>
        </w:rPr>
        <w:t>2020年奖补资金210万元，2020年项目支出210万元，结余0 万元。</w:t>
      </w:r>
    </w:p>
    <w:p>
      <w:pPr>
        <w:numPr>
          <w:ilvl w:val="0"/>
          <w:numId w:val="1"/>
        </w:numPr>
        <w:spacing w:line="440" w:lineRule="exact"/>
        <w:ind w:left="0" w:leftChars="0" w:firstLine="420" w:firstLineChars="200"/>
        <w:jc w:val="left"/>
        <w:rPr>
          <w:rFonts w:hint="eastAsia" w:ascii="黑体" w:hAnsi="黑体" w:eastAsia="黑体"/>
          <w:szCs w:val="32"/>
        </w:rPr>
      </w:pPr>
      <w:r>
        <w:rPr>
          <w:rFonts w:hint="eastAsia" w:ascii="黑体" w:hAnsi="黑体" w:eastAsia="黑体"/>
          <w:szCs w:val="32"/>
        </w:rPr>
        <w:t>评价结论</w:t>
      </w:r>
    </w:p>
    <w:p>
      <w:pPr>
        <w:ind w:firstLine="420" w:firstLineChars="200"/>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rPr>
        <w:t>2019年通过实地考察松华街道、滇源街道、阿子营街道，横向比较区位优势、人居环境、基础设施、产业优势、村组班子等方面，</w:t>
      </w:r>
      <w:r>
        <w:rPr>
          <w:rFonts w:hint="eastAsia" w:ascii="Times New Roman" w:hAnsi="Times New Roman" w:eastAsia="仿宋_GB2312" w:cs="Times New Roman"/>
          <w:sz w:val="21"/>
          <w:szCs w:val="21"/>
          <w:lang w:eastAsia="zh-CN"/>
        </w:rPr>
        <w:t>经市级认定，</w:t>
      </w:r>
      <w:r>
        <w:rPr>
          <w:rFonts w:hint="eastAsia" w:ascii="Times New Roman" w:hAnsi="Times New Roman" w:eastAsia="仿宋_GB2312" w:cs="Times New Roman"/>
          <w:sz w:val="21"/>
          <w:szCs w:val="21"/>
        </w:rPr>
        <w:t>松华街道办事处小河社区、滇源街道办事处老坝村、阿子营街道办事处甸头村</w:t>
      </w:r>
      <w:r>
        <w:rPr>
          <w:rFonts w:hint="eastAsia" w:ascii="Times New Roman" w:hAnsi="Times New Roman" w:eastAsia="仿宋_GB2312" w:cs="Times New Roman"/>
          <w:sz w:val="21"/>
          <w:szCs w:val="21"/>
          <w:lang w:val="en-US" w:eastAsia="zh-CN"/>
        </w:rPr>
        <w:t>3</w:t>
      </w:r>
      <w:r>
        <w:rPr>
          <w:rFonts w:hint="eastAsia" w:ascii="Times New Roman" w:hAnsi="Times New Roman" w:eastAsia="仿宋_GB2312" w:cs="Times New Roman"/>
          <w:sz w:val="21"/>
          <w:szCs w:val="21"/>
        </w:rPr>
        <w:t>个</w:t>
      </w:r>
      <w:r>
        <w:rPr>
          <w:rFonts w:hint="eastAsia" w:ascii="Times New Roman" w:hAnsi="Times New Roman" w:eastAsia="仿宋_GB2312" w:cs="Times New Roman"/>
          <w:sz w:val="21"/>
          <w:szCs w:val="21"/>
          <w:lang w:eastAsia="zh-CN"/>
        </w:rPr>
        <w:t>行政村</w:t>
      </w:r>
      <w:r>
        <w:rPr>
          <w:rFonts w:hint="eastAsia" w:ascii="Times New Roman" w:hAnsi="Times New Roman" w:eastAsia="仿宋_GB2312" w:cs="Times New Roman"/>
          <w:sz w:val="21"/>
          <w:szCs w:val="21"/>
        </w:rPr>
        <w:t>作为2019年乡村振兴农村人居环境整治激励示范村，示范村建设项目总投资</w:t>
      </w:r>
      <w:r>
        <w:rPr>
          <w:rFonts w:hint="eastAsia" w:ascii="Times New Roman" w:hAnsi="Times New Roman" w:eastAsia="仿宋_GB2312" w:cs="Times New Roman"/>
          <w:sz w:val="21"/>
          <w:szCs w:val="21"/>
          <w:lang w:val="en-US" w:eastAsia="zh-CN"/>
        </w:rPr>
        <w:t>210</w:t>
      </w:r>
      <w:r>
        <w:rPr>
          <w:rFonts w:hint="eastAsia" w:ascii="Times New Roman" w:hAnsi="Times New Roman" w:eastAsia="仿宋_GB2312" w:cs="Times New Roman"/>
          <w:sz w:val="21"/>
          <w:szCs w:val="21"/>
        </w:rPr>
        <w:t>万元，</w:t>
      </w:r>
      <w:r>
        <w:rPr>
          <w:rFonts w:hint="eastAsia" w:ascii="Times New Roman" w:hAnsi="Times New Roman" w:eastAsia="仿宋_GB2312" w:cs="Times New Roman"/>
          <w:sz w:val="21"/>
          <w:szCs w:val="21"/>
          <w:lang w:eastAsia="zh-CN"/>
        </w:rPr>
        <w:t>由街道牵头实施，按照工程进度已拨付</w:t>
      </w:r>
      <w:r>
        <w:rPr>
          <w:rFonts w:hint="eastAsia" w:ascii="Times New Roman" w:hAnsi="Times New Roman" w:eastAsia="仿宋_GB2312" w:cs="Times New Roman"/>
          <w:sz w:val="21"/>
          <w:szCs w:val="21"/>
          <w:lang w:val="en-US" w:eastAsia="zh-CN"/>
        </w:rPr>
        <w:t>210万元。</w:t>
      </w:r>
    </w:p>
    <w:p>
      <w:pPr>
        <w:spacing w:line="440" w:lineRule="exact"/>
        <w:ind w:firstLine="420" w:firstLineChars="200"/>
        <w:jc w:val="left"/>
        <w:rPr>
          <w:rFonts w:ascii="黑体" w:hAnsi="黑体" w:eastAsia="黑体"/>
          <w:szCs w:val="32"/>
        </w:rPr>
      </w:pPr>
      <w:r>
        <w:rPr>
          <w:rFonts w:hint="eastAsia" w:ascii="黑体" w:hAnsi="黑体" w:eastAsia="黑体"/>
          <w:szCs w:val="32"/>
        </w:rPr>
        <w:t>三、经验、问题和建议</w:t>
      </w:r>
    </w:p>
    <w:p>
      <w:pPr>
        <w:spacing w:line="440" w:lineRule="exact"/>
        <w:ind w:firstLine="420" w:firstLineChars="200"/>
        <w:jc w:val="left"/>
        <w:rPr>
          <w:rFonts w:ascii="楷体" w:hAnsi="楷体" w:eastAsia="楷体"/>
          <w:szCs w:val="32"/>
        </w:rPr>
      </w:pPr>
      <w:r>
        <w:rPr>
          <w:rFonts w:hint="eastAsia" w:ascii="楷体" w:hAnsi="楷体" w:eastAsia="楷体"/>
          <w:szCs w:val="32"/>
        </w:rPr>
        <w:t>1.主要经验及做法；</w:t>
      </w:r>
    </w:p>
    <w:p>
      <w:pPr>
        <w:ind w:firstLine="420" w:firstLineChars="200"/>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一是加强领导, 科学规划人居环境综合整治格局。为做好人居环境综合整治工作，盘龙区农村人居办对人居环境综合整治工作进行了全面部署，建立日报告、周调度、周通报、周督导、月例会工作机制，发现问题及时解决，保证环境整治工作不留死角，顺利开展。并组织至弥勒进行参观学习、邀请市级进行业务培训，同时在社区、小组以张贴宣传标语、发放宣传单等形式，将人居环境整治的意义，环境治理工作中涌现出的典型事例宣传出去让群众家喻户晓，支持环境卫生综合整治工作，为环境卫生综合整治工作的开展创造一个良好的舆论氛围。</w:t>
      </w:r>
    </w:p>
    <w:p>
      <w:pPr>
        <w:ind w:firstLine="420" w:firstLineChars="200"/>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二是党建引领，把创建工作纳入对各社区的年度目标考核。鼓励街道与社区（村）签订目标责任书，做到党政同责、一岗双责，党员干部、居民代表、十户长、工青妇组织积极带头投入到此项工作中，特别是社区党委规定全体党员把美化绿化家园作为年终民主评议党员是否合格的标准之一。成立党员志愿队伍，每月定期开展义务环境治理活动，积极引导农家乐进行庭院式的绿化美化，并承担周边环境卫生保洁工作，形成独具特色的庭院景观，不断吸引周边游客，增加了经济收入，带动了辖区居民美丽家园建设全民共参与的积极性，形成一组一品、一户一品。结合村情实际，巧妙构思，将村内农户换下来废弃乱堆放的旧瓦、乱石堆进行重新规范利用，有的地段用旧瓦铺成了小道、有的地点用旧瓦做成花台围栏、有的地点将乱石支砌成小花台。同样的地点、同样的旧瓦乱石，通过大家的巧支妙用，呈现不一样的景致。</w:t>
      </w:r>
    </w:p>
    <w:p>
      <w:pPr>
        <w:ind w:firstLine="420" w:firstLineChars="200"/>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三是严格考核，将创建工作融入“五级治理”工作模式。落实街道下村日督促农村人居环境整治工作制度。每周五为街道干部职工下村日，街道机关干部与社区、小组干部一起到各自网格点位，对农村人居环境整治工作进行督促，当好“监督员”，对所管片区所包小组进行环境卫生大检查，对发现问题及时进行整治处理，社区、小组不能处理的，及时上报街道相关职能部门处理，保证辖区环境干净整洁、无死角，对标对表及时整改。充分发挥各小组长、十户长的带头作用，十户长兼任环境卫生监督员，监督保洁公司环境卫生保洁，并监督村民及辖区企业的房前屋后的五堆清理工作。对小组卫生保持情况每周检查一次，并不定期进行抽查，将检查结果与各小组书记、组长的奖惩挂钩，激发小组的工作热情。通过召开村民代表大会，社区“三委”班子共同研究奖惩制度，与文明户评比挂钩，对环境卫生工作突出的每户年底或节日对他们进行表彰鼓励。对环境差的农户，按评比规则取消一切评比资格以及福利。同时通过抓村民文明素质教育工作，逐步养成科学、健康、文明的生活方式, 为实现村容整洁打下了坚实的基础。。</w:t>
      </w:r>
    </w:p>
    <w:p>
      <w:pPr>
        <w:spacing w:line="440" w:lineRule="exact"/>
        <w:ind w:firstLine="420" w:firstLineChars="200"/>
        <w:jc w:val="left"/>
        <w:rPr>
          <w:rFonts w:ascii="楷体" w:hAnsi="楷体" w:eastAsia="楷体"/>
          <w:szCs w:val="32"/>
        </w:rPr>
      </w:pPr>
      <w:r>
        <w:rPr>
          <w:rFonts w:hint="eastAsia" w:ascii="楷体" w:hAnsi="楷体" w:eastAsia="楷体"/>
          <w:szCs w:val="32"/>
        </w:rPr>
        <w:t>2.存在的问题；</w:t>
      </w:r>
    </w:p>
    <w:p>
      <w:pPr>
        <w:ind w:firstLine="420" w:firstLineChars="200"/>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我区农村人居环境整治各方面的工作扎实推进，但与省、市要求及广大群众对美好生活的期待、向往相比，仍然存在很大差距。一是公厕管护有待加强。由于公厕管养经费不足，硬件设施维修困难，部分村组公厕存在缺乏管护经费，日常管护跟不上，卫生保洁不到位。二是村内污水治理不到位。部分农户日常生活污水直排路面，个别村庄道路两旁沟渠仍有污水流入。三是村庄环境整治力度不够。村内道路背街巷存在卫生死角，部分沟渠水渠内仍有垃圾。农户院内柴草、物资乱摆乱放，畜禽散养放养、畜禽粪污乱排，影响村容整洁。四是长效机制还需完善。在人居环境治理工作中，我们有许多好的制度和规章制度，部门、街道、社区、村组没有很好的贯彻落实，没有发挥村民组织自治作用，利用村规民约有效约束和规范村民日常行为。</w:t>
      </w:r>
    </w:p>
    <w:p>
      <w:pPr>
        <w:spacing w:line="440" w:lineRule="exact"/>
        <w:ind w:firstLine="420" w:firstLineChars="200"/>
        <w:jc w:val="left"/>
        <w:rPr>
          <w:rFonts w:ascii="楷体" w:hAnsi="楷体" w:eastAsia="楷体"/>
          <w:szCs w:val="32"/>
        </w:rPr>
      </w:pPr>
      <w:r>
        <w:rPr>
          <w:rFonts w:hint="eastAsia" w:ascii="楷体" w:hAnsi="楷体" w:eastAsia="楷体"/>
          <w:szCs w:val="32"/>
        </w:rPr>
        <w:t>3.改进措施及建议。</w:t>
      </w:r>
    </w:p>
    <w:p>
      <w:pPr>
        <w:ind w:firstLine="420" w:firstLineChars="20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下一步，盘龙区将继续深入农村人居环境整治工作，提升农民幸福指数，一是强化参与意识。在农村人居环境整治工作过程中，继续充分发挥新闻、电视、网络、报纸等宣传媒体作用，大力宣传农村人居环境整治、农村“厕所革命”、垃圾分类新时尚，深入农村深入农户家中开展农村人居环境整治工作的政策宣传，正确引导农村居民养成健康向上的卫生习惯。进一步增强农村广大群众参与人居环境整治、提高农村“厕所革命”、垃圾分类、美丽乡村建设的知晓率、参与度，营造人人参与清洁整治的良好氛围。二是坚持补齐短板。针对农村人居环境整治工作中农村环境卫生保洁、垃圾清运、垃圾分类、污水治理、“厕所革命”、畜禽粪污处理、危房改造、村规民约、公共设施损坏、长效管护机制等方面存在的问题，领导包保，重点突破，补齐短板。三是完善管护机制。转变思想观念，创新工作方法，建立和完善各类机制通过制度管人、管事，推动我区农村人居环境整治工作制度化、常态化。</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正文：乡村振兴项目含一事一议经费项目支出绩效自评报告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（一）项目概况。</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1.立项背景及目的。</w:t>
      </w:r>
    </w:p>
    <w:p>
      <w:pPr>
        <w:topLinePunct/>
        <w:spacing w:line="440" w:lineRule="exact"/>
        <w:ind w:firstLine="525" w:firstLineChars="250"/>
        <w:rPr>
          <w:rFonts w:hint="default" w:ascii="仿宋_GB2312" w:hAnsi="楷体" w:eastAsia="仿宋_GB2312"/>
          <w:szCs w:val="32"/>
          <w:lang w:val="en-US" w:eastAsia="zh-CN"/>
        </w:rPr>
      </w:pPr>
      <w:r>
        <w:rPr>
          <w:rFonts w:hint="default" w:ascii="仿宋_GB2312" w:hAnsi="楷体" w:eastAsia="仿宋_GB2312"/>
          <w:szCs w:val="32"/>
        </w:rPr>
        <w:t>为全面贯彻落实省、市、区对农村人居环境集中整治的有关会议精神，《关于下达昆明市2019年乡村振兴农村人居环境整治激励奖补资金的通知》下达盘龙区3个市级激励行政村各70万，共210万元奖补资金，进一步改善松华街道办事处小河社区、滇源街道办事处老坝村、阿子营街道办事处甸头村农村人居环境和发展环境，促进城乡协调发展，增强农民群众的幸福感和获得感，按照“产业兴旺、 生态宜居、乡风文明、治理有效、生活富裕”的总体要求，突出问题导向，创新工作举措，纵深推进农村环境综合整治，努力打造实力、 提升活力、 彰显魅力、 构建幸福乡村</w:t>
      </w:r>
      <w:r>
        <w:rPr>
          <w:rFonts w:hint="default" w:ascii="仿宋_GB2312" w:hAnsi="楷体" w:eastAsia="仿宋_GB2312"/>
          <w:szCs w:val="32"/>
          <w:lang w:val="en-US" w:eastAsia="zh-CN"/>
        </w:rPr>
        <w:t>。</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2.项目实施情况。</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2019年通过实地考察松华街道、滇源街道、阿子营街道，横向比较区位优势、人居环境、基础设施、产业优势、村组班子等方面，经市级认定，松华街道办事处小河社区、滇源街道办事处老坝村、阿子营街道办事处甸头村3个行政村作为2019年乡村振兴农村人居环境整治激励示范村，示范村建设项目总投资210万元，由街道牵头实施，按照工程进度已拨付210万元。</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3.资金来源及使用情况。</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lang w:eastAsia="zh-CN"/>
        </w:rPr>
        <w:t>《昆明市财政局昆明市农业农村局关于预先下达2019 年乡村振兴农村人居环境整治激励奖补资金的通知）》（昆财农〔2019〕232 号）按照70万/个激励奖补标准，下达210万元奖补资金至盘龙区。分别分两笔拨付松华街道办事处51万元、</w:t>
      </w:r>
      <w:r>
        <w:rPr>
          <w:rFonts w:hint="eastAsia" w:ascii="仿宋_GB2312" w:hAnsi="楷体" w:eastAsia="仿宋_GB2312"/>
          <w:szCs w:val="32"/>
          <w:lang w:val="en-US" w:eastAsia="zh-CN"/>
        </w:rPr>
        <w:t>19万元</w:t>
      </w:r>
      <w:r>
        <w:rPr>
          <w:rFonts w:hint="eastAsia" w:ascii="仿宋_GB2312" w:hAnsi="楷体" w:eastAsia="仿宋_GB2312"/>
          <w:szCs w:val="32"/>
          <w:lang w:eastAsia="zh-CN"/>
        </w:rPr>
        <w:t>，滇源街道办事处56万元、</w:t>
      </w:r>
      <w:r>
        <w:rPr>
          <w:rFonts w:hint="eastAsia" w:ascii="仿宋_GB2312" w:hAnsi="楷体" w:eastAsia="仿宋_GB2312"/>
          <w:szCs w:val="32"/>
          <w:lang w:val="en-US" w:eastAsia="zh-CN"/>
        </w:rPr>
        <w:t>14万元</w:t>
      </w:r>
      <w:r>
        <w:rPr>
          <w:rFonts w:hint="eastAsia" w:ascii="仿宋_GB2312" w:hAnsi="楷体" w:eastAsia="仿宋_GB2312"/>
          <w:szCs w:val="32"/>
          <w:lang w:eastAsia="zh-CN"/>
        </w:rPr>
        <w:t>，阿子营街道办事处51万元、</w:t>
      </w:r>
      <w:r>
        <w:rPr>
          <w:rFonts w:hint="eastAsia" w:ascii="仿宋_GB2312" w:hAnsi="楷体" w:eastAsia="仿宋_GB2312"/>
          <w:szCs w:val="32"/>
          <w:lang w:val="en-US" w:eastAsia="zh-CN"/>
        </w:rPr>
        <w:t>19万元</w:t>
      </w:r>
      <w:r>
        <w:rPr>
          <w:rFonts w:hint="eastAsia" w:ascii="仿宋_GB2312" w:hAnsi="楷体" w:eastAsia="仿宋_GB2312"/>
          <w:szCs w:val="32"/>
          <w:lang w:eastAsia="zh-CN"/>
        </w:rPr>
        <w:t>。</w:t>
      </w:r>
    </w:p>
    <w:p>
      <w:pPr>
        <w:numPr>
          <w:ilvl w:val="0"/>
          <w:numId w:val="2"/>
        </w:num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组织及管理情况。</w:t>
      </w:r>
    </w:p>
    <w:p>
      <w:pPr>
        <w:topLinePunct/>
        <w:spacing w:line="440" w:lineRule="exact"/>
        <w:ind w:firstLine="525" w:firstLineChars="250"/>
        <w:rPr>
          <w:rFonts w:hint="default" w:ascii="仿宋_GB2312" w:hAnsi="楷体" w:eastAsia="仿宋_GB2312"/>
          <w:szCs w:val="32"/>
          <w:lang w:val="en-US" w:eastAsia="zh-CN"/>
        </w:rPr>
      </w:pPr>
      <w:r>
        <w:rPr>
          <w:rFonts w:hint="eastAsia" w:ascii="仿宋_GB2312" w:hAnsi="楷体" w:eastAsia="仿宋_GB2312"/>
          <w:szCs w:val="32"/>
          <w:lang w:val="en-US" w:eastAsia="zh-CN"/>
        </w:rPr>
        <w:t>项目由街道组织实施，对项目建设进行监督管理，项目完成后交由村级进行管护。</w:t>
      </w:r>
    </w:p>
    <w:p>
      <w:pPr>
        <w:topLinePunct/>
        <w:spacing w:line="440" w:lineRule="exact"/>
        <w:ind w:firstLine="525" w:firstLineChars="250"/>
        <w:rPr>
          <w:rFonts w:hint="eastAsia" w:ascii="仿宋_GB2312" w:hAnsi="楷体" w:eastAsia="仿宋_GB2312"/>
          <w:szCs w:val="32"/>
          <w:lang w:val="en-US" w:eastAsia="zh-CN"/>
        </w:rPr>
      </w:pPr>
      <w:r>
        <w:rPr>
          <w:rFonts w:hint="eastAsia" w:ascii="仿宋_GB2312" w:hAnsi="楷体" w:eastAsia="仿宋_GB2312"/>
          <w:szCs w:val="32"/>
          <w:lang w:val="en-US" w:eastAsia="zh-CN"/>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1.总目标。</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为全面贯彻落实省、市、区对农村人居环境集中整治的有关会议精神，</w:t>
      </w:r>
      <w:r>
        <w:rPr>
          <w:rFonts w:hint="eastAsia" w:ascii="仿宋_GB2312" w:hAnsi="楷体" w:eastAsia="仿宋_GB2312"/>
          <w:szCs w:val="32"/>
          <w:lang w:eastAsia="zh-CN"/>
        </w:rPr>
        <w:t>按照</w:t>
      </w:r>
      <w:r>
        <w:rPr>
          <w:rFonts w:hint="eastAsia" w:ascii="仿宋_GB2312" w:hAnsi="楷体" w:eastAsia="仿宋_GB2312"/>
          <w:szCs w:val="32"/>
        </w:rPr>
        <w:t>《关于下达昆明市2019年乡村振兴农村人居环境整治激励奖补资金的通知》下达盘龙区3个市级激励行政村各70万，共210万元奖补资金，进一步改善松华街道办事处小河社区、滇源街道办事处老坝村、阿子营街道办事处甸头村农村人居环境。</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2.年度目标。包括产出目标、效果目标。</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lang w:eastAsia="zh-CN"/>
        </w:rPr>
        <w:t>产出目标：</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rPr>
        <w:t>数量指标</w:t>
      </w:r>
      <w:r>
        <w:rPr>
          <w:rFonts w:hint="eastAsia" w:ascii="仿宋_GB2312" w:hAnsi="楷体" w:eastAsia="仿宋_GB2312"/>
          <w:szCs w:val="32"/>
          <w:lang w:eastAsia="zh-CN"/>
        </w:rPr>
        <w:t>：</w:t>
      </w:r>
      <w:r>
        <w:rPr>
          <w:rFonts w:hint="eastAsia" w:ascii="仿宋_GB2312" w:hAnsi="楷体" w:eastAsia="仿宋_GB2312"/>
          <w:szCs w:val="32"/>
        </w:rPr>
        <w:t>改善松华街道办事处小河社区、滇源街道办事处老坝村、阿子营街道办事处甸头村</w:t>
      </w:r>
      <w:r>
        <w:rPr>
          <w:rFonts w:hint="eastAsia" w:ascii="仿宋_GB2312" w:hAnsi="楷体" w:eastAsia="仿宋_GB2312"/>
          <w:szCs w:val="32"/>
          <w:lang w:val="en-US" w:eastAsia="zh-CN"/>
        </w:rPr>
        <w:t>3个</w:t>
      </w:r>
      <w:r>
        <w:rPr>
          <w:rFonts w:hint="eastAsia" w:ascii="仿宋_GB2312" w:hAnsi="楷体" w:eastAsia="仿宋_GB2312"/>
          <w:szCs w:val="32"/>
        </w:rPr>
        <w:t>乡村振兴农村人居环境整治</w:t>
      </w:r>
      <w:r>
        <w:rPr>
          <w:rFonts w:hint="eastAsia" w:ascii="仿宋_GB2312" w:hAnsi="楷体" w:eastAsia="仿宋_GB2312"/>
          <w:szCs w:val="32"/>
          <w:lang w:eastAsia="zh-CN"/>
        </w:rPr>
        <w:t>示范村建设；</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rPr>
        <w:t>质量指标</w:t>
      </w:r>
      <w:r>
        <w:rPr>
          <w:rFonts w:hint="eastAsia" w:ascii="仿宋_GB2312" w:hAnsi="楷体" w:eastAsia="仿宋_GB2312"/>
          <w:szCs w:val="32"/>
          <w:lang w:eastAsia="zh-CN"/>
        </w:rPr>
        <w:t>：</w:t>
      </w:r>
      <w:r>
        <w:rPr>
          <w:rFonts w:hint="eastAsia" w:ascii="仿宋_GB2312" w:hAnsi="楷体" w:eastAsia="仿宋_GB2312"/>
          <w:szCs w:val="32"/>
        </w:rPr>
        <w:t>按照工程项目设计指定材质、质量要求严格实施完成乡村振兴农村人居环境整治示范村建设。项目验收合格率达100%</w:t>
      </w:r>
      <w:r>
        <w:rPr>
          <w:rFonts w:hint="eastAsia" w:ascii="仿宋_GB2312" w:hAnsi="楷体" w:eastAsia="仿宋_GB2312"/>
          <w:szCs w:val="32"/>
          <w:lang w:eastAsia="zh-CN"/>
        </w:rPr>
        <w:t>；</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rPr>
        <w:t>时效指标</w:t>
      </w:r>
      <w:r>
        <w:rPr>
          <w:rFonts w:hint="eastAsia" w:ascii="仿宋_GB2312" w:hAnsi="楷体" w:eastAsia="仿宋_GB2312"/>
          <w:szCs w:val="32"/>
          <w:lang w:eastAsia="zh-CN"/>
        </w:rPr>
        <w:t>：</w:t>
      </w:r>
      <w:r>
        <w:rPr>
          <w:rFonts w:hint="eastAsia" w:ascii="仿宋_GB2312" w:hAnsi="楷体" w:eastAsia="仿宋_GB2312"/>
          <w:szCs w:val="32"/>
        </w:rPr>
        <w:t>20</w:t>
      </w:r>
      <w:r>
        <w:rPr>
          <w:rFonts w:hint="eastAsia" w:ascii="仿宋_GB2312" w:hAnsi="楷体" w:eastAsia="仿宋_GB2312"/>
          <w:szCs w:val="32"/>
          <w:lang w:val="en-US" w:eastAsia="zh-CN"/>
        </w:rPr>
        <w:t>20</w:t>
      </w:r>
      <w:r>
        <w:rPr>
          <w:rFonts w:hint="eastAsia" w:ascii="仿宋_GB2312" w:hAnsi="楷体" w:eastAsia="仿宋_GB2312"/>
          <w:szCs w:val="32"/>
        </w:rPr>
        <w:t>年完成项目实施</w:t>
      </w:r>
      <w:r>
        <w:rPr>
          <w:rFonts w:hint="eastAsia" w:ascii="仿宋_GB2312" w:hAnsi="楷体" w:eastAsia="仿宋_GB2312"/>
          <w:szCs w:val="32"/>
          <w:lang w:eastAsia="zh-CN"/>
        </w:rPr>
        <w:t>。</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rPr>
        <w:t>成本指标</w:t>
      </w:r>
      <w:r>
        <w:rPr>
          <w:rFonts w:hint="eastAsia" w:ascii="仿宋_GB2312" w:hAnsi="楷体" w:eastAsia="仿宋_GB2312"/>
          <w:szCs w:val="32"/>
          <w:lang w:eastAsia="zh-CN"/>
        </w:rPr>
        <w:t>：</w:t>
      </w:r>
      <w:r>
        <w:rPr>
          <w:rFonts w:hint="eastAsia" w:ascii="仿宋_GB2312" w:hAnsi="楷体" w:eastAsia="仿宋_GB2312"/>
          <w:szCs w:val="32"/>
        </w:rPr>
        <w:t>3个市级激励行政村各70万，共210万元奖补资金</w:t>
      </w:r>
      <w:r>
        <w:rPr>
          <w:rFonts w:hint="eastAsia" w:ascii="仿宋_GB2312" w:hAnsi="楷体" w:eastAsia="仿宋_GB2312"/>
          <w:szCs w:val="32"/>
          <w:lang w:eastAsia="zh-CN"/>
        </w:rPr>
        <w:t>；</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lang w:eastAsia="zh-CN"/>
        </w:rPr>
        <w:t>效果目标：</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rPr>
        <w:t>经济效益指标</w:t>
      </w:r>
      <w:r>
        <w:rPr>
          <w:rFonts w:hint="eastAsia" w:ascii="仿宋_GB2312" w:hAnsi="楷体" w:eastAsia="仿宋_GB2312"/>
          <w:szCs w:val="32"/>
          <w:lang w:eastAsia="zh-CN"/>
        </w:rPr>
        <w:t>：</w:t>
      </w:r>
      <w:r>
        <w:rPr>
          <w:rFonts w:hint="eastAsia" w:ascii="仿宋_GB2312" w:hAnsi="楷体" w:eastAsia="仿宋_GB2312"/>
          <w:szCs w:val="32"/>
        </w:rPr>
        <w:t>项目为非盈利性质，不产生直接经济效益，通过提高项目村居民生产生活水平，推动劳动力就地就近实现就业，增加农民经营性和工资性收入。减少农村生产生活费用</w:t>
      </w:r>
      <w:r>
        <w:rPr>
          <w:rFonts w:hint="eastAsia" w:ascii="仿宋_GB2312" w:hAnsi="楷体" w:eastAsia="仿宋_GB2312"/>
          <w:szCs w:val="32"/>
          <w:lang w:eastAsia="zh-CN"/>
        </w:rPr>
        <w:t>；</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rPr>
        <w:t>社会效益指标</w:t>
      </w:r>
      <w:r>
        <w:rPr>
          <w:rFonts w:hint="eastAsia" w:ascii="仿宋_GB2312" w:hAnsi="楷体" w:eastAsia="仿宋_GB2312"/>
          <w:szCs w:val="32"/>
          <w:lang w:eastAsia="zh-CN"/>
        </w:rPr>
        <w:t>：</w:t>
      </w:r>
      <w:r>
        <w:rPr>
          <w:rFonts w:hint="eastAsia" w:ascii="仿宋_GB2312" w:hAnsi="楷体" w:eastAsia="仿宋_GB2312"/>
          <w:szCs w:val="32"/>
        </w:rPr>
        <w:t>持续惠及项目村居民生产生活，提升村镇人居环境、</w:t>
      </w:r>
      <w:r>
        <w:rPr>
          <w:rFonts w:hint="eastAsia" w:ascii="仿宋_GB2312" w:hAnsi="楷体" w:eastAsia="仿宋_GB2312"/>
          <w:szCs w:val="32"/>
          <w:lang w:eastAsia="zh-CN"/>
        </w:rPr>
        <w:t>提高</w:t>
      </w:r>
      <w:r>
        <w:rPr>
          <w:rFonts w:hint="eastAsia" w:ascii="仿宋_GB2312" w:hAnsi="楷体" w:eastAsia="仿宋_GB2312"/>
          <w:szCs w:val="32"/>
        </w:rPr>
        <w:t>项目村居民生活质量</w:t>
      </w:r>
      <w:r>
        <w:rPr>
          <w:rFonts w:hint="eastAsia" w:ascii="仿宋_GB2312" w:hAnsi="楷体" w:eastAsia="仿宋_GB2312"/>
          <w:szCs w:val="32"/>
          <w:lang w:eastAsia="zh-CN"/>
        </w:rPr>
        <w:t>；</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rPr>
        <w:t>生态效益指标</w:t>
      </w:r>
      <w:r>
        <w:rPr>
          <w:rFonts w:hint="eastAsia" w:ascii="仿宋_GB2312" w:hAnsi="楷体" w:eastAsia="仿宋_GB2312"/>
          <w:szCs w:val="32"/>
          <w:lang w:eastAsia="zh-CN"/>
        </w:rPr>
        <w:t>：</w:t>
      </w:r>
      <w:r>
        <w:rPr>
          <w:rFonts w:hint="eastAsia" w:ascii="仿宋_GB2312" w:hAnsi="楷体" w:eastAsia="仿宋_GB2312"/>
          <w:szCs w:val="32"/>
        </w:rPr>
        <w:t>通过修建村内道路、排水沟渠等减少农村污水乱排乱放现象，避免土路扬尘污染、降低水源区生活垃圾、污水污染</w:t>
      </w:r>
      <w:r>
        <w:rPr>
          <w:rFonts w:hint="eastAsia" w:ascii="仿宋_GB2312" w:hAnsi="楷体" w:eastAsia="仿宋_GB2312"/>
          <w:szCs w:val="32"/>
          <w:lang w:eastAsia="zh-CN"/>
        </w:rPr>
        <w:t>；</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rPr>
        <w:t>可持续影响指标</w:t>
      </w:r>
      <w:r>
        <w:rPr>
          <w:rFonts w:hint="eastAsia" w:ascii="仿宋_GB2312" w:hAnsi="楷体" w:eastAsia="仿宋_GB2312"/>
          <w:szCs w:val="32"/>
          <w:lang w:eastAsia="zh-CN"/>
        </w:rPr>
        <w:t>：</w:t>
      </w:r>
      <w:r>
        <w:rPr>
          <w:rFonts w:hint="eastAsia" w:ascii="仿宋_GB2312" w:hAnsi="楷体" w:eastAsia="仿宋_GB2312"/>
          <w:szCs w:val="32"/>
        </w:rPr>
        <w:t>持续惠及项目村居民生产生活，改善项目村基础设施情况，确保项目村居民安居乐业，有利于后续惠民工程落地实施</w:t>
      </w:r>
      <w:r>
        <w:rPr>
          <w:rFonts w:hint="eastAsia" w:ascii="仿宋_GB2312" w:hAnsi="楷体" w:eastAsia="仿宋_GB2312"/>
          <w:szCs w:val="32"/>
          <w:lang w:eastAsia="zh-CN"/>
        </w:rPr>
        <w:t>；</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服务对象满意度指标</w:t>
      </w:r>
      <w:r>
        <w:rPr>
          <w:rFonts w:hint="eastAsia" w:ascii="仿宋_GB2312" w:hAnsi="楷体" w:eastAsia="仿宋_GB2312"/>
          <w:szCs w:val="32"/>
          <w:lang w:eastAsia="zh-CN"/>
        </w:rPr>
        <w:t>：</w:t>
      </w:r>
      <w:r>
        <w:rPr>
          <w:rFonts w:hint="eastAsia" w:ascii="仿宋_GB2312" w:hAnsi="楷体" w:eastAsia="仿宋_GB2312"/>
          <w:szCs w:val="32"/>
        </w:rPr>
        <w:t>项目服务对象满意度达95%。</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仿宋_GB2312" w:hAnsi="楷体" w:eastAsia="仿宋_GB2312"/>
          <w:szCs w:val="32"/>
        </w:rPr>
      </w:pPr>
      <w:r>
        <w:rPr>
          <w:rFonts w:hint="eastAsia" w:ascii="楷体" w:hAnsi="楷体" w:eastAsia="楷体"/>
          <w:szCs w:val="32"/>
        </w:rPr>
        <w:t>（一）绩效评价目的。</w:t>
      </w: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1.前期调研。</w:t>
      </w:r>
    </w:p>
    <w:p>
      <w:pPr>
        <w:topLinePunct/>
        <w:spacing w:line="440" w:lineRule="exact"/>
        <w:ind w:firstLine="525" w:firstLineChars="250"/>
        <w:rPr>
          <w:rFonts w:hint="eastAsia" w:ascii="仿宋_GB2312" w:hAnsi="楷体" w:eastAsia="仿宋_GB2312"/>
          <w:szCs w:val="32"/>
          <w:lang w:eastAsia="zh-CN"/>
        </w:rPr>
      </w:pPr>
      <w:r>
        <w:rPr>
          <w:rFonts w:hint="eastAsia" w:ascii="仿宋_GB2312" w:hAnsi="楷体" w:eastAsia="仿宋_GB2312"/>
          <w:szCs w:val="32"/>
        </w:rPr>
        <w:t>2019年通过实地考察松华街道、滇源街道、阿子营街道，横向比较人居环境、基础设施、产业优势、村组班子等方面，</w:t>
      </w:r>
      <w:r>
        <w:rPr>
          <w:rFonts w:hint="eastAsia" w:ascii="仿宋_GB2312" w:hAnsi="楷体" w:eastAsia="仿宋_GB2312"/>
          <w:szCs w:val="32"/>
          <w:lang w:eastAsia="zh-CN"/>
        </w:rPr>
        <w:t>上报</w:t>
      </w:r>
      <w:r>
        <w:rPr>
          <w:rFonts w:hint="eastAsia" w:ascii="仿宋_GB2312" w:hAnsi="楷体" w:eastAsia="仿宋_GB2312"/>
          <w:szCs w:val="32"/>
        </w:rPr>
        <w:t>松华街道办事处小河社区、滇源街道办事处老坝村、阿子营街道办事处甸头</w:t>
      </w:r>
      <w:r>
        <w:rPr>
          <w:rFonts w:hint="eastAsia" w:ascii="仿宋_GB2312" w:hAnsi="楷体" w:eastAsia="仿宋_GB2312"/>
          <w:szCs w:val="32"/>
          <w:lang w:eastAsia="zh-CN"/>
        </w:rPr>
        <w:t>村</w:t>
      </w:r>
      <w:r>
        <w:rPr>
          <w:rFonts w:hint="eastAsia" w:ascii="仿宋_GB2312" w:hAnsi="楷体" w:eastAsia="仿宋_GB2312"/>
          <w:szCs w:val="32"/>
        </w:rPr>
        <w:t>3个</w:t>
      </w:r>
      <w:r>
        <w:rPr>
          <w:rFonts w:hint="eastAsia" w:ascii="仿宋_GB2312" w:hAnsi="楷体" w:eastAsia="仿宋_GB2312"/>
          <w:szCs w:val="32"/>
          <w:lang w:eastAsia="zh-CN"/>
        </w:rPr>
        <w:t>村为市级</w:t>
      </w:r>
      <w:r>
        <w:rPr>
          <w:rFonts w:hint="eastAsia" w:ascii="仿宋_GB2312" w:hAnsi="楷体" w:eastAsia="仿宋_GB2312"/>
          <w:szCs w:val="32"/>
        </w:rPr>
        <w:t>乡村振兴农村人居环境整治示范村</w:t>
      </w:r>
      <w:r>
        <w:rPr>
          <w:rFonts w:hint="eastAsia" w:ascii="仿宋_GB2312" w:hAnsi="楷体" w:eastAsia="仿宋_GB2312"/>
          <w:szCs w:val="32"/>
          <w:lang w:eastAsia="zh-CN"/>
        </w:rPr>
        <w:t>。</w:t>
      </w:r>
    </w:p>
    <w:p>
      <w:pPr>
        <w:numPr>
          <w:ilvl w:val="0"/>
          <w:numId w:val="3"/>
        </w:num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研究文件。</w:t>
      </w:r>
    </w:p>
    <w:p>
      <w:pPr>
        <w:numPr>
          <w:ilvl w:val="0"/>
          <w:numId w:val="0"/>
        </w:numPr>
        <w:topLinePunct/>
        <w:spacing w:line="440" w:lineRule="exact"/>
        <w:ind w:firstLine="420" w:firstLineChars="200"/>
        <w:rPr>
          <w:rFonts w:hint="eastAsia" w:ascii="仿宋_GB2312" w:hAnsi="楷体" w:eastAsia="仿宋_GB2312"/>
          <w:szCs w:val="32"/>
          <w:lang w:eastAsia="zh-CN"/>
        </w:rPr>
      </w:pPr>
      <w:r>
        <w:rPr>
          <w:rFonts w:hint="eastAsia" w:ascii="仿宋_GB2312" w:hAnsi="楷体" w:eastAsia="仿宋_GB2312"/>
          <w:szCs w:val="32"/>
        </w:rPr>
        <w:t>《昆明市财政局_昆明市农业农村局关于下达昆明市2019年乡村振兴农村人居环境整治激励奖补资金的通知》</w:t>
      </w:r>
      <w:r>
        <w:rPr>
          <w:rFonts w:hint="eastAsia" w:ascii="仿宋_GB2312" w:hAnsi="楷体" w:eastAsia="仿宋_GB2312"/>
          <w:szCs w:val="32"/>
          <w:lang w:eastAsia="zh-CN"/>
        </w:rPr>
        <w:t>。</w:t>
      </w:r>
    </w:p>
    <w:p>
      <w:pPr>
        <w:numPr>
          <w:ilvl w:val="0"/>
          <w:numId w:val="3"/>
        </w:numPr>
        <w:topLinePunct/>
        <w:spacing w:line="440" w:lineRule="exact"/>
        <w:ind w:left="0" w:leftChars="0" w:firstLine="525" w:firstLineChars="250"/>
        <w:rPr>
          <w:rFonts w:hint="eastAsia" w:ascii="仿宋_GB2312" w:hAnsi="楷体" w:eastAsia="仿宋_GB2312"/>
          <w:szCs w:val="32"/>
        </w:rPr>
      </w:pPr>
      <w:r>
        <w:rPr>
          <w:rFonts w:hint="eastAsia" w:ascii="仿宋_GB2312" w:hAnsi="楷体" w:eastAsia="仿宋_GB2312"/>
          <w:szCs w:val="32"/>
        </w:rPr>
        <w:t>绩效评价指标体系及工作方案的设计。</w:t>
      </w:r>
    </w:p>
    <w:p>
      <w:pPr>
        <w:numPr>
          <w:ilvl w:val="0"/>
          <w:numId w:val="0"/>
        </w:numPr>
        <w:topLinePunct/>
        <w:spacing w:line="440" w:lineRule="exact"/>
        <w:ind w:firstLine="420" w:firstLineChars="200"/>
        <w:rPr>
          <w:rFonts w:hint="eastAsia" w:ascii="仿宋_GB2312" w:hAnsi="楷体" w:eastAsia="仿宋_GB2312"/>
          <w:szCs w:val="32"/>
          <w:lang w:eastAsia="zh-CN"/>
        </w:rPr>
      </w:pPr>
      <w:r>
        <w:rPr>
          <w:rFonts w:hint="eastAsia" w:ascii="仿宋_GB2312" w:hAnsi="楷体" w:eastAsia="仿宋_GB2312"/>
          <w:szCs w:val="32"/>
          <w:lang w:eastAsia="zh-CN"/>
        </w:rPr>
        <w:t>纳入区农业农村局统一评价指标体系，制定《</w:t>
      </w:r>
      <w:r>
        <w:rPr>
          <w:rFonts w:hint="eastAsia" w:ascii="仿宋_GB2312" w:hAnsi="楷体" w:eastAsia="仿宋_GB2312"/>
          <w:szCs w:val="32"/>
        </w:rPr>
        <w:t>盘龙区农村人居环境整治激励奖补资金使用计划</w:t>
      </w:r>
      <w:r>
        <w:rPr>
          <w:rFonts w:hint="eastAsia" w:ascii="仿宋_GB2312" w:hAnsi="楷体" w:eastAsia="仿宋_GB2312"/>
          <w:szCs w:val="32"/>
          <w:lang w:eastAsia="zh-CN"/>
        </w:rPr>
        <w:t>》。</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bookmarkStart w:id="0" w:name="_GoBack"/>
      <w:bookmarkEnd w:id="0"/>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包括科学规范、公开公正、绩效相关等原则。</w:t>
      </w:r>
    </w:p>
    <w:p>
      <w:pPr>
        <w:numPr>
          <w:ilvl w:val="0"/>
          <w:numId w:val="4"/>
        </w:num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绩效评价方法。</w:t>
      </w:r>
    </w:p>
    <w:p>
      <w:pPr>
        <w:numPr>
          <w:ilvl w:val="0"/>
          <w:numId w:val="0"/>
        </w:num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包括指标评价、数据采集和社会调查中所采用的方法。</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topLinePunct/>
        <w:spacing w:line="440" w:lineRule="exact"/>
        <w:ind w:firstLine="525" w:firstLineChars="250"/>
        <w:rPr>
          <w:rFonts w:ascii="仿宋_GB2312" w:hAnsi="仿宋" w:eastAsia="仿宋_GB2312"/>
          <w:szCs w:val="32"/>
        </w:rPr>
      </w:pPr>
      <w:r>
        <w:rPr>
          <w:rFonts w:hint="eastAsia" w:ascii="仿宋_GB2312" w:hAnsi="仿宋" w:eastAsia="仿宋_GB2312"/>
          <w:szCs w:val="32"/>
        </w:rPr>
        <w:t>1.评价结果。</w:t>
      </w:r>
    </w:p>
    <w:p>
      <w:pPr>
        <w:topLinePunct/>
        <w:spacing w:line="440" w:lineRule="exact"/>
        <w:ind w:firstLine="525" w:firstLineChars="250"/>
        <w:rPr>
          <w:rFonts w:ascii="仿宋_GB2312" w:hAnsi="仿宋" w:eastAsia="仿宋_GB2312"/>
          <w:szCs w:val="32"/>
        </w:rPr>
      </w:pPr>
      <w:r>
        <w:rPr>
          <w:rFonts w:hint="eastAsia" w:ascii="仿宋_GB2312" w:hAnsi="仿宋" w:eastAsia="仿宋_GB2312"/>
          <w:szCs w:val="32"/>
        </w:rPr>
        <w:t>2.主要绩效。</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p>
      <w:pPr>
        <w:topLinePunct/>
        <w:spacing w:line="440" w:lineRule="exact"/>
        <w:ind w:firstLine="525" w:firstLineChars="250"/>
        <w:rPr>
          <w:rFonts w:ascii="仿宋_GB2312" w:hAnsi="黑体" w:eastAsia="仿宋_GB2312"/>
          <w:szCs w:val="32"/>
        </w:rPr>
      </w:pPr>
      <w:r>
        <w:rPr>
          <w:rFonts w:hint="eastAsia" w:ascii="黑体" w:hAnsi="黑体" w:eastAsia="黑体"/>
          <w:szCs w:val="32"/>
        </w:rPr>
        <w:t>四、成本效益分析。</w:t>
      </w:r>
      <w:r>
        <w:rPr>
          <w:rFonts w:hint="eastAsia" w:ascii="仿宋_GB2312" w:hAnsi="仿宋" w:eastAsia="仿宋_GB2312"/>
        </w:rPr>
        <w:t>对资金使用方向、资金收入和支出结构；项目和资金管理情况；资金的节约性、资金使用效果；变化趋势等进行分析评价。</w:t>
      </w:r>
    </w:p>
    <w:p>
      <w:pPr>
        <w:topLinePunct/>
        <w:spacing w:line="440" w:lineRule="exact"/>
        <w:ind w:firstLine="525"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rPr>
          <w:rFonts w:eastAsia="黑体"/>
        </w:rPr>
      </w:pPr>
    </w:p>
    <w:p>
      <w:pPr>
        <w:spacing w:line="440" w:lineRule="exact"/>
        <w:jc w:val="center"/>
        <w:rPr>
          <w:rFonts w:ascii="方正小标宋_GBK" w:eastAsia="方正小标宋_GBK"/>
        </w:rPr>
      </w:pPr>
      <w:r>
        <w:rPr>
          <w:rFonts w:hint="eastAsia" w:ascii="方正小标宋_GBK" w:eastAsia="方正小标宋_GBK"/>
        </w:rPr>
        <w:t>绩效评价报告正文后附以下佐证材料</w:t>
      </w:r>
    </w:p>
    <w:p>
      <w:pPr>
        <w:spacing w:line="440" w:lineRule="exact"/>
        <w:ind w:left="630" w:hanging="630" w:hangingChars="300"/>
        <w:jc w:val="left"/>
        <w:rPr>
          <w:rFonts w:ascii="仿宋_GB2312" w:hAnsi="仿宋" w:eastAsia="仿宋_GB2312"/>
        </w:rPr>
      </w:pPr>
      <w:r>
        <w:rPr>
          <w:rFonts w:hint="eastAsia" w:ascii="仿宋_GB2312" w:hAnsi="仿宋" w:eastAsia="仿宋_GB2312"/>
        </w:rPr>
        <w:t>1.绩效评价指标体系；</w:t>
      </w:r>
    </w:p>
    <w:p>
      <w:pPr>
        <w:spacing w:line="440" w:lineRule="exact"/>
        <w:ind w:left="630" w:hanging="630" w:hangingChars="300"/>
        <w:jc w:val="left"/>
        <w:rPr>
          <w:rFonts w:ascii="仿宋_GB2312" w:hAnsi="仿宋" w:eastAsia="仿宋_GB2312"/>
        </w:rPr>
      </w:pPr>
      <w:r>
        <w:rPr>
          <w:rFonts w:hint="eastAsia" w:ascii="仿宋_GB2312" w:hAnsi="仿宋" w:eastAsia="仿宋_GB2312"/>
        </w:rPr>
        <w:t>2.基础数据表（进行成本效益分析需采集的数据）；</w:t>
      </w:r>
    </w:p>
    <w:p>
      <w:pPr>
        <w:spacing w:line="440" w:lineRule="exact"/>
        <w:ind w:left="630" w:hanging="630" w:hangingChars="300"/>
        <w:jc w:val="left"/>
        <w:rPr>
          <w:rFonts w:ascii="仿宋_GB2312" w:hAnsi="仿宋" w:eastAsia="仿宋_GB2312"/>
        </w:rPr>
      </w:pPr>
      <w:r>
        <w:rPr>
          <w:rFonts w:hint="eastAsia" w:ascii="仿宋_GB2312" w:hAnsi="仿宋" w:eastAsia="仿宋_GB2312"/>
        </w:rPr>
        <w:t>3.访谈分析报告；</w:t>
      </w:r>
    </w:p>
    <w:p>
      <w:pPr>
        <w:spacing w:line="440" w:lineRule="exact"/>
        <w:ind w:left="630" w:hanging="630" w:hangingChars="300"/>
        <w:jc w:val="left"/>
        <w:rPr>
          <w:rFonts w:ascii="仿宋_GB2312" w:hAnsi="仿宋" w:eastAsia="仿宋_GB2312"/>
        </w:rPr>
      </w:pPr>
      <w:r>
        <w:rPr>
          <w:rFonts w:hint="eastAsia" w:ascii="仿宋_GB2312" w:hAnsi="仿宋" w:eastAsia="仿宋_GB2312"/>
        </w:rPr>
        <w:t>4.社会调查问卷分析报告；</w:t>
      </w:r>
    </w:p>
    <w:p>
      <w:pPr>
        <w:jc w:val="left"/>
        <w:rPr>
          <w:rFonts w:ascii="方正小标宋_GBK" w:eastAsia="方正小标宋_GBK"/>
          <w:sz w:val="32"/>
          <w:szCs w:val="32"/>
        </w:rPr>
      </w:pPr>
      <w:r>
        <w:rPr>
          <w:rFonts w:hint="eastAsia" w:ascii="仿宋_GB2312" w:hAnsi="仿宋" w:eastAsia="仿宋_GB2312"/>
        </w:rPr>
        <w:t>5.①市政府相关规划、决策、批复；②立项申请、批复文件；③绩效目标申报表。</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fldChar w:fldCharType="begin"/>
    </w:r>
    <w:r>
      <w:instrText xml:space="preserve"> PAGE   \* MERGEFORMAT </w:instrText>
    </w:r>
    <w:r>
      <w:fldChar w:fldCharType="separate"/>
    </w:r>
    <w:r>
      <w:rPr>
        <w:lang w:val="zh-CN"/>
      </w:rPr>
      <w:t>39</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017AAE"/>
    <w:multiLevelType w:val="singleLevel"/>
    <w:tmpl w:val="8B017AAE"/>
    <w:lvl w:ilvl="0" w:tentative="0">
      <w:start w:val="1"/>
      <w:numFmt w:val="chineseCounting"/>
      <w:suff w:val="nothing"/>
      <w:lvlText w:val="%1、"/>
      <w:lvlJc w:val="left"/>
      <w:rPr>
        <w:rFonts w:hint="eastAsia"/>
      </w:rPr>
    </w:lvl>
  </w:abstractNum>
  <w:abstractNum w:abstractNumId="1">
    <w:nsid w:val="ACCBE435"/>
    <w:multiLevelType w:val="singleLevel"/>
    <w:tmpl w:val="ACCBE435"/>
    <w:lvl w:ilvl="0" w:tentative="0">
      <w:start w:val="4"/>
      <w:numFmt w:val="decimal"/>
      <w:lvlText w:val="%1."/>
      <w:lvlJc w:val="left"/>
      <w:pPr>
        <w:tabs>
          <w:tab w:val="left" w:pos="312"/>
        </w:tabs>
      </w:pPr>
    </w:lvl>
  </w:abstractNum>
  <w:abstractNum w:abstractNumId="2">
    <w:nsid w:val="49F1AED4"/>
    <w:multiLevelType w:val="singleLevel"/>
    <w:tmpl w:val="49F1AED4"/>
    <w:lvl w:ilvl="0" w:tentative="0">
      <w:start w:val="2"/>
      <w:numFmt w:val="decimal"/>
      <w:lvlText w:val="%1."/>
      <w:lvlJc w:val="left"/>
      <w:pPr>
        <w:tabs>
          <w:tab w:val="left" w:pos="312"/>
        </w:tabs>
      </w:pPr>
    </w:lvl>
  </w:abstractNum>
  <w:abstractNum w:abstractNumId="3">
    <w:nsid w:val="57DA7143"/>
    <w:multiLevelType w:val="singleLevel"/>
    <w:tmpl w:val="57DA7143"/>
    <w:lvl w:ilvl="0" w:tentative="0">
      <w:start w:val="2"/>
      <w:numFmt w:val="decimal"/>
      <w:lvlText w:val="%1."/>
      <w:lvlJc w:val="left"/>
      <w:pPr>
        <w:tabs>
          <w:tab w:val="left" w:pos="312"/>
        </w:tabs>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3C66C1"/>
    <w:rsid w:val="633C66C1"/>
    <w:rsid w:val="697758E9"/>
    <w:rsid w:val="6F0F3830"/>
    <w:rsid w:val="7A4E5C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footer"/>
    <w:basedOn w:val="1"/>
    <w:unhideWhenUsed/>
    <w:uiPriority w:val="99"/>
    <w:pPr>
      <w:tabs>
        <w:tab w:val="center" w:pos="4153"/>
        <w:tab w:val="right" w:pos="8306"/>
      </w:tabs>
      <w:snapToGrid w:val="0"/>
      <w:jc w:val="left"/>
    </w:pPr>
    <w:rPr>
      <w:kern w:val="0"/>
      <w:sz w:val="18"/>
      <w:szCs w:val="18"/>
    </w:rPr>
  </w:style>
  <w:style w:type="paragraph" w:styleId="4">
    <w:name w:val="header"/>
    <w:basedOn w:val="1"/>
    <w:unhideWhenUsed/>
    <w:uiPriority w:val="99"/>
    <w:pPr>
      <w:pBdr>
        <w:bottom w:val="single" w:color="auto" w:sz="6" w:space="1"/>
      </w:pBdr>
      <w:tabs>
        <w:tab w:val="center" w:pos="4153"/>
        <w:tab w:val="right" w:pos="8306"/>
      </w:tabs>
      <w:snapToGrid w:val="0"/>
      <w:jc w:val="center"/>
    </w:pPr>
    <w:rPr>
      <w:kern w:val="0"/>
      <w:sz w:val="18"/>
      <w:szCs w:val="18"/>
    </w:rPr>
  </w:style>
  <w:style w:type="paragraph" w:customStyle="1" w:styleId="7">
    <w:name w:val="正文 A"/>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8">
    <w:name w:val="TOC 标题1"/>
    <w:basedOn w:val="2"/>
    <w:next w:val="1"/>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4</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2021-05-26T08:49:00Z</dcterms:created>
  <dc:creator>Administrator</dc:creator>
  <cp:lastModifiedBy>Administrator</cp:lastModifiedBy>
  <dcterms:modified xsi:type="dcterms:W3CDTF">2021-05-31T01:51:12Z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