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DBA" w:rsidRDefault="00DF0DBA">
      <w:pPr>
        <w:spacing w:line="600" w:lineRule="exact"/>
        <w:jc w:val="left"/>
        <w:rPr>
          <w:rFonts w:ascii="黑体" w:eastAsia="黑体" w:hAnsi="黑体"/>
          <w:szCs w:val="32"/>
        </w:rPr>
      </w:pPr>
    </w:p>
    <w:p w:rsidR="00DF0DBA" w:rsidRPr="00975F76" w:rsidRDefault="00975F76" w:rsidP="00975F76">
      <w:pPr>
        <w:spacing w:line="520" w:lineRule="exact"/>
        <w:jc w:val="center"/>
        <w:rPr>
          <w:rFonts w:ascii="方正小标宋_GBK" w:eastAsia="方正小标宋_GBK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sz w:val="44"/>
          <w:szCs w:val="44"/>
        </w:rPr>
        <w:t>盘龙区</w:t>
      </w:r>
      <w:r>
        <w:rPr>
          <w:rFonts w:asciiTheme="majorEastAsia" w:eastAsiaTheme="majorEastAsia" w:hAnsiTheme="majorEastAsia" w:cstheme="majorEastAsia" w:hint="eastAsia"/>
          <w:sz w:val="44"/>
          <w:szCs w:val="44"/>
        </w:rPr>
        <w:t>信访局</w:t>
      </w:r>
      <w:r>
        <w:rPr>
          <w:rFonts w:asciiTheme="majorEastAsia" w:eastAsiaTheme="majorEastAsia" w:hAnsiTheme="majorEastAsia" w:cstheme="majorEastAsia" w:hint="eastAsia"/>
          <w:sz w:val="44"/>
          <w:szCs w:val="44"/>
        </w:rPr>
        <w:t>20</w:t>
      </w:r>
      <w:r>
        <w:rPr>
          <w:rFonts w:asciiTheme="majorEastAsia" w:eastAsiaTheme="majorEastAsia" w:hAnsiTheme="majorEastAsia" w:cstheme="majorEastAsia" w:hint="eastAsia"/>
          <w:sz w:val="44"/>
          <w:szCs w:val="44"/>
        </w:rPr>
        <w:t>20</w:t>
      </w:r>
      <w:r>
        <w:rPr>
          <w:rFonts w:asciiTheme="majorEastAsia" w:eastAsiaTheme="majorEastAsia" w:hAnsiTheme="majorEastAsia" w:cstheme="majorEastAsia" w:hint="eastAsia"/>
          <w:sz w:val="44"/>
          <w:szCs w:val="44"/>
        </w:rPr>
        <w:t>年部门整体支出</w:t>
      </w:r>
    </w:p>
    <w:p w:rsidR="00DF0DBA" w:rsidRDefault="00975F76">
      <w:pPr>
        <w:spacing w:line="520" w:lineRule="exact"/>
        <w:ind w:firstLineChars="200" w:firstLine="880"/>
        <w:jc w:val="center"/>
        <w:rPr>
          <w:rFonts w:asciiTheme="majorEastAsia" w:eastAsiaTheme="majorEastAsia" w:hAnsiTheme="majorEastAsia" w:cstheme="majorEastAsia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sz w:val="44"/>
          <w:szCs w:val="44"/>
        </w:rPr>
        <w:t>绩效自评报告</w:t>
      </w:r>
    </w:p>
    <w:p w:rsidR="00DF0DBA" w:rsidRDefault="00DF0DBA">
      <w:pPr>
        <w:spacing w:line="520" w:lineRule="exact"/>
        <w:ind w:firstLineChars="200" w:firstLine="480"/>
        <w:jc w:val="center"/>
        <w:rPr>
          <w:rFonts w:ascii="仿宋_GB2312" w:eastAsia="仿宋_GB2312"/>
          <w:sz w:val="24"/>
          <w:szCs w:val="24"/>
        </w:rPr>
      </w:pPr>
    </w:p>
    <w:p w:rsidR="00DF0DBA" w:rsidRDefault="00975F76">
      <w:pPr>
        <w:numPr>
          <w:ilvl w:val="0"/>
          <w:numId w:val="1"/>
        </w:num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部门概况</w:t>
      </w:r>
    </w:p>
    <w:p w:rsidR="00DF0DBA" w:rsidRDefault="00975F76">
      <w:pPr>
        <w:numPr>
          <w:ilvl w:val="0"/>
          <w:numId w:val="2"/>
        </w:num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盘龙区信访局职能职责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负责处理公民、法人及其他组织通过信访渠道给区委、区政府及领导同志的来信来电和网络信访事项，接待来访。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承办上级机关和区委、区政府领导同志转办、交办的信访事项，督促检查办理落实情况。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贯彻落实党中央、国务院、省、市、区委政府关于信访工作决策部署，推进信访工作制度改革和信访法治化建设，推动总结推广工作经验，提出加强和改进信访工作的意见建议。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综合协调和指导全区信访工作，组织开展联合接访工作，交办、转送信访事项，承担信访事项督查督办、复查复核工作，协调、处理进京上访的处置工作。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</w:rPr>
        <w:t>制定信访问题排查化解制度并组织实施，推进依法分类处理信访诉求，开展人民建议征集工作，建立和完善信访信息汇集分析机制，及时反映倾向性、动态性信息和影响社会稳定的突出问题。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</w:t>
      </w:r>
      <w:r>
        <w:rPr>
          <w:rFonts w:ascii="仿宋" w:eastAsia="仿宋" w:hAnsi="仿宋" w:cs="仿宋" w:hint="eastAsia"/>
          <w:sz w:val="32"/>
          <w:szCs w:val="32"/>
        </w:rPr>
        <w:t>负责信访信息化建设，指导全区信访信</w:t>
      </w:r>
      <w:r>
        <w:rPr>
          <w:rFonts w:ascii="仿宋" w:eastAsia="仿宋" w:hAnsi="仿宋" w:cs="仿宋" w:hint="eastAsia"/>
          <w:sz w:val="32"/>
          <w:szCs w:val="32"/>
        </w:rPr>
        <w:t>息系统建设和应用工作。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</w:t>
      </w:r>
      <w:r>
        <w:rPr>
          <w:rFonts w:ascii="仿宋" w:eastAsia="仿宋" w:hAnsi="仿宋" w:cs="仿宋" w:hint="eastAsia"/>
          <w:sz w:val="32"/>
          <w:szCs w:val="32"/>
        </w:rPr>
        <w:t>负责信访工作宣传和信息发布，组织信访工作检查考评和干部教育培训工作。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</w:t>
      </w:r>
      <w:r>
        <w:rPr>
          <w:rFonts w:ascii="仿宋" w:eastAsia="仿宋" w:hAnsi="仿宋" w:cs="仿宋" w:hint="eastAsia"/>
          <w:sz w:val="32"/>
          <w:szCs w:val="32"/>
        </w:rPr>
        <w:t>承担区委信访工作联席会议办公室日常工作，督促落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实联席会议决定事项；负责盘龙区信访事项复查复核委员会办公室日常工作。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9.</w:t>
      </w:r>
      <w:r>
        <w:rPr>
          <w:rFonts w:ascii="仿宋" w:eastAsia="仿宋" w:hAnsi="仿宋" w:cs="仿宋" w:hint="eastAsia"/>
          <w:sz w:val="32"/>
          <w:szCs w:val="32"/>
        </w:rPr>
        <w:t>完成区委、区政府交办的其他任务。</w:t>
      </w:r>
    </w:p>
    <w:p w:rsidR="00DF0DBA" w:rsidRDefault="00975F76">
      <w:p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（二）重点工作概述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1.2020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日信访接处情况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云南信访系统受理信访事项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1802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件，比去年同期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1091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件上升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65%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。按收件方式统计，其中有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上级交办件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1031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件、自办件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771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件。按信访渠道统计，其中：来访录入办件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317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网上信访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216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件次、人民网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607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件次、领导信箱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120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件次、微信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237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，手机语音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邮件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来信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234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以网上信访为主的非接触式信访占比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82%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同比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723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件次，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上升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105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。网上信访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逐步成为群众信访主渠道。区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群众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信访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接待中心现场接访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共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接待来访群众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566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批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1603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人次，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受理群众信访事项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317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批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716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人次，同比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368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批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974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人次，批次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上升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54.35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、人次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上升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64.58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各渠道信访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反映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问题突出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涉及：一是旧城改造、城中村改造领域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拆迁补偿安置，突出的有马家营项目拆迁补偿安置问题；二是涉及项目施工扰民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，突出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的是马家营项目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三是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涉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及房地产交房标准、产权登记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，突出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的有翡翠华庭、溪麓南郡、天宇花园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、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玉器城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等，四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是劳资纠纷问题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，突出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的是美的顺城府劳动者维权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；五是受疫情影响来访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，突出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的有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茨坝“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871</w:t>
      </w:r>
      <w:r>
        <w:rPr>
          <w:rFonts w:ascii="仿宋_GB2312" w:eastAsia="仿宋_GB2312" w:hAnsi="黑体" w:hint="eastAsia"/>
          <w:color w:val="000000" w:themeColor="text1"/>
          <w:sz w:val="32"/>
          <w:szCs w:val="32"/>
        </w:rPr>
        <w:t>”商户租金减免和健身行业复工问题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；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六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是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涉众型经济案件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利益受损群体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来访；七是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水源区低保清理、生态补偿兑现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问题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各项信访工作考核指标进展情况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lastRenderedPageBreak/>
        <w:t>区委常委会专题研究制定了区级领导包案责任制，对纳入的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56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件案件实行“一案一专班”，定期组织开展党政领导干部接访、下访活动，认真推进省、市领导包案案件的办理。</w:t>
      </w:r>
      <w:r>
        <w:rPr>
          <w:rFonts w:hint="eastAsia"/>
          <w:color w:val="000000" w:themeColor="text1"/>
        </w:rPr>
        <w:t xml:space="preserve"> 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信访事项“三率”完成情况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: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信访事项受理率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100%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，及时受理率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99.52%;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办结率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99.93%,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及时办结率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96.86%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；满意率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98.37%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；参评率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33.92%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未发生到京非接待场所上访和到省、市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50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人以上集体访。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 xml:space="preserve">20 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件督办信访事项均严格落实包案化解责任，及时调查处理，认真解决群众合理诉求，维护群众的合法权益，抓好后续工作，并报送案件进展情况。目前已办结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20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件，办结率为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100%</w:t>
      </w:r>
      <w:r>
        <w:rPr>
          <w:rFonts w:ascii="仿宋_GB2312" w:eastAsia="仿宋_GB2312" w:hAnsi="宋体" w:cs="宋体" w:hint="eastAsia"/>
          <w:color w:val="000000" w:themeColor="text1"/>
          <w:sz w:val="32"/>
          <w:szCs w:val="32"/>
        </w:rPr>
        <w:t>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信访工作开展情况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高位统筹抓落实</w:t>
      </w:r>
    </w:p>
    <w:p w:rsidR="00DF0DBA" w:rsidRDefault="00975F7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在区委、区政府的统筹部署下，</w:t>
      </w:r>
      <w:r>
        <w:rPr>
          <w:rFonts w:ascii="仿宋_GB2312" w:eastAsia="仿宋_GB2312" w:hAnsi="仿宋_GB2312" w:cs="仿宋_GB2312" w:hint="eastAsia"/>
          <w:sz w:val="32"/>
          <w:szCs w:val="32"/>
        </w:rPr>
        <w:t>不断巩固区委信访联席工作基础，</w:t>
      </w:r>
      <w:r>
        <w:rPr>
          <w:rFonts w:ascii="仿宋_GB2312" w:eastAsia="仿宋_GB2312" w:hAnsi="仿宋_GB2312" w:cs="仿宋_GB2312" w:hint="eastAsia"/>
          <w:sz w:val="32"/>
          <w:szCs w:val="32"/>
        </w:rPr>
        <w:t>全区“街道</w:t>
      </w:r>
      <w:r>
        <w:rPr>
          <w:rFonts w:ascii="仿宋_GB2312" w:eastAsia="仿宋_GB2312" w:hAnsi="仿宋_GB2312" w:cs="仿宋_GB2312" w:hint="eastAsia"/>
          <w:sz w:val="32"/>
          <w:szCs w:val="32"/>
        </w:rPr>
        <w:t>（政务）吹哨、部门报到</w:t>
      </w:r>
      <w:r>
        <w:rPr>
          <w:rFonts w:ascii="仿宋_GB2312" w:eastAsia="仿宋_GB2312" w:hAnsi="仿宋_GB2312" w:cs="仿宋_GB2312" w:hint="eastAsia"/>
          <w:sz w:val="32"/>
          <w:szCs w:val="32"/>
        </w:rPr>
        <w:t>”工作机制</w:t>
      </w:r>
      <w:r>
        <w:rPr>
          <w:rFonts w:ascii="仿宋_GB2312" w:eastAsia="仿宋_GB2312" w:hAnsi="仿宋_GB2312" w:cs="仿宋_GB2312" w:hint="eastAsia"/>
          <w:sz w:val="32"/>
          <w:szCs w:val="32"/>
        </w:rPr>
        <w:t>有效运行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上半年区委常委会对区级领导包案工作进行专题研究和安排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及时贯彻落实全市信访工作会议精神，</w:t>
      </w:r>
      <w:r>
        <w:rPr>
          <w:rFonts w:ascii="仿宋_GB2312" w:eastAsia="仿宋_GB2312" w:hAnsi="仿宋_GB2312" w:cs="仿宋_GB2312" w:hint="eastAsia"/>
          <w:sz w:val="32"/>
          <w:szCs w:val="32"/>
        </w:rPr>
        <w:t>将信访工作目标内容纳入区委目督考核指标；区政府第十四届四次全体会议专题安排了年度信访工作任务，并将信访工作列入区政府督查检查计划，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年上半年市级领导带案下访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次。</w:t>
      </w:r>
      <w:r>
        <w:rPr>
          <w:rFonts w:ascii="仿宋_GB2312" w:eastAsia="仿宋_GB2312" w:hAnsi="仿宋_GB2312" w:cs="仿宋_GB2312" w:hint="eastAsia"/>
          <w:sz w:val="32"/>
          <w:szCs w:val="32"/>
        </w:rPr>
        <w:t>区信访</w:t>
      </w:r>
      <w:r>
        <w:rPr>
          <w:rFonts w:ascii="仿宋_GB2312" w:eastAsia="仿宋_GB2312" w:hAnsi="仿宋_GB2312" w:cs="仿宋_GB2312" w:hint="eastAsia"/>
          <w:sz w:val="32"/>
          <w:szCs w:val="32"/>
        </w:rPr>
        <w:t>局党组高度统一思想认识，</w:t>
      </w:r>
      <w:r>
        <w:rPr>
          <w:rFonts w:ascii="仿宋_GB2312" w:eastAsia="仿宋_GB2312" w:hAnsi="仿宋_GB2312" w:cs="仿宋_GB2312" w:hint="eastAsia"/>
          <w:sz w:val="32"/>
          <w:szCs w:val="32"/>
        </w:rPr>
        <w:t>将信访工作列入党组重要议事日程，每月定期研究、重点和督办案件专题研究，进一步</w:t>
      </w:r>
      <w:r>
        <w:rPr>
          <w:rFonts w:ascii="仿宋_GB2312" w:eastAsia="仿宋_GB2312" w:hAnsi="仿宋_GB2312" w:cs="仿宋_GB2312" w:hint="eastAsia"/>
          <w:sz w:val="32"/>
          <w:szCs w:val="32"/>
        </w:rPr>
        <w:t>建立健全</w:t>
      </w:r>
      <w:r>
        <w:rPr>
          <w:rFonts w:ascii="仿宋_GB2312" w:eastAsia="仿宋_GB2312" w:hAnsi="仿宋_GB2312" w:cs="仿宋_GB2312" w:hint="eastAsia"/>
          <w:sz w:val="32"/>
          <w:szCs w:val="32"/>
        </w:rPr>
        <w:t>盘龙区信访局</w:t>
      </w:r>
      <w:r>
        <w:rPr>
          <w:rFonts w:ascii="仿宋_GB2312" w:eastAsia="仿宋_GB2312" w:hAnsi="仿宋_GB2312" w:cs="仿宋_GB2312" w:hint="eastAsia"/>
          <w:sz w:val="32"/>
          <w:szCs w:val="32"/>
        </w:rPr>
        <w:t>业务规范及专项经费管理制度。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畅通渠道接来访</w:t>
      </w:r>
    </w:p>
    <w:p w:rsidR="00DF0DBA" w:rsidRDefault="00975F76">
      <w:pPr>
        <w:spacing w:line="560" w:lineRule="exact"/>
        <w:ind w:rightChars="-104" w:right="-218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一是</w:t>
      </w:r>
      <w:r>
        <w:rPr>
          <w:rFonts w:ascii="仿宋_GB2312" w:eastAsia="仿宋_GB2312" w:hAnsi="仿宋_GB2312" w:cs="仿宋_GB2312" w:hint="eastAsia"/>
          <w:sz w:val="32"/>
          <w:szCs w:val="32"/>
        </w:rPr>
        <w:t>大力推广网上信访，畅通非接触式信访渠道。二是建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立与街道联动机制，对涉疫信访件处置情况全程跟踪掌握。三是做好接访场所防疫防护。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）落实包案强应急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一是信访积案责任包保到位，二是专项工作应急接访到位。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）规范业务提质效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开展信访法治宣传及信访调研活动。按《关于认真做好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年信访法治宣传及信访调研工作的通知》（昆信发〔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号）要求，以《信访条</w:t>
      </w:r>
      <w:r>
        <w:rPr>
          <w:rFonts w:ascii="仿宋_GB2312" w:eastAsia="仿宋_GB2312" w:hAnsi="仿宋_GB2312" w:cs="仿宋_GB2312" w:hint="eastAsia"/>
          <w:sz w:val="32"/>
          <w:szCs w:val="32"/>
        </w:rPr>
        <w:t>例》修订</w:t>
      </w:r>
      <w:r>
        <w:rPr>
          <w:rFonts w:ascii="仿宋_GB2312" w:eastAsia="仿宋_GB2312" w:hAnsi="仿宋_GB2312" w:cs="仿宋_GB2312" w:hint="eastAsia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z w:val="32"/>
          <w:szCs w:val="32"/>
        </w:rPr>
        <w:t>周年主题宣传活动为契机，开展主题征文、系列讲座、以案释法、社区文艺演出等形式多样的法治宣传活动，积极做好信访调研工作。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分责定岗、专题培训双管齐下提高办信质效。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信息通报</w:t>
      </w:r>
      <w:r>
        <w:rPr>
          <w:rFonts w:ascii="仿宋_GB2312" w:eastAsia="仿宋_GB2312" w:hAnsi="仿宋_GB2312" w:cs="仿宋_GB2312" w:hint="eastAsia"/>
          <w:sz w:val="32"/>
          <w:szCs w:val="32"/>
        </w:rPr>
        <w:t>推联动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）方式创新促绩效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创新探索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年以来，</w:t>
      </w:r>
      <w:r>
        <w:rPr>
          <w:rFonts w:ascii="仿宋_GB2312" w:eastAsia="仿宋_GB2312" w:hAnsi="仿宋_GB2312" w:cs="仿宋_GB2312" w:hint="eastAsia"/>
          <w:sz w:val="32"/>
          <w:szCs w:val="32"/>
        </w:rPr>
        <w:t>区信访局从三个方面积极探索创新工作方式。一是，制度建设厘清信访工作职责，规范办信。制定完善考核办法、专项经费管理办法和相关规定。根据上级年度工作部署和区委、区政府目督考核统一计划，区信访局</w:t>
      </w:r>
      <w:r>
        <w:rPr>
          <w:rFonts w:ascii="仿宋_GB2312" w:eastAsia="仿宋_GB2312" w:hAnsi="仿宋_GB2312" w:cs="仿宋_GB2312" w:hint="eastAsia"/>
          <w:sz w:val="32"/>
          <w:szCs w:val="32"/>
        </w:rPr>
        <w:t>全区向信联成员单位及街道广泛征集信访工作考核意见，制定印发了《盘龙区信访工作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考核办法（试行）》及《信访工作考核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年重点工作》</w:t>
      </w:r>
      <w:r>
        <w:rPr>
          <w:rFonts w:ascii="仿宋_GB2312" w:eastAsia="仿宋_GB2312" w:hAnsi="仿宋_GB2312" w:cs="仿宋_GB2312" w:hint="eastAsia"/>
          <w:sz w:val="32"/>
          <w:szCs w:val="32"/>
        </w:rPr>
        <w:t>，发挥好信访工作“指挥棒”的作用。</w:t>
      </w:r>
      <w:r>
        <w:rPr>
          <w:rFonts w:ascii="仿宋_GB2312" w:eastAsia="仿宋_GB2312" w:hAnsi="仿宋_GB2312" w:cs="仿宋_GB2312" w:hint="eastAsia"/>
          <w:sz w:val="32"/>
          <w:szCs w:val="32"/>
        </w:rPr>
        <w:t>并制定了《盘龙区信访处突经费管理办法》，在主要领导过渡期间还制定了《盘龙区信访局过渡期管理决策及财务审批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办法》。</w:t>
      </w:r>
    </w:p>
    <w:p w:rsidR="00DF0DBA" w:rsidRDefault="00975F76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是，带案下访助力“街道吹哨、部门报到”机关运行，联合办信。针对重大疑难信访件和群体访苗头，区信访局与涉访责任单位、街道联合召集相关部门，局党组全体总动员，到涉访责任街道与群体访代表见面，把握接访主动权，坚持正面宣传，及时通报接访事项的受</w:t>
      </w:r>
      <w:r>
        <w:rPr>
          <w:rFonts w:ascii="仿宋" w:eastAsia="仿宋" w:hAnsi="仿宋" w:cs="仿宋" w:hint="eastAsia"/>
          <w:sz w:val="32"/>
          <w:szCs w:val="32"/>
        </w:rPr>
        <w:t>理情况。</w:t>
      </w:r>
    </w:p>
    <w:p w:rsidR="00DF0DBA" w:rsidRDefault="00975F76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三是，落实区信访局党员干部对口协办信访工作机制。</w:t>
      </w:r>
      <w:r>
        <w:rPr>
          <w:rFonts w:ascii="仿宋_GB2312" w:eastAsia="仿宋_GB2312" w:hAnsi="仿宋_GB2312" w:cs="仿宋_GB2312" w:hint="eastAsia"/>
          <w:sz w:val="32"/>
          <w:szCs w:val="32"/>
        </w:rPr>
        <w:t>由局党组成员带头，全局党员干部对区委、区政府各部门和所属街道实行信访工作分片联系、对口协办的网格化工作布局，实行对口协办工作信息周汇报、月小结、季总结的报告研判制度，确保信访和社会矛盾纠纷隐患排查及时、预警有效、办件有序。</w:t>
      </w:r>
    </w:p>
    <w:p w:rsidR="00DF0DBA" w:rsidRDefault="00975F76">
      <w:p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（三）预算收支总额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盘龙区信访局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年收入合计：</w:t>
      </w:r>
      <w:r>
        <w:rPr>
          <w:rFonts w:ascii="仿宋" w:eastAsia="仿宋" w:hAnsi="仿宋" w:cs="仿宋" w:hint="eastAsia"/>
          <w:sz w:val="32"/>
          <w:szCs w:val="32"/>
        </w:rPr>
        <w:t>2264816.04</w:t>
      </w:r>
      <w:r>
        <w:rPr>
          <w:rFonts w:ascii="仿宋" w:eastAsia="仿宋" w:hAnsi="仿宋" w:cs="仿宋" w:hint="eastAsia"/>
          <w:sz w:val="32"/>
          <w:szCs w:val="32"/>
        </w:rPr>
        <w:t>元，年度支出合计：</w:t>
      </w:r>
      <w:r>
        <w:rPr>
          <w:rFonts w:ascii="仿宋" w:eastAsia="仿宋" w:hAnsi="仿宋" w:cs="仿宋" w:hint="eastAsia"/>
          <w:sz w:val="32"/>
          <w:szCs w:val="32"/>
        </w:rPr>
        <w:t>2264816.04</w:t>
      </w:r>
      <w:r>
        <w:rPr>
          <w:rFonts w:ascii="仿宋" w:eastAsia="仿宋" w:hAnsi="仿宋" w:cs="仿宋" w:hint="eastAsia"/>
          <w:sz w:val="32"/>
          <w:szCs w:val="32"/>
        </w:rPr>
        <w:t>元。</w:t>
      </w:r>
    </w:p>
    <w:p w:rsidR="00DF0DBA" w:rsidRDefault="00975F76">
      <w:pPr>
        <w:numPr>
          <w:ilvl w:val="0"/>
          <w:numId w:val="3"/>
        </w:num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预算执行情况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年度基本支出和项目支出合计：</w:t>
      </w:r>
      <w:r>
        <w:rPr>
          <w:rFonts w:ascii="仿宋" w:eastAsia="仿宋" w:hAnsi="仿宋" w:cs="仿宋" w:hint="eastAsia"/>
          <w:sz w:val="32"/>
          <w:szCs w:val="32"/>
        </w:rPr>
        <w:t>2264816.04</w:t>
      </w:r>
      <w:r>
        <w:rPr>
          <w:rFonts w:ascii="仿宋" w:eastAsia="仿宋" w:hAnsi="仿宋" w:cs="仿宋" w:hint="eastAsia"/>
          <w:sz w:val="32"/>
          <w:szCs w:val="32"/>
        </w:rPr>
        <w:t>元，其中，人员经费支出</w:t>
      </w:r>
      <w:r>
        <w:rPr>
          <w:rFonts w:ascii="仿宋" w:eastAsia="仿宋" w:hAnsi="仿宋" w:cs="仿宋" w:hint="eastAsia"/>
          <w:sz w:val="32"/>
          <w:szCs w:val="32"/>
        </w:rPr>
        <w:t>1296932.32</w:t>
      </w:r>
      <w:r>
        <w:rPr>
          <w:rFonts w:ascii="仿宋" w:eastAsia="仿宋" w:hAnsi="仿宋" w:cs="仿宋" w:hint="eastAsia"/>
          <w:sz w:val="32"/>
          <w:szCs w:val="32"/>
        </w:rPr>
        <w:t>元；日常办公经费支出</w:t>
      </w:r>
      <w:r>
        <w:rPr>
          <w:rFonts w:ascii="仿宋" w:eastAsia="仿宋" w:hAnsi="仿宋" w:cs="仿宋" w:hint="eastAsia"/>
          <w:sz w:val="32"/>
          <w:szCs w:val="32"/>
        </w:rPr>
        <w:t>149910.53</w:t>
      </w:r>
      <w:r>
        <w:rPr>
          <w:rFonts w:ascii="仿宋" w:eastAsia="仿宋" w:hAnsi="仿宋" w:cs="仿宋" w:hint="eastAsia"/>
          <w:sz w:val="32"/>
          <w:szCs w:val="32"/>
        </w:rPr>
        <w:t>元，此项支出主要用于购买办公用品、订阅报刊书籍杂志、办公用电话费、车辆维修费、车辆保险费等；项目支出</w:t>
      </w:r>
      <w:r>
        <w:rPr>
          <w:rFonts w:ascii="仿宋" w:eastAsia="仿宋" w:hAnsi="仿宋" w:cs="仿宋" w:hint="eastAsia"/>
          <w:sz w:val="32"/>
          <w:szCs w:val="32"/>
        </w:rPr>
        <w:t>817973.19</w:t>
      </w:r>
      <w:r>
        <w:rPr>
          <w:rFonts w:ascii="仿宋" w:eastAsia="仿宋" w:hAnsi="仿宋" w:cs="仿宋" w:hint="eastAsia"/>
          <w:sz w:val="32"/>
          <w:szCs w:val="32"/>
        </w:rPr>
        <w:t>元，支出项目主要包括：信访处突经费、律师参与涉法信访经费、解决特殊疑难信访问题专项资金、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年解决特殊疑难信访问题补助资金、编外用工人员经费、提前下达解决特殊疑难信访问题补助资金。</w:t>
      </w:r>
    </w:p>
    <w:p w:rsidR="00DF0DBA" w:rsidRDefault="00975F76">
      <w:pPr>
        <w:numPr>
          <w:ilvl w:val="0"/>
          <w:numId w:val="4"/>
        </w:numPr>
        <w:spacing w:line="52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评价结论及绩效分析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2020</w:t>
      </w:r>
      <w:r>
        <w:rPr>
          <w:rFonts w:ascii="仿宋" w:eastAsia="仿宋" w:hAnsi="仿宋" w:cs="仿宋" w:hint="eastAsia"/>
          <w:sz w:val="32"/>
          <w:szCs w:val="32"/>
        </w:rPr>
        <w:t>年信访局严格按照年初预算在规定的时间节点，结合工作实际需要合理安排使用各项经费，</w:t>
      </w:r>
      <w:r>
        <w:rPr>
          <w:rFonts w:ascii="仿宋" w:eastAsia="仿宋" w:hAnsi="仿宋" w:cs="仿宋" w:hint="eastAsia"/>
          <w:sz w:val="32"/>
          <w:szCs w:val="32"/>
        </w:rPr>
        <w:t>既保证了经费科学合理使用，同时又控制住了不必要的经费支出，确保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年区信访局围绕全区中心工作，认真履职，统筹兼顾，推动政府各项工作的良好运作。</w:t>
      </w:r>
    </w:p>
    <w:p w:rsidR="00DF0DBA" w:rsidRDefault="00975F76">
      <w:pPr>
        <w:spacing w:line="520" w:lineRule="exact"/>
        <w:ind w:firstLineChars="200" w:firstLine="643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三、经验、问题和建议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</w:t>
      </w:r>
      <w:r>
        <w:rPr>
          <w:rFonts w:ascii="仿宋" w:eastAsia="仿宋" w:hAnsi="仿宋" w:cs="仿宋" w:hint="eastAsia"/>
          <w:sz w:val="32"/>
          <w:szCs w:val="32"/>
        </w:rPr>
        <w:t>经验</w:t>
      </w:r>
    </w:p>
    <w:p w:rsidR="00DF0DBA" w:rsidRDefault="00975F76">
      <w:p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区信访局建立健全“三重一大”和资金使用管理制度，所有支出严格按照年初预算进行支出，未出现错漏等情况，解决了信访工作保障问题，提高了人员工作积极性及工作效率。</w:t>
      </w:r>
    </w:p>
    <w:p w:rsidR="00DF0DBA" w:rsidRDefault="00975F76">
      <w:pPr>
        <w:numPr>
          <w:ilvl w:val="0"/>
          <w:numId w:val="5"/>
        </w:num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存在的问题</w:t>
      </w:r>
    </w:p>
    <w:p w:rsidR="00DF0DBA" w:rsidRDefault="00975F76">
      <w:pPr>
        <w:spacing w:line="520" w:lineRule="exact"/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在及时、准确掌握财政业务政策方面有待提高。</w:t>
      </w:r>
    </w:p>
    <w:p w:rsidR="00DF0DBA" w:rsidRDefault="00975F76">
      <w:pPr>
        <w:numPr>
          <w:ilvl w:val="0"/>
          <w:numId w:val="5"/>
        </w:numPr>
        <w:spacing w:line="52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改进措施及建议</w:t>
      </w:r>
    </w:p>
    <w:p w:rsidR="00DF0DBA" w:rsidRDefault="00975F76">
      <w:pPr>
        <w:spacing w:line="520" w:lineRule="exact"/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加强编制预算的前期调研工作，扎实做好项目预算的准备工作。</w:t>
      </w:r>
    </w:p>
    <w:p w:rsidR="00DF0DBA" w:rsidRDefault="00975F76">
      <w:pPr>
        <w:spacing w:line="520" w:lineRule="exact"/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建议区财政局加大对相关工作人员的业务培训，提高工作人员的综合素质。</w:t>
      </w:r>
    </w:p>
    <w:p w:rsidR="00DF0DBA" w:rsidRDefault="00975F76">
      <w:pPr>
        <w:spacing w:line="520" w:lineRule="exact"/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严格预算工作绩效时点，确保实现资金按计划支出并实现资金效益的最大化。</w:t>
      </w:r>
    </w:p>
    <w:p w:rsidR="00DF0DBA" w:rsidRDefault="00DF0DBA"/>
    <w:sectPr w:rsidR="00DF0DBA" w:rsidSect="00DF0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DBA" w:rsidRDefault="00DF0DBA" w:rsidP="00DF0DBA">
      <w:r>
        <w:separator/>
      </w:r>
    </w:p>
  </w:endnote>
  <w:endnote w:type="continuationSeparator" w:id="0">
    <w:p w:rsidR="00DF0DBA" w:rsidRDefault="00DF0DBA" w:rsidP="00DF0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76" w:rsidRDefault="00975F7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BA" w:rsidRDefault="00DF0DBA">
    <w:pPr>
      <w:pStyle w:val="a3"/>
    </w:pPr>
    <w:r>
      <w:fldChar w:fldCharType="begin"/>
    </w:r>
    <w:r w:rsidR="00975F76">
      <w:instrText xml:space="preserve"> PAGE   \* MERGEFORMAT </w:instrText>
    </w:r>
    <w:r>
      <w:fldChar w:fldCharType="separate"/>
    </w:r>
    <w:r w:rsidR="00975F76" w:rsidRPr="00975F76">
      <w:rPr>
        <w:noProof/>
        <w:lang w:val="zh-CN"/>
      </w:rPr>
      <w:t>1</w:t>
    </w:r>
    <w:r>
      <w:fldChar w:fldCharType="end"/>
    </w:r>
  </w:p>
  <w:p w:rsidR="00DF0DBA" w:rsidRDefault="00DF0DBA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76" w:rsidRDefault="00975F7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DBA" w:rsidRDefault="00DF0DBA" w:rsidP="00DF0DBA">
      <w:r>
        <w:separator/>
      </w:r>
    </w:p>
  </w:footnote>
  <w:footnote w:type="continuationSeparator" w:id="0">
    <w:p w:rsidR="00DF0DBA" w:rsidRDefault="00DF0DBA" w:rsidP="00DF0D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76" w:rsidRDefault="00975F7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BA" w:rsidRDefault="00DF0DBA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76" w:rsidRDefault="00975F7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36454"/>
    <w:multiLevelType w:val="singleLevel"/>
    <w:tmpl w:val="5EB36454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EB36564"/>
    <w:multiLevelType w:val="singleLevel"/>
    <w:tmpl w:val="5EB36564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EB378A2"/>
    <w:multiLevelType w:val="singleLevel"/>
    <w:tmpl w:val="5EB378A2"/>
    <w:lvl w:ilvl="0">
      <w:start w:val="4"/>
      <w:numFmt w:val="chineseCounting"/>
      <w:suff w:val="nothing"/>
      <w:lvlText w:val="（%1）"/>
      <w:lvlJc w:val="left"/>
    </w:lvl>
  </w:abstractNum>
  <w:abstractNum w:abstractNumId="3">
    <w:nsid w:val="5EB37FF0"/>
    <w:multiLevelType w:val="singleLevel"/>
    <w:tmpl w:val="5EB37FF0"/>
    <w:lvl w:ilvl="0">
      <w:start w:val="2"/>
      <w:numFmt w:val="chineseCounting"/>
      <w:suff w:val="nothing"/>
      <w:lvlText w:val="%1、"/>
      <w:lvlJc w:val="left"/>
    </w:lvl>
  </w:abstractNum>
  <w:abstractNum w:abstractNumId="4">
    <w:nsid w:val="5EB38199"/>
    <w:multiLevelType w:val="singleLevel"/>
    <w:tmpl w:val="5EB38199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BA048D8"/>
    <w:rsid w:val="00975F76"/>
    <w:rsid w:val="00DF0DBA"/>
    <w:rsid w:val="02F74A88"/>
    <w:rsid w:val="1A632546"/>
    <w:rsid w:val="405E0CDE"/>
    <w:rsid w:val="46E26BE9"/>
    <w:rsid w:val="48172EEA"/>
    <w:rsid w:val="5D4536DA"/>
    <w:rsid w:val="7BA04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 fillcolor="white">
      <v:fill color="white"/>
    </o:shapedefaults>
    <o:shapelayout v:ext="edit">
      <o:idmap v:ext="edit" data="1,2"/>
      <o:rules v:ext="edit">
        <o:r id="V:Rule1" type="connector" idref="#自选图形 2"/>
        <o:r id="V:Rule2" type="connector" idref="#自选图形 3"/>
        <o:r id="V:Rule3" type="connector" idref="#自选图形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DF0DB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rsid w:val="00DF0D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F0DB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qFormat/>
    <w:rsid w:val="00DF0D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A5">
    <w:name w:val="正文 A"/>
    <w:uiPriority w:val="99"/>
    <w:qFormat/>
    <w:rsid w:val="00DF0DBA"/>
    <w:pPr>
      <w:spacing w:after="200" w:line="276" w:lineRule="auto"/>
    </w:pPr>
    <w:rPr>
      <w:rFonts w:cs="Calibri"/>
      <w:color w:val="000000"/>
      <w:sz w:val="22"/>
      <w:szCs w:val="22"/>
      <w:u w:color="000000"/>
    </w:rPr>
  </w:style>
  <w:style w:type="paragraph" w:customStyle="1" w:styleId="TOC1">
    <w:name w:val="TOC 标题1"/>
    <w:basedOn w:val="1"/>
    <w:next w:val="a"/>
    <w:uiPriority w:val="99"/>
    <w:qFormat/>
    <w:rsid w:val="00DF0DBA"/>
    <w:pPr>
      <w:widowControl/>
      <w:spacing w:before="480" w:after="0" w:line="276" w:lineRule="auto"/>
      <w:jc w:val="left"/>
      <w:outlineLvl w:val="9"/>
    </w:pPr>
    <w:rPr>
      <w:rFonts w:ascii="Cambria" w:eastAsia="宋体" w:hAnsi="Cambria" w:cs="Cambria"/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2846</Words>
  <Characters>246</Characters>
  <Application>Microsoft Office Word</Application>
  <DocSecurity>0</DocSecurity>
  <Lines>2</Lines>
  <Paragraphs>6</Paragraphs>
  <ScaleCrop>false</ScaleCrop>
  <Company>昆明市盘龙区党政机关单位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许太然</dc:creator>
  <cp:lastModifiedBy>微软用户</cp:lastModifiedBy>
  <cp:revision>2</cp:revision>
  <cp:lastPrinted>2021-05-26T08:34:00Z</cp:lastPrinted>
  <dcterms:created xsi:type="dcterms:W3CDTF">2020-05-07T01:04:00Z</dcterms:created>
  <dcterms:modified xsi:type="dcterms:W3CDTF">2021-09-26T02:21:00Z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