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FF0000"/>
          <w:spacing w:val="-20"/>
          <w:sz w:val="32"/>
          <w:szCs w:val="32"/>
        </w:rPr>
      </w:pPr>
    </w:p>
    <w:p>
      <w:pPr>
        <w:pStyle w:val="2"/>
      </w:pPr>
    </w:p>
    <w:p>
      <w:pPr>
        <w:ind w:firstLine="440" w:firstLineChars="10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昆明市</w:t>
      </w:r>
      <w:r>
        <w:rPr>
          <w:rFonts w:hint="eastAsia" w:ascii="方正小标宋简体" w:hAnsi="方正小标宋简体" w:eastAsia="方正小标宋简体" w:cs="方正小标宋简体"/>
          <w:bCs/>
          <w:sz w:val="44"/>
          <w:szCs w:val="44"/>
        </w:rPr>
        <w:t>盘龙区</w:t>
      </w:r>
      <w:r>
        <w:rPr>
          <w:rFonts w:hint="eastAsia" w:ascii="方正小标宋简体" w:hAnsi="方正小标宋简体" w:eastAsia="方正小标宋简体" w:cs="方正小标宋简体"/>
          <w:bCs/>
          <w:sz w:val="44"/>
          <w:szCs w:val="44"/>
          <w:lang w:eastAsia="zh-CN"/>
        </w:rPr>
        <w:t>人民政府办公室</w:t>
      </w:r>
      <w:r>
        <w:rPr>
          <w:rFonts w:hint="eastAsia" w:ascii="方正小标宋简体" w:hAnsi="方正小标宋简体" w:eastAsia="方正小标宋简体" w:cs="方正小标宋简体"/>
          <w:bCs/>
          <w:sz w:val="44"/>
          <w:szCs w:val="44"/>
        </w:rPr>
        <w:t>20</w:t>
      </w:r>
      <w:r>
        <w:rPr>
          <w:rFonts w:hint="eastAsia" w:ascii="方正小标宋简体" w:hAnsi="方正小标宋简体" w:eastAsia="方正小标宋简体" w:cs="方正小标宋简体"/>
          <w:bCs/>
          <w:sz w:val="44"/>
          <w:szCs w:val="44"/>
          <w:lang w:val="en-US" w:eastAsia="zh-CN"/>
        </w:rPr>
        <w:t>20</w:t>
      </w:r>
      <w:r>
        <w:rPr>
          <w:rFonts w:hint="eastAsia" w:ascii="方正小标宋简体" w:hAnsi="方正小标宋简体" w:eastAsia="方正小标宋简体" w:cs="方正小标宋简体"/>
          <w:bCs/>
          <w:sz w:val="44"/>
          <w:szCs w:val="44"/>
        </w:rPr>
        <w:t>年</w:t>
      </w:r>
    </w:p>
    <w:p>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 xml:space="preserve"> </w:t>
      </w:r>
      <w:r>
        <w:rPr>
          <w:rFonts w:hint="eastAsia" w:ascii="方正小标宋简体" w:hAnsi="方正小标宋简体" w:eastAsia="方正小标宋简体" w:cs="方正小标宋简体"/>
          <w:bCs/>
          <w:sz w:val="44"/>
          <w:szCs w:val="44"/>
        </w:rPr>
        <w:t>部门整体支出绩效自评报告</w:t>
      </w:r>
    </w:p>
    <w:p>
      <w:pPr>
        <w:autoSpaceDE w:val="0"/>
        <w:autoSpaceDN w:val="0"/>
        <w:adjustRightInd w:val="0"/>
        <w:spacing w:line="600" w:lineRule="exact"/>
        <w:jc w:val="center"/>
        <w:rPr>
          <w:rFonts w:hint="eastAsia" w:ascii="方正小标宋简体" w:hAnsi="方正小标宋简体" w:eastAsia="方正小标宋简体" w:cs="方正小标宋简体"/>
          <w:sz w:val="44"/>
          <w:szCs w:val="44"/>
        </w:rPr>
      </w:pPr>
    </w:p>
    <w:p>
      <w:pPr>
        <w:spacing w:line="600" w:lineRule="exact"/>
        <w:rPr>
          <w:rFonts w:ascii="Times New Roman" w:hAnsi="Times New Roman" w:eastAsia="方正小标宋_GBK" w:cs="Times New Roman"/>
          <w:sz w:val="32"/>
          <w:szCs w:val="32"/>
        </w:rPr>
      </w:pPr>
    </w:p>
    <w:p>
      <w:pPr>
        <w:spacing w:before="120" w:after="120" w:line="480" w:lineRule="auto"/>
        <w:jc w:val="center"/>
        <w:rPr>
          <w:rFonts w:ascii="Times New Roman" w:hAnsi="Times New Roman" w:eastAsia="黑体"/>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val="0"/>
          <w:bCs w:val="0"/>
          <w:sz w:val="32"/>
          <w:szCs w:val="32"/>
        </w:rPr>
      </w:pPr>
      <w:r>
        <w:rPr>
          <w:rFonts w:ascii="Times New Roman" w:hAnsi="Times New Roman" w:eastAsia="黑体" w:cs="黑体"/>
          <w:b w:val="0"/>
          <w:bCs w:val="0"/>
          <w:sz w:val="32"/>
          <w:szCs w:val="32"/>
        </w:rPr>
        <w:pict>
          <v:shape id="_x0000_s2062" o:spid="_x0000_s2062" o:spt="32" type="#_x0000_t32" style="position:absolute;left:0pt;margin-left:133.5pt;margin-top:16.65pt;height:0pt;width:272.25pt;z-index:25167462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val="0"/>
          <w:bCs w:val="0"/>
          <w:sz w:val="32"/>
          <w:szCs w:val="32"/>
        </w:rPr>
        <w:t>项目名称：</w:t>
      </w:r>
      <w:r>
        <w:rPr>
          <w:rFonts w:hint="eastAsia" w:ascii="Times New Roman" w:hAnsi="Times New Roman" w:eastAsia="黑体" w:cs="黑体"/>
          <w:b w:val="0"/>
          <w:bCs w:val="0"/>
          <w:sz w:val="32"/>
          <w:szCs w:val="32"/>
          <w:lang w:eastAsia="zh-CN"/>
        </w:rPr>
        <w:t>盘龙区人民政府办公室</w:t>
      </w:r>
      <w:r>
        <w:rPr>
          <w:rFonts w:hint="eastAsia" w:ascii="Times New Roman" w:hAnsi="Times New Roman" w:eastAsia="黑体" w:cs="黑体"/>
          <w:b w:val="0"/>
          <w:bCs w:val="0"/>
          <w:sz w:val="32"/>
          <w:szCs w:val="32"/>
        </w:rPr>
        <w:t>部门整体支出</w:t>
      </w:r>
    </w:p>
    <w:p>
      <w:pPr>
        <w:adjustRightInd w:val="0"/>
        <w:snapToGrid w:val="0"/>
        <w:spacing w:line="360" w:lineRule="auto"/>
        <w:ind w:left="1260" w:leftChars="600"/>
        <w:rPr>
          <w:rFonts w:hint="eastAsia" w:ascii="Times New Roman" w:hAnsi="Times New Roman" w:eastAsia="黑体" w:cs="黑体"/>
          <w:b w:val="0"/>
          <w:bCs w:val="0"/>
          <w:sz w:val="32"/>
          <w:szCs w:val="32"/>
          <w:lang w:eastAsia="zh-CN"/>
        </w:rPr>
      </w:pPr>
      <w:r>
        <w:rPr>
          <w:rFonts w:ascii="Times New Roman" w:hAnsi="Times New Roman" w:eastAsia="黑体" w:cs="黑体"/>
          <w:b w:val="0"/>
          <w:bCs w:val="0"/>
          <w:sz w:val="32"/>
          <w:szCs w:val="32"/>
        </w:rPr>
        <w:pict>
          <v:shape id="_x0000_s2063" o:spid="_x0000_s2063" o:spt="32" type="#_x0000_t32" style="position:absolute;left:0pt;margin-left:133.5pt;margin-top:17.15pt;height:0pt;width:272.25pt;z-index:25167564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val="0"/>
          <w:bCs w:val="0"/>
          <w:sz w:val="32"/>
          <w:szCs w:val="32"/>
        </w:rPr>
        <w:t>部门名称：</w:t>
      </w:r>
      <w:r>
        <w:rPr>
          <w:rFonts w:hint="eastAsia" w:ascii="Times New Roman" w:hAnsi="Times New Roman" w:eastAsia="黑体" w:cs="黑体"/>
          <w:b w:val="0"/>
          <w:bCs w:val="0"/>
          <w:sz w:val="32"/>
          <w:szCs w:val="32"/>
          <w:lang w:eastAsia="zh-CN"/>
        </w:rPr>
        <w:t>昆明市盘龙区人民政府办公室</w:t>
      </w:r>
    </w:p>
    <w:p>
      <w:pPr>
        <w:adjustRightInd w:val="0"/>
        <w:snapToGrid w:val="0"/>
        <w:spacing w:line="360" w:lineRule="auto"/>
        <w:ind w:left="1260" w:leftChars="600"/>
        <w:rPr>
          <w:rFonts w:hint="eastAsia" w:ascii="Times New Roman" w:hAnsi="Times New Roman" w:eastAsia="黑体" w:cs="黑体"/>
          <w:b w:val="0"/>
          <w:bCs w:val="0"/>
          <w:sz w:val="32"/>
          <w:szCs w:val="32"/>
          <w:lang w:eastAsia="zh-CN"/>
        </w:rPr>
      </w:pPr>
      <w:r>
        <w:rPr>
          <w:rFonts w:ascii="Times New Roman" w:hAnsi="Times New Roman" w:eastAsia="黑体" w:cs="黑体"/>
          <w:b w:val="0"/>
          <w:bCs w:val="0"/>
          <w:sz w:val="32"/>
          <w:szCs w:val="32"/>
        </w:rPr>
        <w:pict>
          <v:shape id="_x0000_s2064" o:spid="_x0000_s2064" o:spt="32" type="#_x0000_t32" style="position:absolute;left:0pt;margin-left:133.5pt;margin-top:19.95pt;height:0pt;width:272.25pt;z-index:25167667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val="0"/>
          <w:bCs w:val="0"/>
          <w:sz w:val="32"/>
          <w:szCs w:val="32"/>
        </w:rPr>
        <w:t>评价机构：</w:t>
      </w:r>
      <w:r>
        <w:rPr>
          <w:rFonts w:hint="eastAsia" w:ascii="Times New Roman" w:hAnsi="Times New Roman" w:eastAsia="黑体" w:cs="黑体"/>
          <w:b w:val="0"/>
          <w:bCs w:val="0"/>
          <w:sz w:val="32"/>
          <w:szCs w:val="32"/>
          <w:lang w:eastAsia="zh-CN"/>
        </w:rPr>
        <w:t>昆明市盘龙区人民政府办公室</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pStyle w:val="2"/>
      </w:pPr>
    </w:p>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20</w:t>
      </w:r>
      <w:r>
        <w:rPr>
          <w:rFonts w:hint="eastAsia" w:ascii="黑体" w:hAnsi="黑体" w:eastAsia="黑体" w:cs="黑体"/>
          <w:b w:val="0"/>
          <w:bCs w:val="0"/>
          <w:sz w:val="32"/>
          <w:szCs w:val="32"/>
          <w:lang w:val="en-US" w:eastAsia="zh-CN"/>
        </w:rPr>
        <w:t>21</w:t>
      </w:r>
      <w:r>
        <w:rPr>
          <w:rFonts w:hint="eastAsia" w:ascii="黑体" w:hAnsi="黑体" w:eastAsia="黑体" w:cs="黑体"/>
          <w:b w:val="0"/>
          <w:bCs w:val="0"/>
          <w:sz w:val="32"/>
          <w:szCs w:val="32"/>
        </w:rPr>
        <w:t>年</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月</w:t>
      </w:r>
    </w:p>
    <w:p>
      <w:pPr>
        <w:jc w:val="center"/>
        <w:rPr>
          <w:rFonts w:ascii="Times New Roman" w:hAnsi="Times New Roman" w:eastAsia="黑体" w:cs="黑体"/>
          <w:b/>
          <w:bCs/>
          <w:sz w:val="28"/>
          <w:szCs w:val="28"/>
        </w:rPr>
      </w:pPr>
    </w:p>
    <w:p>
      <w:pPr>
        <w:jc w:val="both"/>
        <w:rPr>
          <w:rFonts w:ascii="Times New Roman" w:hAnsi="Times New Roman" w:eastAsia="黑体" w:cs="黑体"/>
          <w:b/>
          <w:bCs/>
          <w:sz w:val="28"/>
          <w:szCs w:val="28"/>
        </w:rPr>
      </w:pPr>
    </w:p>
    <w:p>
      <w:pPr>
        <w:jc w:val="both"/>
        <w:rPr>
          <w:rFonts w:ascii="Times New Roman" w:hAnsi="Times New Roman" w:eastAsia="黑体" w:cs="黑体"/>
          <w:b/>
          <w:bCs/>
          <w:sz w:val="28"/>
          <w:szCs w:val="28"/>
        </w:rPr>
      </w:pPr>
    </w:p>
    <w:p>
      <w:pPr>
        <w:pStyle w:val="2"/>
      </w:pPr>
    </w:p>
    <w:p>
      <w:pPr>
        <w:jc w:val="both"/>
        <w:rPr>
          <w:rFonts w:ascii="Times New Roman" w:hAnsi="Times New Roman" w:eastAsia="黑体" w:cs="黑体"/>
          <w:b/>
          <w:bCs/>
          <w:sz w:val="28"/>
          <w:szCs w:val="28"/>
        </w:rPr>
      </w:pPr>
    </w:p>
    <w:p>
      <w:pPr>
        <w:pStyle w:val="19"/>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12"/>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75"/>
        <w:gridCol w:w="156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75" w:type="dxa"/>
            <w:noWrap w:val="0"/>
            <w:vAlign w:val="center"/>
          </w:tcPr>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566" w:type="dxa"/>
            <w:noWrap w:val="0"/>
            <w:vAlign w:val="center"/>
          </w:tcPr>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620" w:type="dxa"/>
            <w:noWrap w:val="0"/>
            <w:vAlign w:val="center"/>
          </w:tcPr>
          <w:p>
            <w:pPr>
              <w:pStyle w:val="1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val="0"/>
            <w:vAlign w:val="center"/>
          </w:tcPr>
          <w:p>
            <w:pPr>
              <w:pStyle w:val="19"/>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肖伟</w:t>
            </w:r>
          </w:p>
        </w:tc>
        <w:tc>
          <w:tcPr>
            <w:tcW w:w="1675" w:type="dxa"/>
            <w:noWrap w:val="0"/>
            <w:vAlign w:val="top"/>
          </w:tcPr>
          <w:p>
            <w:pPr>
              <w:pStyle w:val="19"/>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区政府办副主任</w:t>
            </w:r>
          </w:p>
        </w:tc>
        <w:tc>
          <w:tcPr>
            <w:tcW w:w="1566" w:type="dxa"/>
            <w:noWrap w:val="0"/>
            <w:vAlign w:val="top"/>
          </w:tcPr>
          <w:p>
            <w:pPr>
              <w:pStyle w:val="19"/>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9"/>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center"/>
          </w:tcPr>
          <w:p>
            <w:pPr>
              <w:pStyle w:val="19"/>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李宇</w:t>
            </w:r>
          </w:p>
        </w:tc>
        <w:tc>
          <w:tcPr>
            <w:tcW w:w="1675" w:type="dxa"/>
            <w:noWrap w:val="0"/>
            <w:vAlign w:val="top"/>
          </w:tcPr>
          <w:p>
            <w:pPr>
              <w:pStyle w:val="19"/>
              <w:widowControl w:val="0"/>
              <w:spacing w:after="0" w:line="24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区政府办副主任</w:t>
            </w:r>
          </w:p>
        </w:tc>
        <w:tc>
          <w:tcPr>
            <w:tcW w:w="1566"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val="0"/>
            <w:vAlign w:val="top"/>
          </w:tcPr>
          <w:p>
            <w:pPr>
              <w:pStyle w:val="19"/>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古雪</w:t>
            </w:r>
          </w:p>
        </w:tc>
        <w:tc>
          <w:tcPr>
            <w:tcW w:w="1675" w:type="dxa"/>
            <w:noWrap w:val="0"/>
            <w:vAlign w:val="top"/>
          </w:tcPr>
          <w:p>
            <w:pPr>
              <w:pStyle w:val="19"/>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综合二科科长</w:t>
            </w:r>
          </w:p>
        </w:tc>
        <w:tc>
          <w:tcPr>
            <w:tcW w:w="1566"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9"/>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620" w:type="dxa"/>
            <w:noWrap w:val="0"/>
            <w:vAlign w:val="top"/>
          </w:tcPr>
          <w:p>
            <w:pPr>
              <w:pStyle w:val="19"/>
              <w:widowControl w:val="0"/>
              <w:spacing w:after="0" w:line="360" w:lineRule="auto"/>
              <w:jc w:val="center"/>
              <w:rPr>
                <w:rFonts w:hint="eastAsia" w:ascii="Times New Roman" w:hAnsi="Times New Roman" w:eastAsia="黑体" w:cs="黑体"/>
                <w:kern w:val="2"/>
                <w:sz w:val="24"/>
                <w:szCs w:val="24"/>
                <w:lang w:val="en" w:eastAsia="zh-CN"/>
              </w:rPr>
            </w:pPr>
            <w:r>
              <w:rPr>
                <w:rFonts w:hint="eastAsia" w:ascii="Times New Roman" w:hAnsi="Times New Roman" w:eastAsia="黑体" w:cs="黑体"/>
                <w:kern w:val="2"/>
                <w:sz w:val="24"/>
                <w:szCs w:val="24"/>
                <w:lang w:val="en" w:eastAsia="zh-CN"/>
              </w:rPr>
              <w:t>钟梅</w:t>
            </w:r>
          </w:p>
        </w:tc>
        <w:tc>
          <w:tcPr>
            <w:tcW w:w="1675" w:type="dxa"/>
            <w:noWrap w:val="0"/>
            <w:vAlign w:val="top"/>
          </w:tcPr>
          <w:p>
            <w:pPr>
              <w:pStyle w:val="19"/>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会计</w:t>
            </w:r>
          </w:p>
        </w:tc>
        <w:tc>
          <w:tcPr>
            <w:tcW w:w="1566"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9"/>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620" w:type="dxa"/>
            <w:noWrap w:val="0"/>
            <w:vAlign w:val="top"/>
          </w:tcPr>
          <w:p>
            <w:pPr>
              <w:pStyle w:val="19"/>
              <w:widowControl w:val="0"/>
              <w:spacing w:after="0" w:line="360" w:lineRule="auto"/>
              <w:jc w:val="center"/>
              <w:rPr>
                <w:rFonts w:hint="eastAsia" w:ascii="Times New Roman" w:hAnsi="Times New Roman" w:eastAsia="黑体" w:cs="黑体"/>
                <w:kern w:val="2"/>
                <w:sz w:val="24"/>
                <w:szCs w:val="24"/>
                <w:lang w:val="en" w:eastAsia="zh-CN"/>
              </w:rPr>
            </w:pPr>
            <w:r>
              <w:rPr>
                <w:rFonts w:hint="eastAsia" w:ascii="Times New Roman" w:hAnsi="Times New Roman" w:eastAsia="黑体" w:cs="黑体"/>
                <w:kern w:val="2"/>
                <w:sz w:val="24"/>
                <w:szCs w:val="24"/>
                <w:lang w:val="en" w:eastAsia="zh-CN"/>
              </w:rPr>
              <w:t>何芹</w:t>
            </w:r>
          </w:p>
        </w:tc>
        <w:tc>
          <w:tcPr>
            <w:tcW w:w="1675" w:type="dxa"/>
            <w:noWrap w:val="0"/>
            <w:vAlign w:val="top"/>
          </w:tcPr>
          <w:p>
            <w:pPr>
              <w:pStyle w:val="19"/>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出纳</w:t>
            </w:r>
          </w:p>
        </w:tc>
        <w:tc>
          <w:tcPr>
            <w:tcW w:w="1566"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1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9"/>
              <w:widowControl w:val="0"/>
              <w:spacing w:after="0" w:line="360" w:lineRule="auto"/>
              <w:jc w:val="both"/>
              <w:rPr>
                <w:rFonts w:ascii="Times New Roman" w:hAnsi="Times New Roman" w:eastAsia="黑体" w:cs="黑体"/>
                <w:kern w:val="2"/>
                <w:sz w:val="24"/>
                <w:szCs w:val="24"/>
                <w:lang w:val="zh-TW"/>
              </w:rPr>
            </w:pPr>
          </w:p>
          <w:p>
            <w:pPr>
              <w:pStyle w:val="19"/>
              <w:widowControl w:val="0"/>
              <w:spacing w:after="0" w:line="360" w:lineRule="auto"/>
              <w:jc w:val="both"/>
              <w:rPr>
                <w:rFonts w:ascii="Times New Roman" w:hAnsi="Times New Roman" w:eastAsia="黑体" w:cs="黑体"/>
                <w:kern w:val="2"/>
                <w:sz w:val="24"/>
                <w:szCs w:val="24"/>
                <w:lang w:val="zh-TW"/>
              </w:rPr>
            </w:pPr>
          </w:p>
          <w:p>
            <w:pPr>
              <w:pStyle w:val="19"/>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1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9"/>
              <w:widowControl w:val="0"/>
              <w:spacing w:after="0" w:line="360" w:lineRule="auto"/>
              <w:jc w:val="both"/>
              <w:rPr>
                <w:rFonts w:ascii="Times New Roman" w:hAnsi="Times New Roman" w:eastAsia="黑体" w:cs="黑体"/>
                <w:kern w:val="2"/>
                <w:sz w:val="24"/>
                <w:szCs w:val="24"/>
                <w:lang w:val="zh-TW"/>
              </w:rPr>
            </w:pPr>
          </w:p>
          <w:p>
            <w:pPr>
              <w:pStyle w:val="19"/>
              <w:widowControl w:val="0"/>
              <w:spacing w:after="0" w:line="360" w:lineRule="auto"/>
              <w:jc w:val="both"/>
              <w:rPr>
                <w:rFonts w:ascii="Times New Roman" w:hAnsi="Times New Roman" w:eastAsia="黑体" w:cs="黑体"/>
                <w:kern w:val="2"/>
                <w:sz w:val="24"/>
                <w:szCs w:val="24"/>
                <w:lang w:val="zh-TW"/>
              </w:rPr>
            </w:pPr>
            <w:bookmarkStart w:id="48" w:name="_GoBack"/>
            <w:bookmarkEnd w:id="48"/>
          </w:p>
          <w:p>
            <w:pPr>
              <w:pStyle w:val="19"/>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9"/>
        <w:widowControl w:val="0"/>
        <w:spacing w:after="0" w:line="360" w:lineRule="auto"/>
        <w:jc w:val="both"/>
        <w:rPr>
          <w:rFonts w:ascii="Times New Roman" w:hAnsi="Times New Roman" w:cs="Times New Roman"/>
          <w:kern w:val="2"/>
          <w:sz w:val="24"/>
          <w:szCs w:val="24"/>
          <w:lang w:val="zh-TW"/>
        </w:rPr>
        <w:sectPr>
          <w:footerReference r:id="rId3" w:type="default"/>
          <w:pgSz w:w="11906" w:h="16838"/>
          <w:pgMar w:top="1440" w:right="1800" w:bottom="1440" w:left="1800" w:header="851" w:footer="992" w:gutter="0"/>
          <w:pgNumType w:fmt="numberInDash"/>
          <w:cols w:space="720" w:num="1"/>
          <w:docGrid w:type="lines" w:linePitch="312" w:charSpace="0"/>
        </w:sectPr>
      </w:pPr>
    </w:p>
    <w:p>
      <w:pPr>
        <w:tabs>
          <w:tab w:val="right" w:leader="dot" w:pos="8296"/>
        </w:tabs>
        <w:jc w:val="center"/>
        <w:rPr>
          <w:rFonts w:eastAsia="黑体"/>
          <w:color w:val="0000FF"/>
          <w:sz w:val="36"/>
          <w:szCs w:val="22"/>
        </w:rPr>
      </w:pPr>
      <w:r>
        <w:rPr>
          <w:rFonts w:hint="eastAsia" w:eastAsia="黑体"/>
          <w:color w:val="0000FF"/>
          <w:sz w:val="36"/>
          <w:szCs w:val="22"/>
        </w:rPr>
        <w:t>目</w:t>
      </w:r>
      <w:r>
        <w:rPr>
          <w:rFonts w:hint="eastAsia" w:eastAsia="黑体"/>
          <w:color w:val="0000FF"/>
          <w:sz w:val="36"/>
          <w:szCs w:val="22"/>
          <w:lang w:val="en-US" w:eastAsia="zh-CN"/>
        </w:rPr>
        <w:t xml:space="preserve">  </w:t>
      </w:r>
      <w:r>
        <w:rPr>
          <w:rFonts w:hint="eastAsia" w:eastAsia="黑体"/>
          <w:color w:val="0000FF"/>
          <w:sz w:val="36"/>
          <w:szCs w:val="22"/>
        </w:rPr>
        <w:t>录</w:t>
      </w:r>
    </w:p>
    <w:p>
      <w:pPr>
        <w:rPr>
          <w:rFonts w:ascii="Calibri" w:hAnsi="Calibri"/>
          <w:sz w:val="18"/>
          <w:szCs w:val="22"/>
        </w:rPr>
      </w:pPr>
    </w:p>
    <w:p>
      <w:pPr>
        <w:tabs>
          <w:tab w:val="right" w:leader="dot" w:pos="8296"/>
        </w:tabs>
        <w:jc w:val="center"/>
        <w:rPr>
          <w:rFonts w:eastAsia="黑体"/>
          <w:color w:val="0000FF"/>
          <w:sz w:val="28"/>
          <w:szCs w:val="22"/>
        </w:rPr>
      </w:pPr>
      <w:r>
        <w:rPr>
          <w:rFonts w:hint="eastAsia" w:eastAsia="黑体"/>
          <w:color w:val="0000FF"/>
          <w:sz w:val="28"/>
          <w:szCs w:val="22"/>
        </w:rPr>
        <w:t>摘要</w:t>
      </w:r>
    </w:p>
    <w:p>
      <w:pPr>
        <w:pStyle w:val="8"/>
        <w:tabs>
          <w:tab w:val="clear" w:pos="426"/>
        </w:tabs>
      </w:pPr>
      <w:r>
        <w:rPr>
          <w:rFonts w:ascii="宋体" w:hAnsi="宋体" w:cs="宋体"/>
          <w:b/>
          <w:bCs/>
          <w:color w:val="333333"/>
          <w:spacing w:val="-15"/>
          <w:kern w:val="0"/>
          <w:sz w:val="36"/>
          <w:szCs w:val="36"/>
        </w:rPr>
        <w:fldChar w:fldCharType="begin"/>
      </w:r>
      <w:r>
        <w:rPr>
          <w:rFonts w:ascii="宋体" w:hAnsi="宋体" w:cs="宋体"/>
          <w:b/>
          <w:bCs/>
          <w:color w:val="333333"/>
          <w:spacing w:val="-15"/>
          <w:kern w:val="0"/>
          <w:sz w:val="36"/>
          <w:szCs w:val="36"/>
        </w:rPr>
        <w:instrText xml:space="preserve"> </w:instrText>
      </w:r>
      <w:r>
        <w:rPr>
          <w:rFonts w:hint="eastAsia" w:ascii="宋体" w:hAnsi="宋体" w:cs="宋体"/>
          <w:b/>
          <w:bCs/>
          <w:color w:val="333333"/>
          <w:spacing w:val="-15"/>
          <w:kern w:val="0"/>
          <w:sz w:val="36"/>
          <w:szCs w:val="36"/>
        </w:rPr>
        <w:instrText xml:space="preserve">TOC \o "1-2" \h \z \u</w:instrText>
      </w:r>
      <w:r>
        <w:rPr>
          <w:rFonts w:ascii="宋体" w:hAnsi="宋体" w:cs="宋体"/>
          <w:b/>
          <w:bCs/>
          <w:color w:val="333333"/>
          <w:spacing w:val="-15"/>
          <w:kern w:val="0"/>
          <w:sz w:val="36"/>
          <w:szCs w:val="36"/>
        </w:rPr>
        <w:instrText xml:space="preserve"> </w:instrText>
      </w:r>
      <w:r>
        <w:rPr>
          <w:rFonts w:ascii="宋体" w:hAnsi="宋体" w:cs="宋体"/>
          <w:b/>
          <w:bCs/>
          <w:color w:val="333333"/>
          <w:spacing w:val="-15"/>
          <w:kern w:val="0"/>
          <w:sz w:val="36"/>
          <w:szCs w:val="36"/>
        </w:rPr>
        <w:fldChar w:fldCharType="separate"/>
      </w:r>
      <w:r>
        <w:rPr>
          <w:rStyle w:val="15"/>
        </w:rPr>
        <w:fldChar w:fldCharType="begin"/>
      </w:r>
      <w:r>
        <w:rPr>
          <w:rStyle w:val="15"/>
        </w:rPr>
        <w:instrText xml:space="preserve"> </w:instrText>
      </w:r>
      <w:r>
        <w:instrText xml:space="preserve">HYPERLINK \l "_Toc8054017"</w:instrText>
      </w:r>
      <w:r>
        <w:rPr>
          <w:rStyle w:val="15"/>
        </w:rPr>
        <w:instrText xml:space="preserve"> </w:instrText>
      </w:r>
      <w:r>
        <w:rPr>
          <w:rStyle w:val="15"/>
        </w:rPr>
        <w:fldChar w:fldCharType="separate"/>
      </w:r>
      <w:r>
        <w:rPr>
          <w:rStyle w:val="15"/>
          <w:rFonts w:hint="eastAsia" w:ascii="黑体" w:hAnsi="黑体" w:eastAsia="黑体"/>
        </w:rPr>
        <w:t>一、部门概况</w:t>
      </w:r>
      <w:r>
        <w:tab/>
      </w:r>
      <w:r>
        <w:fldChar w:fldCharType="begin"/>
      </w:r>
      <w:r>
        <w:instrText xml:space="preserve"> PAGEREF _Toc8054017 \h </w:instrText>
      </w:r>
      <w:r>
        <w:fldChar w:fldCharType="separate"/>
      </w:r>
      <w:r>
        <w:t>- 4 -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"_Toc8054018"</w:instrText>
      </w:r>
      <w:r>
        <w:rPr>
          <w:rStyle w:val="15"/>
        </w:rPr>
        <w:instrText xml:space="preserve"> </w:instrText>
      </w:r>
      <w:r>
        <w:rPr>
          <w:rStyle w:val="15"/>
        </w:rPr>
        <w:fldChar w:fldCharType="separate"/>
      </w:r>
      <w:r>
        <w:rPr>
          <w:rStyle w:val="15"/>
          <w:rFonts w:hint="eastAsia" w:ascii="仿宋_GB2312" w:hAnsi="仿宋" w:eastAsia="仿宋_GB2312" w:cs="??_GB2312"/>
        </w:rPr>
        <w:t>（一）部门人员编制及其主要职责情况</w:t>
      </w:r>
      <w:r>
        <w:tab/>
      </w:r>
      <w:r>
        <w:fldChar w:fldCharType="begin"/>
      </w:r>
      <w:r>
        <w:instrText xml:space="preserve"> PAGEREF _Toc8054018 \h </w:instrText>
      </w:r>
      <w:r>
        <w:fldChar w:fldCharType="separate"/>
      </w:r>
      <w:r>
        <w:t>- 4 -</w:t>
      </w:r>
      <w:r>
        <w:fldChar w:fldCharType="end"/>
      </w:r>
      <w:r>
        <w:rPr>
          <w:rStyle w:val="15"/>
        </w:rPr>
        <w:fldChar w:fldCharType="end"/>
      </w:r>
    </w:p>
    <w:p>
      <w:pPr>
        <w:pStyle w:val="10"/>
        <w:tabs>
          <w:tab w:val="right" w:leader="dot" w:pos="8296"/>
        </w:tabs>
        <w:rPr>
          <w:rFonts w:hint="eastAsia" w:eastAsia="宋体"/>
          <w:lang w:val="en-US" w:eastAsia="zh-CN"/>
        </w:rPr>
      </w:pPr>
      <w:r>
        <w:rPr>
          <w:rStyle w:val="15"/>
        </w:rPr>
        <w:fldChar w:fldCharType="begin"/>
      </w:r>
      <w:r>
        <w:rPr>
          <w:rStyle w:val="15"/>
        </w:rPr>
        <w:instrText xml:space="preserve"> </w:instrText>
      </w:r>
      <w:r>
        <w:instrText xml:space="preserve">HYPERLINK \l "_Toc8054019"</w:instrText>
      </w:r>
      <w:r>
        <w:rPr>
          <w:rStyle w:val="15"/>
        </w:rPr>
        <w:instrText xml:space="preserve"> </w:instrText>
      </w:r>
      <w:r>
        <w:rPr>
          <w:rStyle w:val="15"/>
        </w:rPr>
        <w:fldChar w:fldCharType="separate"/>
      </w:r>
      <w:r>
        <w:rPr>
          <w:rStyle w:val="15"/>
          <w:rFonts w:hint="eastAsia" w:ascii="仿宋_GB2312" w:hAnsi="仿宋" w:eastAsia="仿宋_GB2312" w:cs="??_GB2312"/>
        </w:rPr>
        <w:t>（二）预算收支情况</w:t>
      </w:r>
      <w:r>
        <w:tab/>
      </w:r>
      <w:r>
        <w:rPr>
          <w:rFonts w:hint="eastAsia"/>
          <w:lang w:val="en-US" w:eastAsia="zh-CN"/>
        </w:rPr>
        <w:t>-6</w:t>
      </w:r>
      <w:r>
        <w:rPr>
          <w:rStyle w:val="15"/>
        </w:rPr>
        <w:fldChar w:fldCharType="end"/>
      </w:r>
      <w:r>
        <w:rPr>
          <w:rStyle w:val="15"/>
          <w:rFonts w:hint="eastAsia"/>
          <w:lang w:val="en-US" w:eastAsia="zh-CN"/>
        </w:rPr>
        <w:t>-</w:t>
      </w:r>
    </w:p>
    <w:p>
      <w:pPr>
        <w:pStyle w:val="8"/>
        <w:tabs>
          <w:tab w:val="clear" w:pos="426"/>
        </w:tabs>
      </w:pPr>
      <w:r>
        <w:rPr>
          <w:rStyle w:val="15"/>
        </w:rPr>
        <w:fldChar w:fldCharType="begin"/>
      </w:r>
      <w:r>
        <w:rPr>
          <w:rStyle w:val="15"/>
        </w:rPr>
        <w:instrText xml:space="preserve"> </w:instrText>
      </w:r>
      <w:r>
        <w:instrText xml:space="preserve">HYPERLINK \l "_Toc8054020"</w:instrText>
      </w:r>
      <w:r>
        <w:rPr>
          <w:rStyle w:val="15"/>
        </w:rPr>
        <w:instrText xml:space="preserve"> </w:instrText>
      </w:r>
      <w:r>
        <w:rPr>
          <w:rStyle w:val="15"/>
        </w:rPr>
        <w:fldChar w:fldCharType="separate"/>
      </w:r>
      <w:r>
        <w:rPr>
          <w:rStyle w:val="15"/>
          <w:rFonts w:hint="eastAsia" w:ascii="黑体" w:hAnsi="黑体" w:eastAsia="黑体"/>
        </w:rPr>
        <w:t>二、评价结论及绩效分析</w:t>
      </w:r>
      <w:r>
        <w:tab/>
      </w:r>
      <w:r>
        <w:fldChar w:fldCharType="begin"/>
      </w:r>
      <w:r>
        <w:instrText xml:space="preserve"> PAGEREF _Toc8054020 \h </w:instrText>
      </w:r>
      <w:r>
        <w:fldChar w:fldCharType="separate"/>
      </w:r>
      <w:r>
        <w:t>- 7 -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"_Toc8054021"</w:instrText>
      </w:r>
      <w:r>
        <w:rPr>
          <w:rStyle w:val="15"/>
        </w:rPr>
        <w:instrText xml:space="preserve"> </w:instrText>
      </w:r>
      <w:r>
        <w:rPr>
          <w:rStyle w:val="15"/>
        </w:rPr>
        <w:fldChar w:fldCharType="separate"/>
      </w:r>
      <w:r>
        <w:rPr>
          <w:rStyle w:val="15"/>
          <w:rFonts w:hint="eastAsia" w:ascii="黑体" w:hAnsi="黑体" w:eastAsia="黑体"/>
        </w:rPr>
        <w:t>三、经验、问题及建议</w:t>
      </w:r>
      <w:r>
        <w:tab/>
      </w:r>
      <w:r>
        <w:fldChar w:fldCharType="begin"/>
      </w:r>
      <w:r>
        <w:instrText xml:space="preserve"> PAGEREF _Toc8054021 \h </w:instrText>
      </w:r>
      <w:r>
        <w:fldChar w:fldCharType="separate"/>
      </w:r>
      <w:r>
        <w:t>- 7 -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"_Toc8054022"</w:instrText>
      </w:r>
      <w:r>
        <w:rPr>
          <w:rStyle w:val="15"/>
        </w:rPr>
        <w:instrText xml:space="preserve"> </w:instrText>
      </w:r>
      <w:r>
        <w:rPr>
          <w:rStyle w:val="15"/>
        </w:rPr>
        <w:fldChar w:fldCharType="separate"/>
      </w:r>
      <w:r>
        <w:rPr>
          <w:rStyle w:val="15"/>
          <w:rFonts w:hint="eastAsia" w:ascii="仿宋_GB2312" w:hAnsi="仿宋" w:eastAsia="仿宋_GB2312" w:cs="??_GB2312"/>
        </w:rPr>
        <w:t>（一）</w:t>
      </w:r>
      <w:r>
        <w:rPr>
          <w:rStyle w:val="15"/>
          <w:rFonts w:hint="eastAsia" w:ascii="楷体_GB2312" w:hAnsi="Cambria" w:eastAsia="楷体_GB2312"/>
          <w:szCs w:val="22"/>
        </w:rPr>
        <w:t>经验</w:t>
      </w:r>
      <w:r>
        <w:tab/>
      </w:r>
      <w:r>
        <w:fldChar w:fldCharType="begin"/>
      </w:r>
      <w:r>
        <w:instrText xml:space="preserve"> PAGEREF _Toc8054022 \h </w:instrText>
      </w:r>
      <w:r>
        <w:fldChar w:fldCharType="separate"/>
      </w:r>
      <w:r>
        <w:t>- 7 -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"_Toc8054023"</w:instrText>
      </w:r>
      <w:r>
        <w:rPr>
          <w:rStyle w:val="15"/>
        </w:rPr>
        <w:instrText xml:space="preserve"> </w:instrText>
      </w:r>
      <w:r>
        <w:rPr>
          <w:rStyle w:val="15"/>
        </w:rPr>
        <w:fldChar w:fldCharType="separate"/>
      </w:r>
      <w:r>
        <w:rPr>
          <w:rStyle w:val="15"/>
          <w:rFonts w:hint="eastAsia" w:ascii="楷体_GB2312" w:hAnsi="Cambria" w:eastAsia="楷体_GB2312"/>
        </w:rPr>
        <w:t>（二）存在的问题</w:t>
      </w:r>
      <w:r>
        <w:tab/>
      </w:r>
      <w:r>
        <w:fldChar w:fldCharType="begin"/>
      </w:r>
      <w:r>
        <w:instrText xml:space="preserve"> PAGEREF _Toc8054023 \h </w:instrText>
      </w:r>
      <w:r>
        <w:fldChar w:fldCharType="separate"/>
      </w:r>
      <w:r>
        <w:t>- 8 -</w:t>
      </w:r>
      <w:r>
        <w:fldChar w:fldCharType="end"/>
      </w:r>
      <w:r>
        <w:rPr>
          <w:rStyle w:val="15"/>
        </w:rPr>
        <w:fldChar w:fldCharType="end"/>
      </w:r>
    </w:p>
    <w:p>
      <w:pPr>
        <w:pStyle w:val="10"/>
        <w:tabs>
          <w:tab w:val="right" w:leader="dot" w:pos="8296"/>
        </w:tabs>
        <w:rPr>
          <w:rStyle w:val="15"/>
          <w:rFonts w:hint="eastAsia"/>
        </w:rPr>
      </w:pPr>
      <w:r>
        <w:rPr>
          <w:rStyle w:val="15"/>
        </w:rPr>
        <w:fldChar w:fldCharType="begin"/>
      </w:r>
      <w:r>
        <w:rPr>
          <w:rStyle w:val="15"/>
        </w:rPr>
        <w:instrText xml:space="preserve"> </w:instrText>
      </w:r>
      <w:r>
        <w:instrText xml:space="preserve">HYPERLINK \l "_Toc8054024"</w:instrText>
      </w:r>
      <w:r>
        <w:rPr>
          <w:rStyle w:val="15"/>
        </w:rPr>
        <w:instrText xml:space="preserve"> </w:instrText>
      </w:r>
      <w:r>
        <w:rPr>
          <w:rStyle w:val="15"/>
        </w:rPr>
        <w:fldChar w:fldCharType="separate"/>
      </w:r>
      <w:r>
        <w:rPr>
          <w:rStyle w:val="15"/>
          <w:rFonts w:hint="eastAsia" w:ascii="楷体_GB2312" w:hAnsi="Cambria" w:eastAsia="楷体_GB2312"/>
        </w:rPr>
        <w:t>（三）改进措施及建议</w:t>
      </w:r>
      <w:r>
        <w:tab/>
      </w:r>
      <w:r>
        <w:fldChar w:fldCharType="begin"/>
      </w:r>
      <w:r>
        <w:instrText xml:space="preserve"> PAGEREF _Toc8054024 \h </w:instrText>
      </w:r>
      <w:r>
        <w:fldChar w:fldCharType="separate"/>
      </w:r>
      <w:r>
        <w:t>- 8 -</w:t>
      </w:r>
      <w:r>
        <w:fldChar w:fldCharType="end"/>
      </w:r>
      <w:r>
        <w:rPr>
          <w:rStyle w:val="15"/>
        </w:rPr>
        <w:fldChar w:fldCharType="end"/>
      </w:r>
    </w:p>
    <w:p>
      <w:pPr>
        <w:tabs>
          <w:tab w:val="right" w:leader="dot" w:pos="8296"/>
        </w:tabs>
        <w:jc w:val="center"/>
        <w:rPr>
          <w:rFonts w:hint="eastAsia" w:eastAsia="黑体"/>
          <w:color w:val="0000FF"/>
          <w:sz w:val="28"/>
          <w:szCs w:val="22"/>
          <w:u w:val="single"/>
        </w:rPr>
      </w:pPr>
    </w:p>
    <w:p>
      <w:pPr>
        <w:tabs>
          <w:tab w:val="right" w:leader="dot" w:pos="8296"/>
        </w:tabs>
        <w:jc w:val="center"/>
        <w:rPr>
          <w:rFonts w:eastAsia="黑体"/>
          <w:color w:val="0000FF"/>
          <w:sz w:val="28"/>
          <w:szCs w:val="22"/>
        </w:rPr>
      </w:pPr>
      <w:r>
        <w:rPr>
          <w:rFonts w:eastAsia="黑体"/>
          <w:color w:val="0000FF"/>
          <w:sz w:val="28"/>
          <w:szCs w:val="22"/>
        </w:rPr>
        <w:t>报告正文</w:t>
      </w:r>
    </w:p>
    <w:p>
      <w:pPr>
        <w:jc w:val="center"/>
      </w:pPr>
    </w:p>
    <w:p>
      <w:pPr>
        <w:pStyle w:val="8"/>
        <w:tabs>
          <w:tab w:val="clear" w:pos="426"/>
        </w:tabs>
      </w:pPr>
      <w:r>
        <w:rPr>
          <w:rStyle w:val="15"/>
        </w:rPr>
        <w:fldChar w:fldCharType="begin"/>
      </w:r>
      <w:r>
        <w:rPr>
          <w:rStyle w:val="15"/>
        </w:rPr>
        <w:instrText xml:space="preserve"> </w:instrText>
      </w:r>
      <w:r>
        <w:instrText xml:space="preserve">HYPERLINK \l "_Toc8054025"</w:instrText>
      </w:r>
      <w:r>
        <w:rPr>
          <w:rStyle w:val="15"/>
        </w:rPr>
        <w:instrText xml:space="preserve"> </w:instrText>
      </w:r>
      <w:r>
        <w:rPr>
          <w:rStyle w:val="15"/>
        </w:rPr>
        <w:fldChar w:fldCharType="separate"/>
      </w:r>
      <w:r>
        <w:rPr>
          <w:rStyle w:val="15"/>
          <w:rFonts w:hint="eastAsia" w:ascii="黑体" w:hAnsi="黑体" w:eastAsia="黑体"/>
        </w:rPr>
        <w:t>一、部门概况</w:t>
      </w:r>
      <w:r>
        <w:tab/>
      </w:r>
      <w:r>
        <w:fldChar w:fldCharType="begin"/>
      </w:r>
      <w:r>
        <w:instrText xml:space="preserve"> PAGEREF _Toc8054025 \h </w:instrText>
      </w:r>
      <w:r>
        <w:fldChar w:fldCharType="separate"/>
      </w:r>
      <w:r>
        <w:t>- 9 -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"_Toc8054026"</w:instrText>
      </w:r>
      <w:r>
        <w:rPr>
          <w:rStyle w:val="15"/>
        </w:rPr>
        <w:instrText xml:space="preserve"> </w:instrText>
      </w:r>
      <w:r>
        <w:rPr>
          <w:rStyle w:val="15"/>
        </w:rPr>
        <w:fldChar w:fldCharType="separate"/>
      </w:r>
      <w:r>
        <w:rPr>
          <w:rStyle w:val="15"/>
          <w:rFonts w:hint="eastAsia" w:ascii="楷体_GB2312" w:hAnsi="Cambria" w:eastAsia="楷体_GB2312"/>
        </w:rPr>
        <w:t>（一）部门机构设置、编制</w:t>
      </w:r>
      <w:r>
        <w:tab/>
      </w:r>
      <w:r>
        <w:fldChar w:fldCharType="begin"/>
      </w:r>
      <w:r>
        <w:instrText xml:space="preserve"> PAGEREF _Toc8054026 \h </w:instrText>
      </w:r>
      <w:r>
        <w:fldChar w:fldCharType="separate"/>
      </w:r>
      <w:r>
        <w:t>- 9 -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"_Toc8054027"</w:instrText>
      </w:r>
      <w:r>
        <w:rPr>
          <w:rStyle w:val="15"/>
        </w:rPr>
        <w:instrText xml:space="preserve"> </w:instrText>
      </w:r>
      <w:r>
        <w:rPr>
          <w:rStyle w:val="15"/>
        </w:rPr>
        <w:fldChar w:fldCharType="separate"/>
      </w:r>
      <w:r>
        <w:rPr>
          <w:rStyle w:val="15"/>
          <w:rFonts w:hint="eastAsia" w:ascii="楷体_GB2312" w:hAnsi="Cambria" w:eastAsia="楷体_GB2312"/>
        </w:rPr>
        <w:t>（二）部门职能</w:t>
      </w:r>
      <w:r>
        <w:tab/>
      </w:r>
      <w:r>
        <w:fldChar w:fldCharType="begin"/>
      </w:r>
      <w:r>
        <w:instrText xml:space="preserve"> PAGEREF _Toc8054027 \h </w:instrText>
      </w:r>
      <w:r>
        <w:fldChar w:fldCharType="separate"/>
      </w:r>
      <w:r>
        <w:t>- 10 -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"_Toc8054028"</w:instrText>
      </w:r>
      <w:r>
        <w:rPr>
          <w:rStyle w:val="15"/>
        </w:rPr>
        <w:instrText xml:space="preserve"> </w:instrText>
      </w:r>
      <w:r>
        <w:rPr>
          <w:rStyle w:val="15"/>
        </w:rPr>
        <w:fldChar w:fldCharType="separate"/>
      </w:r>
      <w:r>
        <w:rPr>
          <w:rStyle w:val="15"/>
          <w:rFonts w:hint="eastAsia" w:ascii="楷体_GB2312" w:hAnsi="Cambria" w:eastAsia="楷体_GB2312"/>
        </w:rPr>
        <w:t>（三）部门工作完成情况</w:t>
      </w:r>
      <w:r>
        <w:tab/>
      </w:r>
      <w:r>
        <w:fldChar w:fldCharType="begin"/>
      </w:r>
      <w:r>
        <w:instrText xml:space="preserve"> PAGEREF _Toc8054028 \h </w:instrText>
      </w:r>
      <w:r>
        <w:fldChar w:fldCharType="separate"/>
      </w:r>
      <w:r>
        <w:t>- 10 -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"_Toc8054029"</w:instrText>
      </w:r>
      <w:r>
        <w:rPr>
          <w:rStyle w:val="15"/>
        </w:rPr>
        <w:instrText xml:space="preserve"> </w:instrText>
      </w:r>
      <w:r>
        <w:rPr>
          <w:rStyle w:val="15"/>
        </w:rPr>
        <w:fldChar w:fldCharType="separate"/>
      </w:r>
      <w:r>
        <w:rPr>
          <w:rStyle w:val="15"/>
          <w:rFonts w:hint="eastAsia" w:ascii="楷体_GB2312" w:hAnsi="Cambria" w:eastAsia="楷体_GB2312"/>
        </w:rPr>
        <w:t>（四）部门管理制度</w:t>
      </w:r>
      <w:r>
        <w:tab/>
      </w:r>
      <w:r>
        <w:fldChar w:fldCharType="begin"/>
      </w:r>
      <w:r>
        <w:instrText xml:space="preserve"> PAGEREF _Toc8054029 \h </w:instrText>
      </w:r>
      <w:r>
        <w:fldChar w:fldCharType="separate"/>
      </w:r>
      <w:r>
        <w:t>- 16 -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"_Toc8054030"</w:instrText>
      </w:r>
      <w:r>
        <w:rPr>
          <w:rStyle w:val="15"/>
        </w:rPr>
        <w:instrText xml:space="preserve"> </w:instrText>
      </w:r>
      <w:r>
        <w:rPr>
          <w:rStyle w:val="15"/>
        </w:rPr>
        <w:fldChar w:fldCharType="separate"/>
      </w:r>
      <w:r>
        <w:rPr>
          <w:rStyle w:val="15"/>
          <w:rFonts w:hint="eastAsia" w:ascii="楷体_GB2312" w:hAnsi="Cambria" w:eastAsia="楷体_GB2312"/>
        </w:rPr>
        <w:t>（五）部门资金来源及使用情况</w:t>
      </w:r>
      <w:r>
        <w:tab/>
      </w:r>
      <w:r>
        <w:fldChar w:fldCharType="begin"/>
      </w:r>
      <w:r>
        <w:instrText xml:space="preserve"> PAGEREF _Toc8054030 \h </w:instrText>
      </w:r>
      <w:r>
        <w:fldChar w:fldCharType="separate"/>
      </w:r>
      <w:r>
        <w:t>- 16 -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"_Toc8054031"</w:instrText>
      </w:r>
      <w:r>
        <w:rPr>
          <w:rStyle w:val="15"/>
        </w:rPr>
        <w:instrText xml:space="preserve"> </w:instrText>
      </w:r>
      <w:r>
        <w:rPr>
          <w:rStyle w:val="15"/>
        </w:rPr>
        <w:fldChar w:fldCharType="separate"/>
      </w:r>
      <w:r>
        <w:rPr>
          <w:rStyle w:val="15"/>
          <w:rFonts w:hint="eastAsia" w:ascii="楷体_GB2312" w:hAnsi="Cambria" w:eastAsia="楷体_GB2312"/>
        </w:rPr>
        <w:t>（六）政府采购情况</w:t>
      </w:r>
      <w:r>
        <w:tab/>
      </w:r>
      <w:r>
        <w:fldChar w:fldCharType="begin"/>
      </w:r>
      <w:r>
        <w:instrText xml:space="preserve"> PAGEREF _Toc8054031 \h </w:instrText>
      </w:r>
      <w:r>
        <w:fldChar w:fldCharType="separate"/>
      </w:r>
      <w:r>
        <w:t>- 17 -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"_Toc8054032"</w:instrText>
      </w:r>
      <w:r>
        <w:rPr>
          <w:rStyle w:val="15"/>
        </w:rPr>
        <w:instrText xml:space="preserve"> </w:instrText>
      </w:r>
      <w:r>
        <w:rPr>
          <w:rStyle w:val="15"/>
        </w:rPr>
        <w:fldChar w:fldCharType="separate"/>
      </w:r>
      <w:r>
        <w:rPr>
          <w:rStyle w:val="15"/>
          <w:rFonts w:hint="eastAsia" w:ascii="楷体_GB2312" w:hAnsi="Cambria" w:eastAsia="楷体_GB2312"/>
        </w:rPr>
        <w:t>（七）固定资产情况</w:t>
      </w:r>
      <w:r>
        <w:tab/>
      </w:r>
      <w:r>
        <w:fldChar w:fldCharType="begin"/>
      </w:r>
      <w:r>
        <w:instrText xml:space="preserve"> PAGEREF _Toc8054032 \h </w:instrText>
      </w:r>
      <w:r>
        <w:fldChar w:fldCharType="separate"/>
      </w:r>
      <w:r>
        <w:t>- 17 -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"_Toc8054033"</w:instrText>
      </w:r>
      <w:r>
        <w:rPr>
          <w:rStyle w:val="15"/>
        </w:rPr>
        <w:instrText xml:space="preserve"> </w:instrText>
      </w:r>
      <w:r>
        <w:rPr>
          <w:rStyle w:val="15"/>
        </w:rPr>
        <w:fldChar w:fldCharType="separate"/>
      </w:r>
      <w:r>
        <w:rPr>
          <w:rStyle w:val="15"/>
          <w:rFonts w:hint="eastAsia" w:ascii="黑体" w:hAnsi="黑体" w:eastAsia="黑体"/>
        </w:rPr>
        <w:t>二、绩效目标</w:t>
      </w:r>
      <w:r>
        <w:tab/>
      </w:r>
      <w:r>
        <w:fldChar w:fldCharType="begin"/>
      </w:r>
      <w:r>
        <w:instrText xml:space="preserve"> PAGEREF _Toc8054033 \h </w:instrText>
      </w:r>
      <w:r>
        <w:fldChar w:fldCharType="separate"/>
      </w:r>
      <w:r>
        <w:t>- 17 -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"_Toc8054034"</w:instrText>
      </w:r>
      <w:r>
        <w:rPr>
          <w:rStyle w:val="15"/>
        </w:rPr>
        <w:instrText xml:space="preserve"> </w:instrText>
      </w:r>
      <w:r>
        <w:rPr>
          <w:rStyle w:val="15"/>
        </w:rPr>
        <w:fldChar w:fldCharType="separate"/>
      </w:r>
      <w:r>
        <w:rPr>
          <w:rStyle w:val="15"/>
          <w:rFonts w:hint="eastAsia" w:ascii="楷体_GB2312" w:hAnsi="Cambria" w:eastAsia="楷体_GB2312"/>
        </w:rPr>
        <w:t>（一）部门总目标</w:t>
      </w:r>
      <w:r>
        <w:tab/>
      </w:r>
      <w:r>
        <w:fldChar w:fldCharType="begin"/>
      </w:r>
      <w:r>
        <w:instrText xml:space="preserve"> PAGEREF _Toc8054034 \h </w:instrText>
      </w:r>
      <w:r>
        <w:fldChar w:fldCharType="separate"/>
      </w:r>
      <w:r>
        <w:t>- 17 -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"_Toc8054035"</w:instrText>
      </w:r>
      <w:r>
        <w:rPr>
          <w:rStyle w:val="15"/>
        </w:rPr>
        <w:instrText xml:space="preserve"> </w:instrText>
      </w:r>
      <w:r>
        <w:rPr>
          <w:rStyle w:val="15"/>
        </w:rPr>
        <w:fldChar w:fldCharType="separate"/>
      </w:r>
      <w:r>
        <w:rPr>
          <w:rStyle w:val="15"/>
          <w:rFonts w:hint="eastAsia" w:ascii="楷体_GB2312" w:hAnsi="Cambria" w:eastAsia="楷体_GB2312"/>
        </w:rPr>
        <w:t>（二）部门项目具体计划目标</w:t>
      </w:r>
      <w:r>
        <w:tab/>
      </w:r>
      <w:r>
        <w:fldChar w:fldCharType="begin"/>
      </w:r>
      <w:r>
        <w:instrText xml:space="preserve"> PAGEREF _Toc8054035 \h </w:instrText>
      </w:r>
      <w:r>
        <w:fldChar w:fldCharType="separate"/>
      </w:r>
      <w:r>
        <w:t>- 17 -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"_Toc8054037"</w:instrText>
      </w:r>
      <w:r>
        <w:rPr>
          <w:rStyle w:val="15"/>
        </w:rPr>
        <w:instrText xml:space="preserve"> </w:instrText>
      </w:r>
      <w:r>
        <w:rPr>
          <w:rStyle w:val="15"/>
        </w:rPr>
        <w:fldChar w:fldCharType="separate"/>
      </w:r>
      <w:r>
        <w:rPr>
          <w:rStyle w:val="15"/>
          <w:rFonts w:hint="eastAsia" w:ascii="黑体" w:hAnsi="黑体" w:eastAsia="黑体"/>
        </w:rPr>
        <w:t>三、绩效评价工作情况</w:t>
      </w:r>
      <w:r>
        <w:tab/>
      </w:r>
      <w:r>
        <w:fldChar w:fldCharType="begin"/>
      </w:r>
      <w:r>
        <w:instrText xml:space="preserve"> PAGEREF _Toc8054037 \h </w:instrText>
      </w:r>
      <w:r>
        <w:fldChar w:fldCharType="separate"/>
      </w:r>
      <w:r>
        <w:t>- 18 -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"_Toc8054038"</w:instrText>
      </w:r>
      <w:r>
        <w:rPr>
          <w:rStyle w:val="15"/>
        </w:rPr>
        <w:instrText xml:space="preserve"> </w:instrText>
      </w:r>
      <w:r>
        <w:rPr>
          <w:rStyle w:val="15"/>
        </w:rPr>
        <w:fldChar w:fldCharType="separate"/>
      </w:r>
      <w:r>
        <w:rPr>
          <w:rStyle w:val="15"/>
          <w:rFonts w:hint="eastAsia" w:ascii="楷体_GB2312" w:hAnsi="Cambria" w:eastAsia="楷体_GB2312"/>
          <w:szCs w:val="22"/>
          <w:lang w:eastAsia="zh-CN"/>
        </w:rPr>
        <w:t>（一）</w:t>
      </w:r>
      <w:r>
        <w:rPr>
          <w:rStyle w:val="15"/>
          <w:rFonts w:hint="eastAsia" w:ascii="楷体_GB2312" w:hAnsi="Cambria" w:eastAsia="楷体_GB2312"/>
        </w:rPr>
        <w:t>评价的目的和依据</w:t>
      </w:r>
      <w:r>
        <w:tab/>
      </w:r>
      <w:r>
        <w:fldChar w:fldCharType="begin"/>
      </w:r>
      <w:r>
        <w:instrText xml:space="preserve"> PAGEREF _Toc8054038 \h </w:instrText>
      </w:r>
      <w:r>
        <w:fldChar w:fldCharType="separate"/>
      </w:r>
      <w:r>
        <w:t>- 18 -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"_Toc8054039"</w:instrText>
      </w:r>
      <w:r>
        <w:rPr>
          <w:rStyle w:val="15"/>
        </w:rPr>
        <w:instrText xml:space="preserve"> </w:instrText>
      </w:r>
      <w:r>
        <w:rPr>
          <w:rStyle w:val="15"/>
        </w:rPr>
        <w:fldChar w:fldCharType="separate"/>
      </w:r>
      <w:r>
        <w:rPr>
          <w:rStyle w:val="15"/>
          <w:rFonts w:hint="eastAsia" w:ascii="楷体_GB2312" w:hAnsi="Cambria" w:eastAsia="楷体_GB2312"/>
        </w:rPr>
        <w:t>（二）绩效评价工作方案制定过程</w:t>
      </w:r>
      <w:r>
        <w:tab/>
      </w:r>
      <w:r>
        <w:fldChar w:fldCharType="begin"/>
      </w:r>
      <w:r>
        <w:instrText xml:space="preserve"> PAGEREF _Toc8054039 \h </w:instrText>
      </w:r>
      <w:r>
        <w:fldChar w:fldCharType="separate"/>
      </w:r>
      <w:r>
        <w:t>- 19 -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"_Toc8054040"</w:instrText>
      </w:r>
      <w:r>
        <w:rPr>
          <w:rStyle w:val="15"/>
        </w:rPr>
        <w:instrText xml:space="preserve"> </w:instrText>
      </w:r>
      <w:r>
        <w:rPr>
          <w:rStyle w:val="15"/>
        </w:rPr>
        <w:fldChar w:fldCharType="separate"/>
      </w:r>
      <w:r>
        <w:rPr>
          <w:rStyle w:val="15"/>
          <w:rFonts w:hint="eastAsia" w:ascii="楷体_GB2312" w:hAnsi="Cambria" w:eastAsia="楷体_GB2312"/>
        </w:rPr>
        <w:t>（三）绩效评价原则及评价方法</w:t>
      </w:r>
      <w:r>
        <w:tab/>
      </w:r>
      <w:r>
        <w:fldChar w:fldCharType="begin"/>
      </w:r>
      <w:r>
        <w:instrText xml:space="preserve"> PAGEREF _Toc8054040 \h </w:instrText>
      </w:r>
      <w:r>
        <w:fldChar w:fldCharType="separate"/>
      </w:r>
      <w:r>
        <w:t>- 20 -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"_Toc8054041"</w:instrText>
      </w:r>
      <w:r>
        <w:rPr>
          <w:rStyle w:val="15"/>
        </w:rPr>
        <w:instrText xml:space="preserve"> </w:instrText>
      </w:r>
      <w:r>
        <w:rPr>
          <w:rStyle w:val="15"/>
        </w:rPr>
        <w:fldChar w:fldCharType="separate"/>
      </w:r>
      <w:r>
        <w:rPr>
          <w:rStyle w:val="15"/>
          <w:rFonts w:hint="eastAsia" w:ascii="楷体_GB2312" w:hAnsi="Cambria" w:eastAsia="楷体_GB2312"/>
          <w:szCs w:val="22"/>
          <w:lang w:eastAsia="zh-CN"/>
        </w:rPr>
        <w:t>（四）</w:t>
      </w:r>
      <w:r>
        <w:rPr>
          <w:rStyle w:val="15"/>
          <w:rFonts w:hint="eastAsia" w:ascii="楷体_GB2312" w:hAnsi="Cambria" w:eastAsia="楷体_GB2312"/>
        </w:rPr>
        <w:t>绩效评价实施过程</w:t>
      </w:r>
      <w:r>
        <w:tab/>
      </w:r>
      <w:r>
        <w:fldChar w:fldCharType="begin"/>
      </w:r>
      <w:r>
        <w:instrText xml:space="preserve"> PAGEREF _Toc8054041 \h </w:instrText>
      </w:r>
      <w:r>
        <w:fldChar w:fldCharType="separate"/>
      </w:r>
      <w:r>
        <w:t>- 20 -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"_Toc8054042"</w:instrText>
      </w:r>
      <w:r>
        <w:rPr>
          <w:rStyle w:val="15"/>
        </w:rPr>
        <w:instrText xml:space="preserve"> </w:instrText>
      </w:r>
      <w:r>
        <w:rPr>
          <w:rStyle w:val="15"/>
        </w:rPr>
        <w:fldChar w:fldCharType="separate"/>
      </w:r>
      <w:r>
        <w:rPr>
          <w:rStyle w:val="15"/>
          <w:rFonts w:hint="eastAsia" w:ascii="楷体_GB2312" w:hAnsi="Cambria" w:eastAsia="楷体_GB2312"/>
        </w:rPr>
        <w:t>（五）绩效评价的局限性</w:t>
      </w:r>
      <w:r>
        <w:tab/>
      </w:r>
      <w:r>
        <w:fldChar w:fldCharType="begin"/>
      </w:r>
      <w:r>
        <w:instrText xml:space="preserve"> PAGEREF _Toc8054042 \h </w:instrText>
      </w:r>
      <w:r>
        <w:fldChar w:fldCharType="separate"/>
      </w:r>
      <w:r>
        <w:t>- 21 -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"_Toc8054043"</w:instrText>
      </w:r>
      <w:r>
        <w:rPr>
          <w:rStyle w:val="15"/>
        </w:rPr>
        <w:instrText xml:space="preserve"> </w:instrText>
      </w:r>
      <w:r>
        <w:rPr>
          <w:rStyle w:val="15"/>
        </w:rPr>
        <w:fldChar w:fldCharType="separate"/>
      </w:r>
      <w:r>
        <w:rPr>
          <w:rStyle w:val="15"/>
          <w:rFonts w:hint="eastAsia" w:ascii="黑体" w:hAnsi="黑体" w:eastAsia="黑体"/>
        </w:rPr>
        <w:t>四、评价结论及绩效分析</w:t>
      </w:r>
      <w:r>
        <w:tab/>
      </w:r>
      <w:r>
        <w:fldChar w:fldCharType="begin"/>
      </w:r>
      <w:r>
        <w:instrText xml:space="preserve"> PAGEREF _Toc8054043 \h </w:instrText>
      </w:r>
      <w:r>
        <w:fldChar w:fldCharType="separate"/>
      </w:r>
      <w:r>
        <w:t>- 21 -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"_Toc8054044"</w:instrText>
      </w:r>
      <w:r>
        <w:rPr>
          <w:rStyle w:val="15"/>
        </w:rPr>
        <w:instrText xml:space="preserve"> </w:instrText>
      </w:r>
      <w:r>
        <w:rPr>
          <w:rStyle w:val="15"/>
        </w:rPr>
        <w:fldChar w:fldCharType="separate"/>
      </w:r>
      <w:r>
        <w:rPr>
          <w:rStyle w:val="15"/>
          <w:rFonts w:hint="eastAsia" w:ascii="楷体_GB2312" w:hAnsi="Cambria" w:eastAsia="楷体_GB2312"/>
          <w:szCs w:val="22"/>
          <w:lang w:eastAsia="zh-CN"/>
        </w:rPr>
        <w:t>（一）</w:t>
      </w:r>
      <w:r>
        <w:rPr>
          <w:rStyle w:val="15"/>
          <w:rFonts w:hint="eastAsia" w:ascii="楷体_GB2312" w:hAnsi="Cambria" w:eastAsia="楷体_GB2312"/>
        </w:rPr>
        <w:t>评价结论</w:t>
      </w:r>
      <w:r>
        <w:tab/>
      </w:r>
      <w:r>
        <w:fldChar w:fldCharType="begin"/>
      </w:r>
      <w:r>
        <w:instrText xml:space="preserve"> PAGEREF _Toc8054044 \h </w:instrText>
      </w:r>
      <w:r>
        <w:fldChar w:fldCharType="separate"/>
      </w:r>
      <w:r>
        <w:t>- 21 -</w:t>
      </w:r>
      <w:r>
        <w:fldChar w:fldCharType="end"/>
      </w:r>
      <w:r>
        <w:rPr>
          <w:rStyle w:val="15"/>
        </w:rPr>
        <w:fldChar w:fldCharType="end"/>
      </w:r>
    </w:p>
    <w:p>
      <w:pPr>
        <w:pStyle w:val="10"/>
        <w:tabs>
          <w:tab w:val="right" w:leader="dot" w:pos="8296"/>
        </w:tabs>
      </w:pPr>
      <w:r>
        <w:rPr>
          <w:rStyle w:val="15"/>
        </w:rPr>
        <w:fldChar w:fldCharType="begin"/>
      </w:r>
      <w:r>
        <w:rPr>
          <w:rStyle w:val="15"/>
        </w:rPr>
        <w:instrText xml:space="preserve"> </w:instrText>
      </w:r>
      <w:r>
        <w:instrText xml:space="preserve">HYPERLINK \l "_Toc8054045"</w:instrText>
      </w:r>
      <w:r>
        <w:rPr>
          <w:rStyle w:val="15"/>
        </w:rPr>
        <w:instrText xml:space="preserve"> </w:instrText>
      </w:r>
      <w:r>
        <w:rPr>
          <w:rStyle w:val="15"/>
        </w:rPr>
        <w:fldChar w:fldCharType="separate"/>
      </w:r>
      <w:r>
        <w:rPr>
          <w:rStyle w:val="15"/>
          <w:rFonts w:hint="eastAsia" w:ascii="楷体_GB2312" w:hAnsi="Cambria" w:eastAsia="楷体_GB2312"/>
        </w:rPr>
        <w:t>（二）具体绩效分析</w:t>
      </w:r>
      <w:r>
        <w:tab/>
      </w:r>
      <w:r>
        <w:fldChar w:fldCharType="begin"/>
      </w:r>
      <w:r>
        <w:instrText xml:space="preserve"> PAGEREF _Toc8054045 \h </w:instrText>
      </w:r>
      <w:r>
        <w:fldChar w:fldCharType="separate"/>
      </w:r>
      <w:r>
        <w:t>- 22 -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"_Toc8054046"</w:instrText>
      </w:r>
      <w:r>
        <w:rPr>
          <w:rStyle w:val="15"/>
        </w:rPr>
        <w:instrText xml:space="preserve"> </w:instrText>
      </w:r>
      <w:r>
        <w:rPr>
          <w:rStyle w:val="15"/>
        </w:rPr>
        <w:fldChar w:fldCharType="separate"/>
      </w:r>
      <w:r>
        <w:rPr>
          <w:rStyle w:val="15"/>
          <w:rFonts w:hint="eastAsia" w:ascii="黑体" w:hAnsi="黑体" w:eastAsia="黑体"/>
        </w:rPr>
        <w:t>五、主要经验做法</w:t>
      </w:r>
      <w:r>
        <w:tab/>
      </w:r>
      <w:r>
        <w:fldChar w:fldCharType="begin"/>
      </w:r>
      <w:r>
        <w:instrText xml:space="preserve"> PAGEREF _Toc8054046 \h </w:instrText>
      </w:r>
      <w:r>
        <w:fldChar w:fldCharType="separate"/>
      </w:r>
      <w:r>
        <w:t>- 22 -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"_Toc8054047"</w:instrText>
      </w:r>
      <w:r>
        <w:rPr>
          <w:rStyle w:val="15"/>
        </w:rPr>
        <w:instrText xml:space="preserve"> </w:instrText>
      </w:r>
      <w:r>
        <w:rPr>
          <w:rStyle w:val="15"/>
        </w:rPr>
        <w:fldChar w:fldCharType="separate"/>
      </w:r>
      <w:r>
        <w:rPr>
          <w:rStyle w:val="15"/>
          <w:rFonts w:hint="eastAsia" w:ascii="黑体" w:hAnsi="黑体" w:eastAsia="黑体"/>
        </w:rPr>
        <w:t>六、存在的主要问题</w:t>
      </w:r>
      <w:r>
        <w:tab/>
      </w:r>
      <w:r>
        <w:fldChar w:fldCharType="begin"/>
      </w:r>
      <w:r>
        <w:instrText xml:space="preserve"> PAGEREF _Toc8054047 \h </w:instrText>
      </w:r>
      <w:r>
        <w:fldChar w:fldCharType="separate"/>
      </w:r>
      <w:r>
        <w:t>- 23 -</w:t>
      </w:r>
      <w:r>
        <w:fldChar w:fldCharType="end"/>
      </w:r>
      <w:r>
        <w:rPr>
          <w:rStyle w:val="15"/>
        </w:rPr>
        <w:fldChar w:fldCharType="end"/>
      </w:r>
    </w:p>
    <w:p>
      <w:pPr>
        <w:pStyle w:val="8"/>
        <w:tabs>
          <w:tab w:val="clear" w:pos="426"/>
        </w:tabs>
      </w:pPr>
      <w:r>
        <w:rPr>
          <w:rStyle w:val="15"/>
        </w:rPr>
        <w:fldChar w:fldCharType="begin"/>
      </w:r>
      <w:r>
        <w:rPr>
          <w:rStyle w:val="15"/>
        </w:rPr>
        <w:instrText xml:space="preserve"> </w:instrText>
      </w:r>
      <w:r>
        <w:instrText xml:space="preserve">HYPERLINK \l "_Toc8054048"</w:instrText>
      </w:r>
      <w:r>
        <w:rPr>
          <w:rStyle w:val="15"/>
        </w:rPr>
        <w:instrText xml:space="preserve"> </w:instrText>
      </w:r>
      <w:r>
        <w:rPr>
          <w:rStyle w:val="15"/>
        </w:rPr>
        <w:fldChar w:fldCharType="separate"/>
      </w:r>
      <w:r>
        <w:rPr>
          <w:rStyle w:val="15"/>
          <w:rFonts w:hint="eastAsia" w:ascii="黑体" w:hAnsi="黑体" w:eastAsia="黑体"/>
        </w:rPr>
        <w:t>七、改进措施和有关建议</w:t>
      </w:r>
      <w:r>
        <w:tab/>
      </w:r>
      <w:r>
        <w:fldChar w:fldCharType="begin"/>
      </w:r>
      <w:r>
        <w:instrText xml:space="preserve"> PAGEREF _Toc8054048 \h </w:instrText>
      </w:r>
      <w:r>
        <w:fldChar w:fldCharType="separate"/>
      </w:r>
      <w:r>
        <w:t>- 23 -</w:t>
      </w:r>
      <w:r>
        <w:fldChar w:fldCharType="end"/>
      </w:r>
      <w:r>
        <w:rPr>
          <w:rStyle w:val="15"/>
        </w:rPr>
        <w:fldChar w:fldCharType="end"/>
      </w:r>
    </w:p>
    <w:p>
      <w:pPr>
        <w:widowControl/>
        <w:shd w:val="clear" w:color="auto" w:fill="FFFFFF"/>
        <w:ind w:right="30" w:firstLine="663" w:firstLineChars="200"/>
        <w:jc w:val="center"/>
        <w:rPr>
          <w:rFonts w:hint="eastAsia" w:ascii="宋体" w:hAnsi="宋体" w:cs="宋体"/>
          <w:b/>
          <w:bCs/>
          <w:color w:val="333333"/>
          <w:spacing w:val="-15"/>
          <w:kern w:val="0"/>
          <w:sz w:val="36"/>
          <w:szCs w:val="36"/>
        </w:rPr>
      </w:pPr>
      <w:r>
        <w:rPr>
          <w:rFonts w:ascii="宋体" w:hAnsi="宋体" w:cs="宋体"/>
          <w:b/>
          <w:bCs/>
          <w:color w:val="333333"/>
          <w:spacing w:val="-15"/>
          <w:kern w:val="0"/>
          <w:sz w:val="36"/>
          <w:szCs w:val="36"/>
        </w:rPr>
        <w:fldChar w:fldCharType="end"/>
      </w:r>
    </w:p>
    <w:p>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昆明市盘龙区人民政府办公室20</w:t>
      </w:r>
      <w:r>
        <w:rPr>
          <w:rFonts w:hint="eastAsia" w:ascii="方正小标宋简体" w:hAnsi="方正小标宋简体" w:eastAsia="方正小标宋简体" w:cs="方正小标宋简体"/>
          <w:bCs/>
          <w:sz w:val="44"/>
          <w:szCs w:val="44"/>
          <w:lang w:val="en-US" w:eastAsia="zh-CN"/>
        </w:rPr>
        <w:t>20</w:t>
      </w:r>
      <w:r>
        <w:rPr>
          <w:rFonts w:hint="eastAsia" w:ascii="方正小标宋简体" w:hAnsi="方正小标宋简体" w:eastAsia="方正小标宋简体" w:cs="方正小标宋简体"/>
          <w:bCs/>
          <w:sz w:val="44"/>
          <w:szCs w:val="44"/>
        </w:rPr>
        <w:t>年部门整体支出绩效自评报告</w:t>
      </w:r>
    </w:p>
    <w:p>
      <w:pPr>
        <w:widowControl/>
        <w:shd w:val="clear" w:color="auto" w:fill="FFFFFF"/>
        <w:spacing w:line="560" w:lineRule="atLeast"/>
        <w:ind w:firstLine="630"/>
        <w:rPr>
          <w:rFonts w:hint="eastAsia" w:ascii="黑体" w:hAnsi="Arial" w:eastAsia="黑体" w:cs="Arial"/>
          <w:color w:val="000000"/>
          <w:kern w:val="0"/>
          <w:sz w:val="32"/>
          <w:szCs w:val="32"/>
        </w:rPr>
      </w:pPr>
    </w:p>
    <w:p>
      <w:pPr>
        <w:spacing w:line="440" w:lineRule="exact"/>
        <w:ind w:firstLine="3520" w:firstLineChars="11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摘 </w:t>
      </w:r>
      <w:r>
        <w:rPr>
          <w:rFonts w:hint="default" w:ascii="仿宋_GB2312" w:hAnsi="仿宋_GB2312" w:eastAsia="仿宋_GB2312" w:cs="仿宋_GB2312"/>
          <w:b w:val="0"/>
          <w:bCs w:val="0"/>
          <w:kern w:val="2"/>
          <w:sz w:val="32"/>
          <w:szCs w:val="32"/>
          <w:lang w:val="en" w:eastAsia="zh-CN" w:bidi="ar-SA"/>
        </w:rPr>
        <w:t xml:space="preserve"> </w:t>
      </w:r>
      <w:r>
        <w:rPr>
          <w:rFonts w:hint="eastAsia" w:ascii="仿宋_GB2312" w:hAnsi="仿宋_GB2312" w:eastAsia="仿宋_GB2312" w:cs="仿宋_GB2312"/>
          <w:b w:val="0"/>
          <w:bCs w:val="0"/>
          <w:kern w:val="2"/>
          <w:sz w:val="32"/>
          <w:szCs w:val="32"/>
          <w:lang w:val="en-US" w:eastAsia="zh-CN" w:bidi="ar-SA"/>
        </w:rPr>
        <w:t xml:space="preserve">  要</w:t>
      </w:r>
    </w:p>
    <w:p>
      <w:pPr>
        <w:pStyle w:val="2"/>
        <w:spacing w:before="0" w:beforeAutospacing="0" w:after="0" w:afterAutospacing="0"/>
        <w:rPr>
          <w:rFonts w:hint="eastAsia"/>
        </w:rPr>
      </w:pPr>
    </w:p>
    <w:p>
      <w:pPr>
        <w:pStyle w:val="3"/>
        <w:numPr>
          <w:ilvl w:val="0"/>
          <w:numId w:val="0"/>
        </w:numPr>
        <w:spacing w:before="0" w:after="0" w:line="240" w:lineRule="auto"/>
        <w:rPr>
          <w:rFonts w:hint="eastAsia"/>
          <w:b w:val="0"/>
          <w:bCs w:val="0"/>
        </w:rPr>
      </w:pPr>
      <w:bookmarkStart w:id="0" w:name="_Toc7383801"/>
      <w:bookmarkStart w:id="1" w:name="_Toc8054017"/>
      <w:r>
        <w:rPr>
          <w:rFonts w:hint="eastAsia" w:ascii="黑体" w:hAnsi="黑体" w:eastAsia="黑体"/>
          <w:b w:val="0"/>
          <w:bCs w:val="0"/>
          <w:sz w:val="32"/>
          <w:szCs w:val="32"/>
          <w:lang w:eastAsia="zh-CN"/>
        </w:rPr>
        <w:t>一、</w:t>
      </w:r>
      <w:r>
        <w:rPr>
          <w:rFonts w:hint="eastAsia" w:ascii="黑体" w:hAnsi="黑体" w:eastAsia="黑体"/>
          <w:b w:val="0"/>
          <w:bCs w:val="0"/>
          <w:sz w:val="32"/>
          <w:szCs w:val="32"/>
        </w:rPr>
        <w:t>部门概况</w:t>
      </w:r>
      <w:bookmarkEnd w:id="0"/>
      <w:bookmarkEnd w:id="1"/>
      <w:bookmarkStart w:id="2" w:name="_Toc8054018"/>
    </w:p>
    <w:p>
      <w:pPr>
        <w:widowControl/>
        <w:shd w:val="clear" w:color="auto" w:fill="FFFFFF"/>
        <w:ind w:firstLine="705"/>
        <w:jc w:val="left"/>
        <w:rPr>
          <w:rFonts w:hint="eastAsia" w:ascii="仿宋_GB2312" w:hAnsi="仿宋" w:eastAsia="仿宋_GB2312" w:cs="??_GB2312"/>
          <w:b/>
          <w:bCs/>
          <w:sz w:val="32"/>
          <w:szCs w:val="32"/>
          <w:lang w:val="en-US" w:eastAsia="zh-CN"/>
        </w:rPr>
      </w:pPr>
      <w:r>
        <w:rPr>
          <w:rFonts w:hint="eastAsia" w:ascii="仿宋_GB2312" w:hAnsi="仿宋" w:eastAsia="仿宋_GB2312" w:cs="??_GB2312"/>
          <w:b/>
          <w:bCs/>
          <w:sz w:val="32"/>
          <w:szCs w:val="32"/>
          <w:lang w:val="en-US" w:eastAsia="zh-CN"/>
        </w:rPr>
        <w:t>（一）基本情况</w:t>
      </w:r>
    </w:p>
    <w:p>
      <w:pPr>
        <w:pStyle w:val="3"/>
        <w:spacing w:before="0" w:after="0" w:line="240" w:lineRule="auto"/>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根据中共昆明市盘龙区委办公室 昆明市盘龙区人民政府办公室《关于印发〈昆明市盘龙区人民政府办公室职能配置、内设机构和人员编制规定〉的通知》（盘办通〔2019〕74号）文件，昆明市盘龙区人民政府办公室核定为正科级行政机关单位，核定行政编制41名，共设置内设机构14个。  </w:t>
      </w:r>
    </w:p>
    <w:p>
      <w:pPr>
        <w:pStyle w:val="3"/>
        <w:spacing w:before="0" w:after="0" w:line="240" w:lineRule="auto"/>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2020年，根据《中共昆明市盘龙区委机构编制委员会关于区政府办公室增加内设机构及编制的批复》文件，盘龙区人民政府办公室新增加内设机构1个，增加行政编制3名。增加后区政府办公室核定行政编制总数44名，内设机构15个。</w:t>
      </w:r>
    </w:p>
    <w:p>
      <w:pPr>
        <w:widowControl/>
        <w:shd w:val="clear" w:color="auto" w:fill="FFFFFF"/>
        <w:ind w:firstLine="705"/>
        <w:jc w:val="left"/>
        <w:rPr>
          <w:rFonts w:hint="eastAsia" w:ascii="仿宋_GB2312" w:hAnsi="仿宋" w:eastAsia="仿宋_GB2312" w:cs="??_GB2312"/>
          <w:b/>
          <w:bCs/>
          <w:sz w:val="32"/>
          <w:szCs w:val="32"/>
          <w:lang w:val="en-US" w:eastAsia="zh-CN"/>
        </w:rPr>
      </w:pPr>
      <w:r>
        <w:rPr>
          <w:rFonts w:hint="eastAsia" w:ascii="仿宋_GB2312" w:hAnsi="仿宋" w:eastAsia="仿宋_GB2312" w:cs="??_GB2312"/>
          <w:b/>
          <w:bCs/>
          <w:sz w:val="32"/>
          <w:szCs w:val="32"/>
          <w:lang w:val="en-US" w:eastAsia="zh-CN"/>
        </w:rPr>
        <w:t>（二）主要职能职责</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承办上级人民政府文件、指示在我区贯彻落实的行文工作，承办区人民政府向上级人民政府报告、请示的拟稿和审核工作，以及上级党委、政府和区委转由区人民政府办理的事项。</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负责区人民政府会议的准备工作，协助区人民政府领导组织实施会议决定事项。</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协助区人民政府领导组织起草或审核以区人民政府、区政府办公室名义发布的公文，负责区人民政府、区政府办公室规范性文件的合法性审查工作。</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研究各街道办事处、区政府各部门请示区人民政府的事项，提出办理意见，报区人民政府领导审批。</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根据区人民政府领导的指示，对区政府部门间出现的争议问题进行协调并提出处理意见，报区人民政府领导决定。</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负责区人民政府重大决策部署、重要文件确定事项、重要会议议定事项以及区人民政府领导批示指示贯彻落实情况的督促检查。</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牵头组织有关部门按照区人民政府领导指示开展专题调查研究，及时反映情况，提出工作建议。</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负责承办各级人大代表建议和政协提案，统筹全区政府系统人大建议和政协提案办理工作。</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负责区人民政府值班工作，及时向区人民政府领导报告重要紧急情况，传达和督促落实区人民政府领导指示。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负责全区政务信息工作。指导监督、协调推进政府信息公开工作。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pacing w:val="-8"/>
          <w:sz w:val="32"/>
          <w:szCs w:val="32"/>
        </w:rPr>
        <w:t>负责全区外事工作；承办区政府安排的对外接待工作。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pacing w:val="-8"/>
          <w:sz w:val="32"/>
          <w:szCs w:val="32"/>
        </w:rPr>
        <w:t>负责12345市长热线平台群众来件的受理、分办工作。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协调推进大健康产业发展有关工作。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负责做好各类文件、电报、资料的签收、登记、传阅、交办、清退、立卷归档、保管、销毁和区政府及其办公室上报、下发文（函）件的登记、编号、送审、打印、发送工作。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负责管理、使用区政府、区政府党组、区政府办公室的印鉴和区长的印鉴。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将昆明市盘龙区人民政府办公室下属事业单位承担的除行政执法职能以外的行政职能交由昆明市盘龙区人民政府办公室承担。</w:t>
      </w:r>
    </w:p>
    <w:p>
      <w:pPr>
        <w:snapToGrid/>
        <w:spacing w:line="560" w:lineRule="exact"/>
        <w:ind w:firstLine="640" w:firstLineChars="200"/>
        <w:rPr>
          <w:rFonts w:hint="eastAsia"/>
          <w:lang w:val="en-US" w:eastAsia="zh-CN"/>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承办区委、区政府和上级机关交办的其他任务。</w:t>
      </w:r>
    </w:p>
    <w:bookmarkEnd w:id="2"/>
    <w:p>
      <w:pPr>
        <w:widowControl/>
        <w:shd w:val="clear" w:color="auto" w:fill="FFFFFF"/>
        <w:ind w:firstLine="705"/>
        <w:jc w:val="left"/>
        <w:rPr>
          <w:rFonts w:hint="eastAsia" w:ascii="仿宋_GB2312" w:hAnsi="仿宋" w:eastAsia="仿宋_GB2312" w:cs="??_GB2312"/>
          <w:b/>
          <w:bCs/>
          <w:sz w:val="32"/>
          <w:szCs w:val="32"/>
          <w:lang w:val="en-US" w:eastAsia="zh-CN"/>
        </w:rPr>
      </w:pPr>
      <w:r>
        <w:rPr>
          <w:rFonts w:hint="eastAsia" w:ascii="仿宋_GB2312" w:hAnsi="仿宋" w:eastAsia="仿宋_GB2312" w:cs="??_GB2312"/>
          <w:b/>
          <w:bCs/>
          <w:sz w:val="32"/>
          <w:szCs w:val="32"/>
          <w:lang w:val="en-US" w:eastAsia="zh-CN"/>
        </w:rPr>
        <w:t>（三）年度重点工作</w:t>
      </w:r>
    </w:p>
    <w:p>
      <w:pPr>
        <w:widowControl/>
        <w:shd w:val="clear" w:color="auto" w:fill="FFFFFF"/>
        <w:ind w:firstLine="640" w:firstLineChars="200"/>
        <w:jc w:val="left"/>
        <w:rPr>
          <w:rFonts w:hint="eastAsia" w:ascii="仿宋_GB2312" w:hAnsi="仿宋" w:eastAsia="仿宋_GB2312"/>
          <w:spacing w:val="0"/>
          <w:sz w:val="32"/>
          <w:szCs w:val="32"/>
          <w:lang w:val="en-US" w:eastAsia="zh-CN"/>
        </w:rPr>
      </w:pPr>
      <w:r>
        <w:rPr>
          <w:rFonts w:hint="eastAsia" w:ascii="仿宋_GB2312" w:hAnsi="仿宋" w:eastAsia="仿宋_GB2312" w:cs="宋体"/>
          <w:color w:val="333333"/>
          <w:kern w:val="0"/>
          <w:sz w:val="32"/>
          <w:szCs w:val="32"/>
          <w:lang w:val="en-US" w:eastAsia="zh-CN"/>
        </w:rPr>
        <w:t>2020年，在区委区政府的坚强领导下，区政府办公室紧紧围绕全区发展大局和区政府中心工作，履职尽责，务实求为，</w:t>
      </w:r>
      <w:r>
        <w:rPr>
          <w:rFonts w:hint="eastAsia" w:ascii="仿宋" w:hAnsi="仿宋" w:eastAsia="仿宋" w:cs="仿宋"/>
          <w:b w:val="0"/>
          <w:i w:val="0"/>
          <w:caps w:val="0"/>
          <w:color w:val="333333"/>
          <w:spacing w:val="0"/>
          <w:sz w:val="32"/>
          <w:szCs w:val="32"/>
          <w:shd w:val="clear" w:color="auto" w:fill="FFFFFF"/>
        </w:rPr>
        <w:t>较好</w:t>
      </w:r>
      <w:r>
        <w:rPr>
          <w:rFonts w:hint="eastAsia" w:ascii="仿宋" w:hAnsi="仿宋" w:eastAsia="仿宋" w:cs="仿宋"/>
          <w:b w:val="0"/>
          <w:i w:val="0"/>
          <w:caps w:val="0"/>
          <w:color w:val="333333"/>
          <w:spacing w:val="0"/>
          <w:sz w:val="32"/>
          <w:szCs w:val="32"/>
          <w:shd w:val="clear" w:color="auto" w:fill="FFFFFF"/>
          <w:lang w:eastAsia="zh-CN"/>
        </w:rPr>
        <w:t>地</w:t>
      </w:r>
      <w:r>
        <w:rPr>
          <w:rFonts w:hint="eastAsia" w:ascii="仿宋" w:hAnsi="仿宋" w:eastAsia="仿宋" w:cs="仿宋"/>
          <w:b w:val="0"/>
          <w:i w:val="0"/>
          <w:caps w:val="0"/>
          <w:color w:val="333333"/>
          <w:spacing w:val="0"/>
          <w:sz w:val="32"/>
          <w:szCs w:val="32"/>
          <w:shd w:val="clear" w:color="auto" w:fill="FFFFFF"/>
        </w:rPr>
        <w:t>完成了全年工作任务</w:t>
      </w:r>
      <w:r>
        <w:rPr>
          <w:rFonts w:hint="eastAsia" w:ascii="仿宋_GB2312" w:hAnsi="仿宋" w:eastAsia="仿宋_GB2312" w:cs="宋体"/>
          <w:color w:val="333333"/>
          <w:kern w:val="0"/>
          <w:sz w:val="32"/>
          <w:szCs w:val="32"/>
          <w:lang w:val="en-US" w:eastAsia="zh-CN"/>
        </w:rPr>
        <w:t>。一是突出党建引领，严格落实意识形态工作，切实加强干部队伍建设；二是参谋辅政有新作为，督查督办有新突破，政务服务有新提升；三是突出作风建设，廉政责任压实上肩，廉政教育入心入脑，正风肃纪驰而不息。</w:t>
      </w:r>
    </w:p>
    <w:p>
      <w:pPr>
        <w:widowControl/>
        <w:shd w:val="clear" w:color="auto" w:fill="FFFFFF"/>
        <w:ind w:firstLine="705"/>
        <w:jc w:val="left"/>
        <w:rPr>
          <w:rFonts w:hint="default" w:ascii="仿宋_GB2312" w:hAnsi="仿宋" w:eastAsia="仿宋_GB2312" w:cs="??_GB2312"/>
          <w:b/>
          <w:bCs/>
          <w:sz w:val="32"/>
          <w:szCs w:val="32"/>
          <w:lang w:val="en-US" w:eastAsia="zh-CN"/>
        </w:rPr>
      </w:pPr>
      <w:r>
        <w:rPr>
          <w:rFonts w:hint="eastAsia" w:ascii="仿宋_GB2312" w:hAnsi="仿宋" w:eastAsia="仿宋_GB2312" w:cs="??_GB2312"/>
          <w:b/>
          <w:bCs/>
          <w:sz w:val="32"/>
          <w:szCs w:val="32"/>
          <w:lang w:val="en-US" w:eastAsia="zh-CN"/>
        </w:rPr>
        <w:t>（四）2020年预算收支及执行情况</w:t>
      </w:r>
    </w:p>
    <w:p>
      <w:pPr>
        <w:widowControl/>
        <w:shd w:val="clear" w:color="auto" w:fill="FFFFFF"/>
        <w:ind w:firstLine="640" w:firstLineChars="200"/>
        <w:jc w:val="left"/>
        <w:rPr>
          <w:rFonts w:hint="default"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2020年盘龙区人民政府办公室预算收入</w:t>
      </w:r>
      <w:r>
        <w:rPr>
          <w:rFonts w:hint="eastAsia" w:ascii="仿宋_GB2312" w:hAnsi="仿宋" w:eastAsia="仿宋_GB2312" w:cs="??_GB2312"/>
          <w:sz w:val="32"/>
          <w:szCs w:val="32"/>
          <w:lang w:val="en-US" w:eastAsia="zh-CN"/>
        </w:rPr>
        <w:t>1138.18</w:t>
      </w:r>
      <w:r>
        <w:rPr>
          <w:rFonts w:hint="eastAsia" w:ascii="仿宋_GB2312" w:hAnsi="仿宋" w:eastAsia="仿宋_GB2312" w:cs="宋体"/>
          <w:color w:val="333333"/>
          <w:kern w:val="0"/>
          <w:sz w:val="32"/>
          <w:szCs w:val="32"/>
          <w:lang w:val="en-US" w:eastAsia="zh-CN"/>
        </w:rPr>
        <w:t xml:space="preserve"> 万元，其中财政拨款收入</w:t>
      </w:r>
      <w:r>
        <w:rPr>
          <w:rFonts w:hint="eastAsia" w:ascii="仿宋_GB2312" w:hAnsi="仿宋" w:eastAsia="仿宋_GB2312" w:cs="??_GB2312"/>
          <w:sz w:val="32"/>
          <w:szCs w:val="32"/>
          <w:lang w:val="en-US" w:eastAsia="zh-CN"/>
        </w:rPr>
        <w:t>1138.18</w:t>
      </w:r>
      <w:r>
        <w:rPr>
          <w:rFonts w:hint="eastAsia" w:ascii="仿宋_GB2312" w:hAnsi="仿宋" w:eastAsia="仿宋_GB2312" w:cs="宋体"/>
          <w:color w:val="333333"/>
          <w:kern w:val="0"/>
          <w:sz w:val="32"/>
          <w:szCs w:val="32"/>
          <w:lang w:val="en-US" w:eastAsia="zh-CN"/>
        </w:rPr>
        <w:t>万元；支出共计</w:t>
      </w:r>
      <w:r>
        <w:rPr>
          <w:rFonts w:hint="eastAsia" w:ascii="仿宋_GB2312" w:hAnsi="仿宋" w:eastAsia="仿宋_GB2312" w:cs="??_GB2312"/>
          <w:sz w:val="32"/>
          <w:szCs w:val="32"/>
          <w:lang w:val="en-US" w:eastAsia="zh-CN"/>
        </w:rPr>
        <w:t>1138.18</w:t>
      </w:r>
      <w:r>
        <w:rPr>
          <w:rFonts w:hint="eastAsia" w:ascii="仿宋_GB2312" w:hAnsi="仿宋" w:eastAsia="仿宋_GB2312" w:cs="宋体"/>
          <w:color w:val="333333"/>
          <w:kern w:val="0"/>
          <w:sz w:val="32"/>
          <w:szCs w:val="32"/>
          <w:lang w:val="en-US" w:eastAsia="zh-CN"/>
        </w:rPr>
        <w:t>万元，其中基本支出</w:t>
      </w:r>
      <w:r>
        <w:rPr>
          <w:rFonts w:hint="eastAsia" w:ascii="仿宋_GB2312" w:hAnsi="仿宋" w:eastAsia="仿宋_GB2312" w:cs="??_GB2312"/>
          <w:sz w:val="32"/>
          <w:szCs w:val="32"/>
          <w:lang w:val="en-US" w:eastAsia="zh-CN"/>
        </w:rPr>
        <w:t>1055.52</w:t>
      </w:r>
      <w:r>
        <w:rPr>
          <w:rFonts w:hint="eastAsia" w:ascii="仿宋_GB2312" w:hAnsi="仿宋" w:eastAsia="仿宋_GB2312" w:cs="宋体"/>
          <w:color w:val="333333"/>
          <w:kern w:val="0"/>
          <w:sz w:val="32"/>
          <w:szCs w:val="32"/>
          <w:lang w:val="en-US" w:eastAsia="zh-CN"/>
        </w:rPr>
        <w:t>万元，项目支出</w:t>
      </w:r>
      <w:r>
        <w:rPr>
          <w:rFonts w:hint="eastAsia" w:ascii="仿宋_GB2312" w:hAnsi="仿宋" w:eastAsia="仿宋_GB2312" w:cs="??_GB2312"/>
          <w:sz w:val="32"/>
          <w:szCs w:val="32"/>
          <w:lang w:val="en-US" w:eastAsia="zh-CN"/>
        </w:rPr>
        <w:t>82.66</w:t>
      </w:r>
      <w:r>
        <w:rPr>
          <w:rFonts w:hint="eastAsia" w:ascii="仿宋_GB2312" w:hAnsi="仿宋" w:eastAsia="仿宋_GB2312" w:cs="宋体"/>
          <w:color w:val="333333"/>
          <w:kern w:val="0"/>
          <w:sz w:val="32"/>
          <w:szCs w:val="32"/>
          <w:lang w:val="en-US" w:eastAsia="zh-CN"/>
        </w:rPr>
        <w:t>万元。</w:t>
      </w:r>
      <w:r>
        <w:rPr>
          <w:rFonts w:hint="eastAsia" w:ascii="仿宋_GB2312" w:hAnsi="仿宋" w:eastAsia="仿宋_GB2312" w:cs="宋体"/>
          <w:color w:val="333333"/>
          <w:kern w:val="0"/>
          <w:sz w:val="32"/>
          <w:szCs w:val="32"/>
        </w:rPr>
        <w:t xml:space="preserve"> </w:t>
      </w:r>
    </w:p>
    <w:p>
      <w:pPr>
        <w:pStyle w:val="3"/>
        <w:spacing w:before="0" w:after="0" w:line="240" w:lineRule="auto"/>
        <w:ind w:firstLine="0" w:firstLineChars="0"/>
        <w:rPr>
          <w:rFonts w:hint="eastAsia" w:ascii="仿宋_GB2312" w:hAnsi="仿宋" w:eastAsia="仿宋_GB2312" w:cs="??_GB2312"/>
          <w:b w:val="0"/>
          <w:bCs w:val="0"/>
          <w:sz w:val="32"/>
          <w:szCs w:val="32"/>
        </w:rPr>
      </w:pPr>
      <w:bookmarkStart w:id="3" w:name="_Toc8054020"/>
      <w:bookmarkStart w:id="4" w:name="_Toc7454623"/>
      <w:r>
        <w:rPr>
          <w:rFonts w:hint="eastAsia" w:ascii="黑体" w:hAnsi="黑体" w:eastAsia="黑体"/>
          <w:b w:val="0"/>
          <w:bCs w:val="0"/>
          <w:sz w:val="32"/>
          <w:szCs w:val="32"/>
        </w:rPr>
        <w:t>二、评价结论及绩效分析</w:t>
      </w:r>
      <w:bookmarkEnd w:id="3"/>
      <w:bookmarkEnd w:id="4"/>
    </w:p>
    <w:p>
      <w:pPr>
        <w:widowControl/>
        <w:shd w:val="clear" w:color="auto" w:fill="FFFFFF"/>
        <w:ind w:firstLine="640" w:firstLineChars="200"/>
        <w:jc w:val="left"/>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lang w:val="en-US" w:eastAsia="zh-CN"/>
        </w:rPr>
        <w:t>2020年我办基本支出预算配置控制较好，“三公经费”支出总额控制得当。按照年初绩效目标设定的要求，在预算执行过程中，合理控制成本，严格执行财务管理相关制度的规定，财务制度健全，管理规范，做到了专款专用，无贪污、截留、挪用现象。</w:t>
      </w:r>
      <w:r>
        <w:rPr>
          <w:rFonts w:hint="eastAsia" w:ascii="仿宋_GB2312" w:hAnsi="仿宋" w:eastAsia="仿宋_GB2312" w:cs="宋体"/>
          <w:color w:val="333333"/>
          <w:kern w:val="0"/>
          <w:sz w:val="32"/>
          <w:szCs w:val="32"/>
          <w:lang w:eastAsia="zh-CN"/>
        </w:rPr>
        <w:t>较好地实现了支出安排、资金使用和绩效管理，夯实了区政府各项事业稳健发展，各项事务顺利开展的基础，确保了更好发挥参谋助手作用。</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综上，根据《盘龙区区级部门预算绩效自评管理暂行办法》，</w:t>
      </w:r>
      <w:r>
        <w:rPr>
          <w:rFonts w:hint="eastAsia" w:ascii="仿宋_GB2312" w:hAnsi="仿宋" w:eastAsia="仿宋_GB2312" w:cs="宋体"/>
          <w:color w:val="333333"/>
          <w:kern w:val="0"/>
          <w:sz w:val="32"/>
          <w:szCs w:val="32"/>
          <w:lang w:eastAsia="zh-CN"/>
        </w:rPr>
        <w:t>我办部门整体支出</w:t>
      </w:r>
      <w:r>
        <w:rPr>
          <w:rFonts w:hint="eastAsia" w:ascii="仿宋_GB2312" w:hAnsi="仿宋" w:eastAsia="仿宋_GB2312" w:cs="宋体"/>
          <w:color w:val="333333"/>
          <w:kern w:val="0"/>
          <w:sz w:val="32"/>
          <w:szCs w:val="32"/>
        </w:rPr>
        <w:t>绩效评价自评结果为优。</w:t>
      </w:r>
    </w:p>
    <w:p>
      <w:pPr>
        <w:pStyle w:val="3"/>
        <w:spacing w:before="0" w:after="0" w:line="240" w:lineRule="auto"/>
        <w:ind w:firstLine="0" w:firstLineChars="0"/>
        <w:rPr>
          <w:rFonts w:ascii="黑体" w:hAnsi="黑体" w:eastAsia="黑体"/>
          <w:b w:val="0"/>
          <w:bCs w:val="0"/>
          <w:sz w:val="32"/>
          <w:szCs w:val="32"/>
        </w:rPr>
      </w:pPr>
      <w:bookmarkStart w:id="5" w:name="_Toc7454626"/>
      <w:bookmarkStart w:id="6" w:name="_Toc8054021"/>
      <w:r>
        <w:rPr>
          <w:rFonts w:hint="eastAsia" w:ascii="黑体" w:hAnsi="黑体" w:eastAsia="黑体"/>
          <w:b w:val="0"/>
          <w:bCs w:val="0"/>
          <w:sz w:val="32"/>
          <w:szCs w:val="32"/>
        </w:rPr>
        <w:t>三、经验、问题及建议</w:t>
      </w:r>
      <w:bookmarkEnd w:id="5"/>
      <w:bookmarkEnd w:id="6"/>
    </w:p>
    <w:p>
      <w:pPr>
        <w:pStyle w:val="4"/>
        <w:spacing w:before="0" w:after="0" w:line="240" w:lineRule="auto"/>
        <w:ind w:firstLine="0" w:firstLineChars="0"/>
        <w:rPr>
          <w:rFonts w:hint="eastAsia" w:ascii="仿宋_GB2312" w:hAnsi="仿宋" w:eastAsia="仿宋_GB2312" w:cs="宋体"/>
          <w:b/>
          <w:bCs/>
          <w:color w:val="333333"/>
          <w:kern w:val="0"/>
          <w:sz w:val="32"/>
          <w:szCs w:val="32"/>
          <w:lang w:val="en-US" w:eastAsia="zh-CN" w:bidi="ar-SA"/>
        </w:rPr>
      </w:pPr>
      <w:bookmarkStart w:id="7" w:name="_Toc8054022"/>
      <w:bookmarkStart w:id="8" w:name="_Toc7454627"/>
      <w:r>
        <w:rPr>
          <w:rFonts w:hint="eastAsia" w:ascii="仿宋_GB2312" w:hAnsi="仿宋" w:eastAsia="仿宋_GB2312" w:cs="宋体"/>
          <w:b/>
          <w:bCs/>
          <w:color w:val="333333"/>
          <w:kern w:val="0"/>
          <w:sz w:val="32"/>
          <w:szCs w:val="32"/>
          <w:lang w:val="en-US" w:eastAsia="zh-CN" w:bidi="ar-SA"/>
        </w:rPr>
        <w:t>（一）经验</w:t>
      </w:r>
      <w:bookmarkEnd w:id="7"/>
      <w:bookmarkEnd w:id="8"/>
    </w:p>
    <w:p>
      <w:pPr>
        <w:widowControl/>
        <w:shd w:val="clear" w:color="auto" w:fill="FFFFFF"/>
        <w:ind w:firstLine="640" w:firstLineChars="200"/>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我办认真贯彻落实中央八项规定和《党政机关厉行节约反对浪费条例》中关于从严从紧控制公务开支要求，从严控制经费开支。在资金使用上坚持按照国家财经法规和本单位财务管理制度规定以及有关专项资金管理办法的规定收支，资金拨付有完整的审批程序和手续，按照“三重一大”集体决策制度及相关财经制度的有关要求，有计划地安排、使用资金，严格财务审批制度。保证资金使用合法合规，同时资金使用无截留、挤占、挪用、虚列支出等情况。</w:t>
      </w:r>
    </w:p>
    <w:p>
      <w:pPr>
        <w:pStyle w:val="4"/>
        <w:spacing w:before="0" w:after="0" w:line="240" w:lineRule="auto"/>
        <w:ind w:firstLine="0" w:firstLineChars="0"/>
        <w:rPr>
          <w:rFonts w:hint="eastAsia" w:ascii="仿宋_GB2312" w:hAnsi="仿宋" w:eastAsia="仿宋_GB2312" w:cs="宋体"/>
          <w:b/>
          <w:bCs/>
          <w:color w:val="333333"/>
          <w:kern w:val="0"/>
          <w:sz w:val="32"/>
          <w:szCs w:val="32"/>
          <w:lang w:val="en-US" w:eastAsia="zh-CN" w:bidi="ar-SA"/>
        </w:rPr>
      </w:pPr>
      <w:bookmarkStart w:id="9" w:name="_Toc8054023"/>
      <w:bookmarkStart w:id="10" w:name="_Toc7454630"/>
      <w:r>
        <w:rPr>
          <w:rFonts w:hint="eastAsia" w:ascii="仿宋_GB2312" w:hAnsi="仿宋" w:eastAsia="仿宋_GB2312" w:cs="宋体"/>
          <w:b/>
          <w:bCs/>
          <w:color w:val="333333"/>
          <w:kern w:val="0"/>
          <w:sz w:val="32"/>
          <w:szCs w:val="32"/>
          <w:lang w:val="en-US" w:eastAsia="zh-CN" w:bidi="ar-SA"/>
        </w:rPr>
        <w:t>（二）存在的问题</w:t>
      </w:r>
      <w:bookmarkEnd w:id="9"/>
      <w:bookmarkEnd w:id="10"/>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right="0" w:firstLine="640" w:firstLineChars="200"/>
        <w:jc w:val="both"/>
        <w:rPr>
          <w:rFonts w:hint="eastAsia" w:ascii="仿宋_GB2312" w:hAnsi="仿宋" w:eastAsia="仿宋_GB2312" w:cs="宋体"/>
          <w:color w:val="333333"/>
          <w:kern w:val="0"/>
          <w:sz w:val="32"/>
          <w:szCs w:val="32"/>
          <w:lang w:val="en-US" w:eastAsia="zh-CN" w:bidi="ar-SA"/>
        </w:rPr>
      </w:pPr>
      <w:bookmarkStart w:id="11" w:name="_Toc8054024"/>
      <w:bookmarkStart w:id="12" w:name="_Toc7454631"/>
      <w:r>
        <w:rPr>
          <w:rFonts w:hint="eastAsia" w:ascii="仿宋_GB2312" w:hAnsi="仿宋" w:eastAsia="仿宋_GB2312" w:cs="宋体"/>
          <w:color w:val="333333"/>
          <w:kern w:val="0"/>
          <w:sz w:val="32"/>
          <w:szCs w:val="32"/>
          <w:lang w:val="en-US" w:eastAsia="zh-CN" w:bidi="ar-SA"/>
        </w:rPr>
        <w:t>一是预算绩效管理工作机制有待进一步强化。本部门预算绩效管理工作保障制度有待进一步完善；二是预算绩效目标制定有待进一步细化。三是在实际预算执行过程中，应注重对预算绩效运行情况实施全目标、全过程、全方位的监控，从而有效跟踪年度目标任务执行情况及完成情况。</w:t>
      </w:r>
    </w:p>
    <w:p>
      <w:pPr>
        <w:pStyle w:val="4"/>
        <w:spacing w:before="0" w:after="0" w:line="240" w:lineRule="auto"/>
        <w:ind w:firstLine="0" w:firstLineChars="0"/>
        <w:rPr>
          <w:rFonts w:hint="eastAsia" w:ascii="仿宋_GB2312" w:hAnsi="仿宋" w:eastAsia="仿宋_GB2312" w:cs="宋体"/>
          <w:b/>
          <w:bCs/>
          <w:color w:val="333333"/>
          <w:kern w:val="0"/>
          <w:sz w:val="32"/>
          <w:szCs w:val="32"/>
          <w:lang w:val="en-US" w:eastAsia="zh-CN" w:bidi="ar-SA"/>
        </w:rPr>
      </w:pPr>
      <w:r>
        <w:rPr>
          <w:rFonts w:hint="eastAsia" w:ascii="仿宋_GB2312" w:hAnsi="仿宋" w:eastAsia="仿宋_GB2312" w:cs="宋体"/>
          <w:b/>
          <w:bCs/>
          <w:color w:val="333333"/>
          <w:kern w:val="0"/>
          <w:sz w:val="32"/>
          <w:szCs w:val="32"/>
          <w:lang w:val="en-US" w:eastAsia="zh-CN" w:bidi="ar-SA"/>
        </w:rPr>
        <w:t>（三）改进措施及建议</w:t>
      </w:r>
      <w:bookmarkEnd w:id="11"/>
      <w:bookmarkEnd w:id="12"/>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1.细化预算编制工作。进一步加强单位内部机构各科室的预算管理意识，严格按照预算编制的相关制度和要求进行预算编制；</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2.加强财务管理。加强单位财务管理，健全单位财务管理制度体系，规范单位财务行为，杜绝超支现象的发生；</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3.抓好“三公”经费控制。进一步细化“三公”经费的管理，合理压缩“三公”经费支出；</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color w:val="FF0000"/>
          <w:spacing w:val="-20"/>
          <w:sz w:val="32"/>
          <w:szCs w:val="32"/>
        </w:rPr>
      </w:pPr>
      <w:r>
        <w:rPr>
          <w:rFonts w:hint="eastAsia" w:ascii="仿宋_GB2312" w:hAnsi="仿宋" w:eastAsia="仿宋_GB2312" w:cs="宋体"/>
          <w:color w:val="333333"/>
          <w:kern w:val="0"/>
          <w:sz w:val="32"/>
          <w:szCs w:val="32"/>
          <w:lang w:val="en-US" w:eastAsia="zh-CN" w:bidi="ar-SA"/>
        </w:rPr>
        <w:t>4.加强绩效管理培训，提高绩效工作水平。</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p>
    <w:p>
      <w:pPr>
        <w:widowControl/>
        <w:shd w:val="clear" w:color="auto" w:fill="FFFFFF"/>
        <w:ind w:firstLine="0"/>
        <w:jc w:val="left"/>
        <w:rPr>
          <w:rFonts w:hint="eastAsia" w:ascii="仿宋_GB2312" w:hAnsi="仿宋" w:eastAsia="仿宋_GB2312" w:cs="宋体"/>
          <w:color w:val="333333"/>
          <w:kern w:val="0"/>
          <w:sz w:val="32"/>
          <w:szCs w:val="32"/>
        </w:rPr>
      </w:pPr>
    </w:p>
    <w:p>
      <w:pPr>
        <w:pStyle w:val="2"/>
        <w:rPr>
          <w:rFonts w:hint="eastAsia"/>
        </w:rPr>
      </w:pPr>
    </w:p>
    <w:p>
      <w:pPr>
        <w:pStyle w:val="2"/>
        <w:rPr>
          <w:rFonts w:hint="eastAsia"/>
        </w:rPr>
      </w:pPr>
    </w:p>
    <w:p>
      <w:pPr>
        <w:pStyle w:val="2"/>
        <w:rPr>
          <w:rFonts w:hint="eastAsia"/>
        </w:rPr>
      </w:pPr>
    </w:p>
    <w:p>
      <w:pPr>
        <w:pStyle w:val="2"/>
        <w:rPr>
          <w:rFonts w:hint="eastAsia"/>
        </w:rPr>
      </w:pPr>
    </w:p>
    <w:p>
      <w:pPr>
        <w:jc w:val="center"/>
        <w:rPr>
          <w:rFonts w:ascii="方正小标宋_GBK" w:hAnsi="Calibri" w:eastAsia="方正小标宋_GBK"/>
          <w:sz w:val="44"/>
          <w:szCs w:val="44"/>
        </w:rPr>
      </w:pPr>
      <w:r>
        <w:rPr>
          <w:rFonts w:hint="eastAsia" w:ascii="方正小标宋_GBK" w:hAnsi="Calibri" w:eastAsia="方正小标宋_GBK"/>
          <w:sz w:val="44"/>
          <w:szCs w:val="44"/>
        </w:rPr>
        <w:t>正文：昆明市盘龙区人民政府办公室</w:t>
      </w:r>
      <w:r>
        <w:rPr>
          <w:rFonts w:hint="eastAsia" w:ascii="方正小标宋_GBK" w:hAnsi="Calibri" w:eastAsia="方正小标宋_GBK"/>
          <w:sz w:val="44"/>
          <w:szCs w:val="44"/>
          <w:lang w:val="en-US" w:eastAsia="zh-CN"/>
        </w:rPr>
        <w:t>2020</w:t>
      </w:r>
      <w:r>
        <w:rPr>
          <w:rFonts w:hint="eastAsia" w:ascii="方正小标宋_GBK" w:hAnsi="Calibri" w:eastAsia="方正小标宋_GBK"/>
          <w:sz w:val="44"/>
          <w:szCs w:val="44"/>
        </w:rPr>
        <w:t>年部门整体支出绩效自评报告</w:t>
      </w:r>
    </w:p>
    <w:p>
      <w:pPr>
        <w:widowControl/>
        <w:shd w:val="clear" w:color="auto" w:fill="FFFFFF"/>
        <w:spacing w:line="560" w:lineRule="atLeast"/>
        <w:ind w:firstLine="630"/>
        <w:rPr>
          <w:rFonts w:hint="eastAsia" w:ascii="黑体" w:hAnsi="Arial" w:eastAsia="黑体" w:cs="Arial"/>
          <w:color w:val="000000"/>
          <w:kern w:val="0"/>
          <w:sz w:val="32"/>
          <w:szCs w:val="32"/>
        </w:rPr>
      </w:pPr>
    </w:p>
    <w:p>
      <w:pPr>
        <w:pStyle w:val="3"/>
        <w:spacing w:before="0" w:after="0" w:line="240" w:lineRule="auto"/>
        <w:ind w:firstLine="0" w:firstLineChars="0"/>
        <w:rPr>
          <w:rFonts w:hint="eastAsia" w:ascii="黑体" w:hAnsi="黑体" w:eastAsia="黑体"/>
          <w:b w:val="0"/>
          <w:bCs w:val="0"/>
          <w:sz w:val="32"/>
          <w:szCs w:val="32"/>
        </w:rPr>
      </w:pPr>
      <w:bookmarkStart w:id="13" w:name="_Toc8054025"/>
      <w:r>
        <w:rPr>
          <w:rFonts w:hint="eastAsia" w:ascii="黑体" w:hAnsi="黑体" w:eastAsia="黑体"/>
          <w:b w:val="0"/>
          <w:bCs w:val="0"/>
          <w:sz w:val="32"/>
          <w:szCs w:val="32"/>
        </w:rPr>
        <w:t>一、部门概况</w:t>
      </w:r>
      <w:bookmarkEnd w:id="13"/>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bookmarkStart w:id="14" w:name="_Toc8054026"/>
      <w:r>
        <w:rPr>
          <w:rFonts w:hint="eastAsia" w:ascii="仿宋_GB2312" w:hAnsi="仿宋" w:eastAsia="仿宋_GB2312" w:cs="??_GB2312"/>
          <w:b/>
          <w:bCs/>
          <w:kern w:val="2"/>
          <w:sz w:val="32"/>
          <w:szCs w:val="32"/>
          <w:lang w:val="en-US" w:eastAsia="zh-CN" w:bidi="ar-SA"/>
        </w:rPr>
        <w:t>（一）部门机构设置、编制</w:t>
      </w:r>
      <w:bookmarkEnd w:id="14"/>
    </w:p>
    <w:p>
      <w:pPr>
        <w:spacing w:line="560" w:lineRule="exact"/>
        <w:ind w:firstLine="320" w:firstLineChars="1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1.机关</w:t>
      </w:r>
    </w:p>
    <w:p>
      <w:pPr>
        <w:pStyle w:val="3"/>
        <w:spacing w:before="0" w:after="0" w:line="240" w:lineRule="auto"/>
        <w:ind w:firstLine="640" w:firstLineChars="200"/>
        <w:rPr>
          <w:rFonts w:hint="eastAsia"/>
          <w:lang w:val="en-US" w:eastAsia="zh-CN"/>
        </w:rPr>
      </w:pPr>
      <w:r>
        <w:rPr>
          <w:rFonts w:hint="eastAsia" w:ascii="仿宋_GB2312" w:hAnsi="仿宋_GB2312" w:eastAsia="仿宋_GB2312" w:cs="仿宋_GB2312"/>
          <w:b w:val="0"/>
          <w:bCs w:val="0"/>
          <w:kern w:val="2"/>
          <w:sz w:val="32"/>
          <w:szCs w:val="32"/>
          <w:lang w:val="en-US" w:eastAsia="zh-CN" w:bidi="ar-SA"/>
        </w:rPr>
        <w:t>根据中共昆明市盘龙区委办公室 昆明市盘龙区人民政府办公室《关于印发〈昆明市盘龙区人民政府办公室职能配置、内设机构和人员编制规定〉的通知》（盘办通〔2019〕74号）文件，昆明市盘龙区人民政府办公室核定为正科级行政机关单位，核定行政编制41名，设置内设机构14个。分别为：综合一科、综合二科、秘书一科、秘书二科、秘书三科、秘书四科、信息与政务公开科、目标督查科、财务科、规范性文件审查办公室、区长热线电话办公室、外事办公室、区政府总值班室、区大健康办公室。</w:t>
      </w:r>
    </w:p>
    <w:p>
      <w:pPr>
        <w:pStyle w:val="3"/>
        <w:spacing w:before="0" w:after="0" w:line="240" w:lineRule="auto"/>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2020年，根据《中共昆明市盘龙区委机构编制委员会关于区政府办公室增加内设机构及编制的批复》文件，盘龙区人民政府办公室新增加内设机构1个，即：流动人口和出租房屋管理科，增加行政编制3名。增加后区政府办公室核定行政编制总数44名，内设机构15个。</w:t>
      </w:r>
    </w:p>
    <w:p>
      <w:pPr>
        <w:numPr>
          <w:ilvl w:val="0"/>
          <w:numId w:val="0"/>
        </w:numPr>
        <w:spacing w:line="560" w:lineRule="exact"/>
        <w:ind w:firstLine="320" w:firstLineChars="1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2.事业单位</w:t>
      </w:r>
    </w:p>
    <w:p>
      <w:pPr>
        <w:jc w:val="left"/>
        <w:rPr>
          <w:rFonts w:hint="eastAsia"/>
          <w:lang w:val="en-US" w:eastAsia="zh-CN"/>
        </w:rPr>
      </w:pPr>
      <w:r>
        <w:rPr>
          <w:rFonts w:hint="eastAsia" w:ascii="仿宋_GB2312" w:hAnsi="仿宋_GB2312" w:eastAsia="仿宋_GB2312" w:cs="仿宋_GB2312"/>
          <w:b w:val="0"/>
          <w:bCs w:val="0"/>
          <w:kern w:val="2"/>
          <w:sz w:val="32"/>
          <w:szCs w:val="32"/>
          <w:lang w:val="en-US" w:eastAsia="zh-CN" w:bidi="ar-SA"/>
        </w:rPr>
        <w:t xml:space="preserve">   </w:t>
      </w:r>
      <w:r>
        <w:rPr>
          <w:rFonts w:hint="eastAsia" w:ascii="Times New Roman" w:hAnsi="Times New Roman" w:eastAsia="仿宋_GB2312" w:cs="Times New Roman"/>
          <w:sz w:val="32"/>
          <w:szCs w:val="32"/>
          <w:lang w:val="en-US" w:eastAsia="zh-CN"/>
        </w:rPr>
        <w:t xml:space="preserve"> 根据《</w:t>
      </w:r>
      <w:r>
        <w:rPr>
          <w:rFonts w:hint="default" w:ascii="Times New Roman" w:hAnsi="Times New Roman" w:eastAsia="仿宋_GB2312" w:cs="Times New Roman"/>
          <w:sz w:val="32"/>
          <w:szCs w:val="32"/>
          <w:lang w:val="en-US" w:eastAsia="zh-CN"/>
        </w:rPr>
        <w:t>昆明市盘龙区深化党政机构改革领导小组</w:t>
      </w:r>
      <w:r>
        <w:rPr>
          <w:rFonts w:hint="eastAsia" w:ascii="Times New Roman" w:hAnsi="Times New Roman" w:eastAsia="仿宋_GB2312" w:cs="Times New Roman"/>
          <w:sz w:val="32"/>
          <w:szCs w:val="32"/>
          <w:lang w:val="en-US" w:eastAsia="zh-CN"/>
        </w:rPr>
        <w:t>关于涉改事业单位机构调整通知</w:t>
      </w:r>
      <w:r>
        <w:rPr>
          <w:rFonts w:hint="eastAsia" w:ascii="仿宋_GB2312" w:hAnsi="仿宋_GB2312" w:eastAsia="仿宋_GB2312" w:cs="仿宋_GB2312"/>
          <w:b w:val="0"/>
          <w:bCs w:val="0"/>
          <w:kern w:val="2"/>
          <w:sz w:val="32"/>
          <w:szCs w:val="32"/>
          <w:lang w:val="en-US" w:eastAsia="zh-CN" w:bidi="ar-SA"/>
        </w:rPr>
        <w:t>》（</w:t>
      </w:r>
      <w:r>
        <w:rPr>
          <w:rFonts w:hint="default" w:ascii="Times New Roman" w:hAnsi="Times New Roman" w:eastAsia="仿宋_GB2312" w:cs="Times New Roman"/>
          <w:sz w:val="32"/>
          <w:szCs w:val="32"/>
          <w:lang w:eastAsia="zh-CN"/>
        </w:rPr>
        <w:t>盘改发〔</w:t>
      </w:r>
      <w:r>
        <w:rPr>
          <w:rFonts w:hint="default" w:ascii="Times New Roman" w:hAnsi="Times New Roman" w:eastAsia="仿宋_GB2312" w:cs="Times New Roman"/>
          <w:sz w:val="32"/>
          <w:szCs w:val="32"/>
          <w:lang w:val="en-US" w:eastAsia="zh-CN"/>
        </w:rPr>
        <w:t>2019〕</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号</w:t>
      </w:r>
      <w:r>
        <w:rPr>
          <w:rFonts w:hint="eastAsia" w:ascii="仿宋_GB2312" w:hAnsi="仿宋_GB2312" w:eastAsia="仿宋_GB2312" w:cs="仿宋_GB2312"/>
          <w:b w:val="0"/>
          <w:bCs w:val="0"/>
          <w:kern w:val="2"/>
          <w:sz w:val="32"/>
          <w:szCs w:val="32"/>
          <w:lang w:val="en-US" w:eastAsia="zh-CN" w:bidi="ar-SA"/>
        </w:rPr>
        <w:t>）和《</w:t>
      </w:r>
      <w:r>
        <w:rPr>
          <w:rFonts w:hint="default" w:ascii="仿宋_GB2312" w:hAnsi="仿宋_GB2312" w:eastAsia="仿宋_GB2312" w:cs="仿宋_GB2312"/>
          <w:b w:val="0"/>
          <w:bCs w:val="0"/>
          <w:kern w:val="2"/>
          <w:sz w:val="32"/>
          <w:szCs w:val="32"/>
          <w:lang w:val="en-US" w:eastAsia="zh-CN" w:bidi="ar-SA"/>
        </w:rPr>
        <w:t>中共昆明市盘龙区委机构编制委员会关于调整昆明市盘龙区综合调研办公室机构编制</w:t>
      </w:r>
      <w:r>
        <w:rPr>
          <w:rFonts w:hint="eastAsia" w:ascii="仿宋_GB2312" w:hAnsi="仿宋_GB2312" w:eastAsia="仿宋_GB2312" w:cs="仿宋_GB2312"/>
          <w:b w:val="0"/>
          <w:bCs w:val="0"/>
          <w:kern w:val="2"/>
          <w:sz w:val="32"/>
          <w:szCs w:val="32"/>
          <w:lang w:val="en-US" w:eastAsia="zh-CN" w:bidi="ar-SA"/>
        </w:rPr>
        <w:t>事项的批复》（</w:t>
      </w:r>
      <w:r>
        <w:rPr>
          <w:rFonts w:hint="default" w:eastAsia="仿宋_GB2312"/>
          <w:sz w:val="32"/>
          <w:szCs w:val="32"/>
          <w:lang w:eastAsia="zh-CN"/>
        </w:rPr>
        <w:t>盘</w:t>
      </w:r>
      <w:r>
        <w:rPr>
          <w:rFonts w:hint="eastAsia" w:eastAsia="仿宋_GB2312"/>
          <w:sz w:val="32"/>
          <w:szCs w:val="32"/>
          <w:lang w:eastAsia="zh-CN"/>
        </w:rPr>
        <w:t>机编复</w:t>
      </w:r>
      <w:r>
        <w:rPr>
          <w:rFonts w:hint="default" w:eastAsia="仿宋_GB2312"/>
          <w:sz w:val="32"/>
          <w:szCs w:val="32"/>
          <w:lang w:eastAsia="zh-CN"/>
        </w:rPr>
        <w:t>〔</w:t>
      </w:r>
      <w:r>
        <w:rPr>
          <w:rFonts w:hint="default" w:eastAsia="仿宋_GB2312"/>
          <w:sz w:val="32"/>
          <w:szCs w:val="32"/>
          <w:lang w:val="en-US" w:eastAsia="zh-CN"/>
        </w:rPr>
        <w:t>201</w:t>
      </w:r>
      <w:r>
        <w:rPr>
          <w:rFonts w:hint="eastAsia" w:eastAsia="仿宋_GB2312"/>
          <w:sz w:val="32"/>
          <w:szCs w:val="32"/>
          <w:lang w:val="en-US" w:eastAsia="zh-CN"/>
        </w:rPr>
        <w:t>9</w:t>
      </w:r>
      <w:r>
        <w:rPr>
          <w:rFonts w:hint="default" w:eastAsia="仿宋_GB2312"/>
          <w:sz w:val="32"/>
          <w:szCs w:val="32"/>
          <w:lang w:val="en-US" w:eastAsia="zh-CN"/>
        </w:rPr>
        <w:t>〕</w:t>
      </w:r>
      <w:r>
        <w:rPr>
          <w:rFonts w:hint="eastAsia" w:eastAsia="仿宋_GB2312"/>
          <w:sz w:val="32"/>
          <w:szCs w:val="32"/>
          <w:lang w:val="en-US" w:eastAsia="zh-CN"/>
        </w:rPr>
        <w:t>8</w:t>
      </w:r>
      <w:r>
        <w:rPr>
          <w:rFonts w:hint="default" w:eastAsia="仿宋_GB2312"/>
          <w:sz w:val="32"/>
          <w:szCs w:val="32"/>
          <w:lang w:val="en-US" w:eastAsia="zh-CN"/>
        </w:rPr>
        <w:t>号</w:t>
      </w:r>
      <w:r>
        <w:rPr>
          <w:rFonts w:hint="eastAsia" w:eastAsia="仿宋_GB2312"/>
          <w:sz w:val="32"/>
          <w:szCs w:val="32"/>
          <w:lang w:val="en-US" w:eastAsia="zh-CN"/>
        </w:rPr>
        <w:t>）文件，</w:t>
      </w:r>
      <w:r>
        <w:rPr>
          <w:rFonts w:hint="eastAsia" w:eastAsia="仿宋_GB2312" w:cs="仿宋_GB2312"/>
          <w:sz w:val="32"/>
          <w:szCs w:val="32"/>
        </w:rPr>
        <w:t>区政府办公室下属事业单位</w:t>
      </w:r>
      <w:r>
        <w:rPr>
          <w:rFonts w:hint="eastAsia" w:eastAsia="仿宋_GB2312" w:cs="仿宋_GB2312"/>
          <w:sz w:val="32"/>
          <w:szCs w:val="32"/>
          <w:lang w:eastAsia="zh-CN"/>
        </w:rPr>
        <w:t>：昆明市盘龙区决策咨询与信息服务中心，核定为事业编制</w:t>
      </w:r>
      <w:r>
        <w:rPr>
          <w:rFonts w:hint="eastAsia" w:eastAsia="仿宋_GB2312" w:cs="仿宋_GB2312"/>
          <w:sz w:val="32"/>
          <w:szCs w:val="32"/>
          <w:lang w:val="en-US" w:eastAsia="zh-CN"/>
        </w:rPr>
        <w:t>10名，共设置内设机构3个，分别为：</w:t>
      </w:r>
      <w:r>
        <w:rPr>
          <w:rFonts w:hint="default" w:ascii="Times New Roman" w:hAnsi="Times New Roman" w:eastAsia="仿宋_GB2312" w:cs="Times New Roman"/>
          <w:spacing w:val="0"/>
          <w:sz w:val="32"/>
          <w:szCs w:val="32"/>
        </w:rPr>
        <w:t>信息研判科</w:t>
      </w: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调查研究科</w:t>
      </w: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综合文书科</w:t>
      </w:r>
      <w:r>
        <w:rPr>
          <w:rFonts w:hint="eastAsia" w:ascii="Times New Roman" w:hAnsi="Times New Roman" w:eastAsia="仿宋_GB2312" w:cs="Times New Roman"/>
          <w:spacing w:val="0"/>
          <w:sz w:val="32"/>
          <w:szCs w:val="32"/>
          <w:lang w:eastAsia="zh-CN"/>
        </w:rPr>
        <w:t>。</w:t>
      </w:r>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bookmarkStart w:id="15" w:name="_Toc8054027"/>
      <w:r>
        <w:rPr>
          <w:rFonts w:hint="eastAsia" w:ascii="仿宋_GB2312" w:hAnsi="仿宋" w:eastAsia="仿宋_GB2312" w:cs="??_GB2312"/>
          <w:b/>
          <w:bCs/>
          <w:kern w:val="2"/>
          <w:sz w:val="32"/>
          <w:szCs w:val="32"/>
          <w:lang w:val="en-US" w:eastAsia="zh-CN" w:bidi="ar-SA"/>
        </w:rPr>
        <w:t>（二）部门职能</w:t>
      </w:r>
      <w:bookmarkEnd w:id="15"/>
    </w:p>
    <w:p>
      <w:pPr>
        <w:adjustRightInd w:val="0"/>
        <w:snapToGrid w:val="0"/>
        <w:spacing w:line="560" w:lineRule="exact"/>
        <w:ind w:firstLine="640" w:firstLineChars="200"/>
        <w:rPr>
          <w:rFonts w:hint="eastAsia" w:ascii="仿宋_GB2312" w:hAnsi="仿宋_GB2312" w:eastAsia="仿宋_GB2312" w:cs="仿宋_GB2312"/>
          <w:sz w:val="32"/>
          <w:szCs w:val="32"/>
        </w:rPr>
      </w:pPr>
      <w:bookmarkStart w:id="16" w:name="_Toc8054028"/>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承办上级人民政府文件、指示在我区贯彻落实的行文工作，承办区人民政府向上级人民政府报告、请示的拟稿和审核工作，以及上级党委、政府和区委、区人大、区政协转由区人民政府办理的事项。</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负责区人民政府会议的准备工作，协助区人民政府领导组织实施会议决定事项。</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协助区人民政府领导组织起草或审核以区人民政府、区政府办公室名义发布的公文，负责区人民政府、区政府办公室规范性文件的合法性审查工作。</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研究各街道办事处、区政府各部门请示区人民政府的事项，提出办理意见，报区人民政府领导审批。</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根据区人民政府领导的指示，对区政府部门间出现的争议问题进行协调并提出处理意见，报区人民政府领导决定。</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负责区人民政府重大决策部署、重要文件确定事项、重要会议议定事项以及区人民政府领导批示指示贯彻落实情况的督促检查。</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牵头组织有关部门按照区人民政府领导指示开展专题调查研究，及时反映情况，提出工作建议。</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负责承办各级人大代表建议和政协提案，统筹全区政府系统人大建议和政协提案办理工作。</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负责区人民政府值班工作，及时向区人民政府领导报告重要紧急情况，传达和督促落实区人民政府领导指示。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负责全区政务信息工作。指导监督、协调推进政府信息公开工作。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pacing w:val="-8"/>
          <w:sz w:val="32"/>
          <w:szCs w:val="32"/>
        </w:rPr>
        <w:t>负责全区外事工作；承办区政府安排的对外接待工作。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pacing w:val="-8"/>
          <w:sz w:val="32"/>
          <w:szCs w:val="32"/>
        </w:rPr>
        <w:t>负责12345市长热线平台群众来件的受理、分办工作。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协调推进大健康产业发展有关工作。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负责做好各类文件、电报、资料的签收、登记、传阅、交办、清退、立卷归档、保管、销毁和区政府及其办公室上报、下发文（函）件的登记、编号、送审、打印、发送工作。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负责管理、使用区政府、区政府党组、区政府办公室的印鉴和区长的印鉴。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将昆明市盘龙区人民政府办公室下属事业单位承担的除行政执法职能以外的行政职能交由昆明市盘龙区人民政府办公室承担。</w:t>
      </w:r>
    </w:p>
    <w:p>
      <w:pPr>
        <w:snapToGrid/>
        <w:spacing w:line="560" w:lineRule="exact"/>
        <w:ind w:firstLine="640" w:firstLineChars="200"/>
        <w:rPr>
          <w:rFonts w:hint="eastAsia"/>
          <w:lang w:val="en-US" w:eastAsia="zh-CN"/>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承办区委、区政府和上级机关交办的其他任务。</w:t>
      </w:r>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r>
        <w:rPr>
          <w:rFonts w:hint="eastAsia" w:ascii="仿宋_GB2312" w:hAnsi="仿宋" w:eastAsia="仿宋_GB2312" w:cs="??_GB2312"/>
          <w:b/>
          <w:bCs/>
          <w:kern w:val="2"/>
          <w:sz w:val="32"/>
          <w:szCs w:val="32"/>
          <w:lang w:val="en-US" w:eastAsia="zh-CN" w:bidi="ar-SA"/>
        </w:rPr>
        <w:t>（三）部门工作完成情况</w:t>
      </w:r>
      <w:bookmarkEnd w:id="16"/>
    </w:p>
    <w:p>
      <w:pPr>
        <w:widowControl w:val="0"/>
        <w:spacing w:after="0" w:line="240" w:lineRule="auto"/>
        <w:ind w:firstLine="624" w:firstLineChars="200"/>
        <w:jc w:val="both"/>
        <w:rPr>
          <w:rFonts w:ascii="Times New Roman" w:hAnsi="Times New Roman" w:eastAsia="仿宋_GB2312"/>
          <w:spacing w:val="-4"/>
          <w:sz w:val="32"/>
          <w:szCs w:val="32"/>
        </w:rPr>
      </w:pPr>
      <w:r>
        <w:rPr>
          <w:rFonts w:hint="eastAsia" w:ascii="Times New Roman" w:hAnsi="Times New Roman" w:eastAsia="仿宋_GB2312"/>
          <w:spacing w:val="-4"/>
          <w:sz w:val="32"/>
          <w:szCs w:val="32"/>
          <w:lang w:val="en-US" w:eastAsia="zh-CN"/>
        </w:rPr>
        <w:t>2020</w:t>
      </w:r>
      <w:r>
        <w:rPr>
          <w:rFonts w:ascii="Times New Roman" w:hAnsi="Times New Roman" w:eastAsia="仿宋_GB2312"/>
          <w:spacing w:val="-4"/>
          <w:sz w:val="32"/>
          <w:szCs w:val="32"/>
        </w:rPr>
        <w:t>年区政府办公室在区委、区政府的坚强领导下，紧紧围绕区委、区政府中心工作，切实履行各项职责，高效服务，力促发展，保障了区政府各项工作高效有序运转。</w:t>
      </w:r>
    </w:p>
    <w:p>
      <w:pPr>
        <w:spacing w:after="0" w:line="600" w:lineRule="exact"/>
        <w:ind w:firstLine="627" w:firstLineChars="200"/>
        <w:jc w:val="both"/>
        <w:rPr>
          <w:rFonts w:ascii="Times New Roman" w:hAnsi="Times New Roman" w:eastAsia="仿宋_GB2312"/>
          <w:sz w:val="32"/>
          <w:szCs w:val="32"/>
        </w:rPr>
      </w:pPr>
      <w:r>
        <w:rPr>
          <w:rFonts w:hint="eastAsia" w:ascii="Times New Roman" w:hAnsi="Times New Roman" w:eastAsia="仿宋_GB2312" w:cs="Times New Roman"/>
          <w:b/>
          <w:bCs/>
          <w:spacing w:val="-4"/>
          <w:sz w:val="32"/>
          <w:szCs w:val="32"/>
          <w:lang w:val="en-US" w:eastAsia="zh-CN"/>
        </w:rPr>
        <w:t>1.围</w:t>
      </w:r>
      <w:r>
        <w:rPr>
          <w:rFonts w:hint="eastAsia" w:ascii="Times New Roman" w:hAnsi="Times New Roman" w:eastAsia="仿宋_GB2312" w:cs="Times New Roman"/>
          <w:b/>
          <w:bCs/>
          <w:spacing w:val="-4"/>
          <w:sz w:val="32"/>
          <w:szCs w:val="32"/>
        </w:rPr>
        <w:t>绕中心，服务发展</w:t>
      </w:r>
      <w:r>
        <w:rPr>
          <w:rFonts w:hint="eastAsia" w:ascii="Times New Roman" w:hAnsi="Times New Roman" w:eastAsia="仿宋_GB2312" w:cs="Times New Roman"/>
          <w:b/>
          <w:bCs/>
          <w:spacing w:val="-4"/>
          <w:sz w:val="32"/>
          <w:szCs w:val="32"/>
          <w:lang w:eastAsia="zh-CN"/>
        </w:rPr>
        <w:t>，发挥参谋助手作用。</w:t>
      </w:r>
      <w:r>
        <w:rPr>
          <w:rFonts w:hint="eastAsia" w:ascii="仿宋_GB2312" w:hAnsi="仿宋_GB2312" w:eastAsia="仿宋_GB2312" w:cs="仿宋_GB2312"/>
          <w:b/>
          <w:bCs/>
          <w:sz w:val="32"/>
          <w:szCs w:val="32"/>
          <w:lang w:eastAsia="zh-CN"/>
        </w:rPr>
        <w:t>一是</w:t>
      </w:r>
      <w:r>
        <w:rPr>
          <w:rFonts w:ascii="Times New Roman" w:hAnsi="Times New Roman" w:eastAsia="仿宋_GB2312"/>
          <w:spacing w:val="-4"/>
          <w:sz w:val="32"/>
          <w:szCs w:val="32"/>
        </w:rPr>
        <w:t>始终把起草好政府各类综合性文稿、政府文件作为文稿服务的核心任务，提高文稿的思想性、针对性、指导性</w:t>
      </w:r>
      <w:r>
        <w:rPr>
          <w:rFonts w:hint="eastAsia" w:ascii="Times New Roman" w:hAnsi="Times New Roman" w:eastAsia="仿宋_GB2312"/>
          <w:spacing w:val="-4"/>
          <w:sz w:val="32"/>
          <w:szCs w:val="32"/>
          <w:lang w:eastAsia="zh-CN"/>
        </w:rPr>
        <w:t>。</w:t>
      </w:r>
      <w:r>
        <w:rPr>
          <w:rFonts w:hint="eastAsia" w:ascii="Times New Roman" w:hAnsi="Times New Roman" w:eastAsia="仿宋_GB2312"/>
          <w:spacing w:val="-4"/>
          <w:sz w:val="32"/>
          <w:szCs w:val="32"/>
          <w:lang w:val="en-US" w:eastAsia="zh-CN"/>
        </w:rPr>
        <w:t>全年</w:t>
      </w:r>
      <w:r>
        <w:rPr>
          <w:rFonts w:ascii="Times New Roman" w:hAnsi="Times New Roman" w:eastAsia="仿宋_GB2312"/>
          <w:spacing w:val="-4"/>
          <w:sz w:val="32"/>
          <w:szCs w:val="32"/>
        </w:rPr>
        <w:t>共起草以盘政、盘政办等上报、下发的请示、报告、通知等文件</w:t>
      </w:r>
      <w:r>
        <w:rPr>
          <w:rFonts w:hint="eastAsia" w:ascii="Times New Roman" w:hAnsi="Times New Roman" w:eastAsia="仿宋_GB2312"/>
          <w:spacing w:val="-4"/>
          <w:sz w:val="32"/>
          <w:szCs w:val="32"/>
          <w:lang w:val="en-US" w:eastAsia="zh-CN"/>
        </w:rPr>
        <w:t>500余</w:t>
      </w:r>
      <w:r>
        <w:rPr>
          <w:rFonts w:ascii="Times New Roman" w:hAnsi="Times New Roman" w:eastAsia="仿宋_GB2312"/>
          <w:spacing w:val="-4"/>
          <w:sz w:val="32"/>
          <w:szCs w:val="32"/>
        </w:rPr>
        <w:t>份，专题会议纪要</w:t>
      </w:r>
      <w:r>
        <w:rPr>
          <w:rFonts w:hint="eastAsia" w:ascii="Times New Roman" w:hAnsi="Times New Roman" w:eastAsia="仿宋_GB2312"/>
          <w:spacing w:val="-4"/>
          <w:sz w:val="32"/>
          <w:szCs w:val="32"/>
          <w:lang w:val="en-US" w:eastAsia="zh-CN"/>
        </w:rPr>
        <w:t>480余</w:t>
      </w:r>
      <w:r>
        <w:rPr>
          <w:rFonts w:ascii="Times New Roman" w:hAnsi="Times New Roman" w:eastAsia="仿宋_GB2312"/>
          <w:spacing w:val="-4"/>
          <w:sz w:val="32"/>
          <w:szCs w:val="32"/>
        </w:rPr>
        <w:t>期，起草各类汇报材料、讲话稿</w:t>
      </w:r>
      <w:r>
        <w:rPr>
          <w:rFonts w:hint="eastAsia" w:ascii="Times New Roman" w:hAnsi="Times New Roman" w:eastAsia="仿宋_GB2312"/>
          <w:spacing w:val="-4"/>
          <w:sz w:val="32"/>
          <w:szCs w:val="32"/>
          <w:lang w:val="en-US" w:eastAsia="zh-CN"/>
        </w:rPr>
        <w:t>1200</w:t>
      </w:r>
      <w:r>
        <w:rPr>
          <w:rFonts w:ascii="Times New Roman" w:hAnsi="Times New Roman" w:eastAsia="仿宋_GB2312"/>
          <w:spacing w:val="-4"/>
          <w:sz w:val="32"/>
          <w:szCs w:val="32"/>
        </w:rPr>
        <w:t>余份。</w:t>
      </w:r>
      <w:r>
        <w:rPr>
          <w:rFonts w:hint="eastAsia" w:ascii="Times New Roman" w:hAnsi="Times New Roman" w:eastAsia="仿宋_GB2312"/>
          <w:b/>
          <w:bCs/>
          <w:spacing w:val="-4"/>
          <w:sz w:val="32"/>
          <w:szCs w:val="32"/>
          <w:lang w:eastAsia="zh-CN"/>
        </w:rPr>
        <w:t>二是</w:t>
      </w:r>
      <w:r>
        <w:rPr>
          <w:rFonts w:ascii="Times New Roman" w:hAnsi="Times New Roman" w:eastAsia="仿宋_GB2312"/>
          <w:spacing w:val="-4"/>
          <w:sz w:val="32"/>
          <w:szCs w:val="32"/>
        </w:rPr>
        <w:t>全力加强公文处理规范化建设，做到件件有登记、件件有办理、件件有落实，</w:t>
      </w:r>
      <w:r>
        <w:rPr>
          <w:rFonts w:hint="eastAsia" w:ascii="Times New Roman" w:hAnsi="Times New Roman" w:eastAsia="仿宋_GB2312"/>
          <w:spacing w:val="-4"/>
          <w:sz w:val="32"/>
          <w:szCs w:val="32"/>
          <w:lang w:val="en-US" w:eastAsia="zh-CN"/>
        </w:rPr>
        <w:t>2020年</w:t>
      </w:r>
      <w:r>
        <w:rPr>
          <w:rFonts w:ascii="Times New Roman" w:hAnsi="Times New Roman" w:eastAsia="仿宋_GB2312"/>
          <w:spacing w:val="-4"/>
          <w:sz w:val="32"/>
          <w:szCs w:val="32"/>
        </w:rPr>
        <w:t>处理省、市、区各类文件</w:t>
      </w:r>
      <w:r>
        <w:rPr>
          <w:rFonts w:hint="eastAsia" w:ascii="Times New Roman" w:hAnsi="Times New Roman" w:eastAsia="仿宋_GB2312"/>
          <w:spacing w:val="-4"/>
          <w:sz w:val="32"/>
          <w:szCs w:val="32"/>
          <w:lang w:val="en-US" w:eastAsia="zh-CN"/>
        </w:rPr>
        <w:t>34010</w:t>
      </w:r>
      <w:r>
        <w:rPr>
          <w:rFonts w:ascii="Times New Roman" w:hAnsi="Times New Roman" w:eastAsia="仿宋_GB2312"/>
          <w:spacing w:val="-4"/>
          <w:sz w:val="32"/>
          <w:szCs w:val="32"/>
        </w:rPr>
        <w:t>份</w:t>
      </w:r>
      <w:r>
        <w:rPr>
          <w:rFonts w:hint="eastAsia" w:ascii="Times New Roman" w:hAnsi="Times New Roman" w:eastAsia="仿宋_GB2312"/>
          <w:spacing w:val="-4"/>
          <w:sz w:val="32"/>
          <w:szCs w:val="32"/>
          <w:lang w:eastAsia="zh-CN"/>
        </w:rPr>
        <w:t>，回复各类报告、请示、情况</w:t>
      </w:r>
      <w:r>
        <w:rPr>
          <w:rFonts w:hint="eastAsia" w:ascii="Times New Roman" w:hAnsi="Times New Roman" w:eastAsia="仿宋_GB2312"/>
          <w:spacing w:val="-4"/>
          <w:sz w:val="32"/>
          <w:szCs w:val="32"/>
          <w:lang w:val="en-US" w:eastAsia="zh-CN"/>
        </w:rPr>
        <w:t>17898份</w:t>
      </w:r>
      <w:r>
        <w:rPr>
          <w:rFonts w:ascii="Times New Roman" w:hAnsi="Times New Roman" w:eastAsia="仿宋_GB2312"/>
          <w:spacing w:val="-4"/>
          <w:sz w:val="32"/>
          <w:szCs w:val="32"/>
        </w:rPr>
        <w:t>。</w:t>
      </w:r>
      <w:r>
        <w:rPr>
          <w:rFonts w:hint="eastAsia" w:ascii="Times New Roman" w:hAnsi="Times New Roman" w:eastAsia="仿宋_GB2312"/>
          <w:b/>
          <w:bCs/>
          <w:spacing w:val="-4"/>
          <w:sz w:val="32"/>
          <w:szCs w:val="32"/>
          <w:lang w:eastAsia="zh-CN"/>
        </w:rPr>
        <w:t>三是</w:t>
      </w:r>
      <w:r>
        <w:rPr>
          <w:rFonts w:ascii="Times New Roman" w:hAnsi="Times New Roman" w:eastAsia="仿宋_GB2312"/>
          <w:spacing w:val="-4"/>
          <w:sz w:val="32"/>
          <w:szCs w:val="32"/>
        </w:rPr>
        <w:t>高度重视政务信息工作，</w:t>
      </w:r>
      <w:r>
        <w:rPr>
          <w:rFonts w:hint="eastAsia" w:ascii="Times New Roman" w:hAnsi="Times New Roman" w:eastAsia="仿宋_GB2312"/>
          <w:spacing w:val="-4"/>
          <w:sz w:val="32"/>
          <w:szCs w:val="32"/>
          <w:lang w:val="en-US" w:eastAsia="zh-CN"/>
        </w:rPr>
        <w:t>2020年</w:t>
      </w:r>
      <w:r>
        <w:rPr>
          <w:rFonts w:hint="eastAsia" w:ascii="Times New Roman" w:hAnsi="Times New Roman" w:eastAsia="仿宋_GB2312"/>
          <w:spacing w:val="-4"/>
          <w:sz w:val="32"/>
          <w:szCs w:val="32"/>
          <w:lang w:eastAsia="zh-CN"/>
        </w:rPr>
        <w:t>完成约稿</w:t>
      </w:r>
      <w:r>
        <w:rPr>
          <w:rFonts w:hint="eastAsia" w:ascii="Times New Roman" w:hAnsi="Times New Roman" w:eastAsia="仿宋_GB2312"/>
          <w:spacing w:val="-4"/>
          <w:sz w:val="32"/>
          <w:szCs w:val="32"/>
          <w:lang w:val="en-US" w:eastAsia="zh-CN"/>
        </w:rPr>
        <w:t>108次，</w:t>
      </w:r>
      <w:r>
        <w:rPr>
          <w:rFonts w:ascii="Times New Roman" w:hAnsi="Times New Roman" w:eastAsia="仿宋_GB2312"/>
          <w:spacing w:val="-4"/>
          <w:sz w:val="32"/>
          <w:szCs w:val="32"/>
        </w:rPr>
        <w:t>共采编上报省、市政府办公厅政务信息</w:t>
      </w:r>
      <w:r>
        <w:rPr>
          <w:rFonts w:hint="eastAsia" w:ascii="Times New Roman" w:hAnsi="Times New Roman" w:eastAsia="仿宋_GB2312"/>
          <w:spacing w:val="-4"/>
          <w:sz w:val="32"/>
          <w:szCs w:val="32"/>
          <w:lang w:val="en-US" w:eastAsia="zh-CN"/>
        </w:rPr>
        <w:t>394</w:t>
      </w:r>
      <w:r>
        <w:rPr>
          <w:rFonts w:ascii="Times New Roman" w:hAnsi="Times New Roman" w:eastAsia="仿宋_GB2312"/>
          <w:spacing w:val="-4"/>
          <w:sz w:val="32"/>
          <w:szCs w:val="32"/>
        </w:rPr>
        <w:t>篇</w:t>
      </w:r>
      <w:r>
        <w:rPr>
          <w:rFonts w:hint="eastAsia" w:ascii="Times New Roman" w:hAnsi="Times New Roman" w:eastAsia="仿宋_GB2312"/>
          <w:spacing w:val="-4"/>
          <w:sz w:val="32"/>
          <w:szCs w:val="32"/>
          <w:lang w:eastAsia="zh-CN"/>
        </w:rPr>
        <w:t>（其中：上报省政府办公厅</w:t>
      </w:r>
      <w:r>
        <w:rPr>
          <w:rFonts w:hint="eastAsia" w:ascii="Times New Roman" w:hAnsi="Times New Roman" w:eastAsia="仿宋_GB2312"/>
          <w:spacing w:val="-4"/>
          <w:sz w:val="32"/>
          <w:szCs w:val="32"/>
          <w:lang w:val="en-US" w:eastAsia="zh-CN"/>
        </w:rPr>
        <w:t>180篇，被采用21篇；上报市政府办公室214篇，被采用132篇</w:t>
      </w:r>
      <w:r>
        <w:rPr>
          <w:rFonts w:hint="eastAsia" w:ascii="Times New Roman" w:hAnsi="Times New Roman" w:eastAsia="仿宋_GB2312"/>
          <w:spacing w:val="-4"/>
          <w:sz w:val="32"/>
          <w:szCs w:val="32"/>
          <w:lang w:eastAsia="zh-CN"/>
        </w:rPr>
        <w:t>）。</w:t>
      </w:r>
      <w:r>
        <w:rPr>
          <w:rFonts w:hint="eastAsia" w:ascii="Times New Roman" w:hAnsi="Times New Roman" w:eastAsia="仿宋_GB2312"/>
          <w:b/>
          <w:bCs/>
          <w:spacing w:val="-4"/>
          <w:sz w:val="32"/>
          <w:szCs w:val="32"/>
          <w:lang w:val="en-US" w:eastAsia="zh-CN"/>
        </w:rPr>
        <w:t>四是</w:t>
      </w:r>
      <w:r>
        <w:rPr>
          <w:rFonts w:hint="eastAsia" w:ascii="Times New Roman" w:hAnsi="Times New Roman" w:eastAsia="仿宋_GB2312"/>
          <w:spacing w:val="-4"/>
          <w:sz w:val="32"/>
          <w:szCs w:val="32"/>
          <w:lang w:val="en-US" w:eastAsia="zh-CN"/>
        </w:rPr>
        <w:t>发挥综合协调作用，</w:t>
      </w:r>
      <w:r>
        <w:rPr>
          <w:rFonts w:ascii="Times New Roman" w:hAnsi="Times New Roman" w:eastAsia="仿宋_GB2312"/>
          <w:spacing w:val="-4"/>
          <w:sz w:val="32"/>
          <w:szCs w:val="32"/>
        </w:rPr>
        <w:t>充分发挥承上启下、协调左右、连接内外的枢纽作用，</w:t>
      </w:r>
      <w:r>
        <w:rPr>
          <w:rFonts w:ascii="Times New Roman" w:hAnsi="Times New Roman" w:eastAsia="仿宋_GB2312"/>
          <w:sz w:val="32"/>
          <w:szCs w:val="32"/>
        </w:rPr>
        <w:t>坚持政务与事务相衔接、重大活动与日常任务相协调、重点工作与常规工作相兼顾，确保各项工作衔接紧密、运转高效。加强对重大会议、重大活动以及重大事项的统筹安排，坚持提前介入、科学安排，切实提高会议活动的质量和效率。高标准筹办区政府全会、区政府常务会、经济运行分析会、专项工作推进会等各类大小会议，以及各类观摩、考察、开工仪式和走访慰问活动。</w:t>
      </w:r>
      <w:r>
        <w:rPr>
          <w:rFonts w:hint="eastAsia" w:ascii="Times New Roman" w:hAnsi="Times New Roman" w:eastAsia="仿宋_GB2312"/>
          <w:sz w:val="32"/>
          <w:szCs w:val="32"/>
          <w:lang w:eastAsia="zh-CN"/>
        </w:rPr>
        <w:t>一年来，</w:t>
      </w:r>
      <w:r>
        <w:rPr>
          <w:rFonts w:hint="eastAsia" w:ascii="Times New Roman" w:hAnsi="Times New Roman" w:eastAsia="仿宋_GB2312"/>
          <w:spacing w:val="-4"/>
          <w:sz w:val="32"/>
          <w:szCs w:val="32"/>
          <w:lang w:val="en-US" w:eastAsia="zh-CN"/>
        </w:rPr>
        <w:t>承办、服务区政府领导参加的会议、座谈、接洽等会务1450余次，其中承办党组会议 8次，撰写、编辑党组会会议纪要8期。组织承办全区政府自身建设及城市规划管理业务培训班11期。高标准完成政府工作报告、区政府全会报告等大型综合性材料。全年起草、撰写廉政工作讲话稿、全区项目推介会新闻通稿等区政府主要领导的各类文稿457篇，修改、校对区政府领导参加的会议纪要479篇。</w:t>
      </w:r>
      <w:r>
        <w:rPr>
          <w:rFonts w:hint="eastAsia" w:ascii="Times New Roman" w:hAnsi="Times New Roman" w:eastAsia="仿宋_GB2312"/>
          <w:b/>
          <w:bCs/>
          <w:spacing w:val="-4"/>
          <w:sz w:val="32"/>
          <w:szCs w:val="32"/>
          <w:lang w:val="en-US" w:eastAsia="zh-CN"/>
        </w:rPr>
        <w:t>五是</w:t>
      </w:r>
      <w:r>
        <w:rPr>
          <w:rFonts w:hint="eastAsia" w:ascii="Times New Roman" w:hAnsi="Times New Roman" w:eastAsia="仿宋_GB2312"/>
          <w:spacing w:val="-4"/>
          <w:sz w:val="32"/>
          <w:szCs w:val="32"/>
          <w:lang w:val="en-US" w:eastAsia="zh-CN"/>
        </w:rPr>
        <w:t>发挥督促检查作用。</w:t>
      </w:r>
      <w:r>
        <w:rPr>
          <w:rFonts w:hint="eastAsia" w:ascii="Times New Roman" w:hAnsi="Times New Roman" w:eastAsia="仿宋_GB2312"/>
          <w:sz w:val="32"/>
          <w:szCs w:val="32"/>
        </w:rPr>
        <w:t>认真办理人大代表建议和政协提案，全年共主办省人大代表建议1件；市人大代表建议2件；区人大代表建议 207件、区政协提案 118件。办复率100%，面商率100%。发出105</w:t>
      </w:r>
      <w:r>
        <w:rPr>
          <w:rFonts w:hint="eastAsia" w:ascii="Times New Roman" w:hAnsi="Times New Roman" w:eastAsia="仿宋_GB2312"/>
          <w:sz w:val="32"/>
          <w:szCs w:val="32"/>
          <w:lang w:eastAsia="zh-CN"/>
        </w:rPr>
        <w:t>份</w:t>
      </w:r>
      <w:r>
        <w:rPr>
          <w:rFonts w:hint="eastAsia" w:ascii="Times New Roman" w:hAnsi="Times New Roman" w:eastAsia="仿宋_GB2312"/>
          <w:sz w:val="32"/>
          <w:szCs w:val="32"/>
        </w:rPr>
        <w:t>督办通知，95期督查专报。处理市委、市政府主要领导批示件10件。对领导批示的督办件严格落实即批即转、即收即办、办结即报的要求，全部按时限要求办结完毕。对目标责任单位执行情况进行督促检查。</w:t>
      </w:r>
      <w:r>
        <w:rPr>
          <w:rFonts w:hint="eastAsia" w:ascii="Times New Roman" w:hAnsi="Times New Roman" w:eastAsia="仿宋_GB2312"/>
          <w:b/>
          <w:bCs/>
          <w:sz w:val="32"/>
          <w:szCs w:val="32"/>
          <w:lang w:eastAsia="zh-CN"/>
        </w:rPr>
        <w:t>六是</w:t>
      </w:r>
      <w:r>
        <w:rPr>
          <w:rFonts w:hint="eastAsia" w:ascii="Times New Roman" w:hAnsi="Times New Roman" w:eastAsia="仿宋_GB2312" w:cs="Times New Roman"/>
          <w:sz w:val="32"/>
          <w:szCs w:val="32"/>
          <w:lang w:eastAsia="zh-CN"/>
        </w:rPr>
        <w:t>发挥服务保障作用，</w:t>
      </w:r>
      <w:r>
        <w:rPr>
          <w:rFonts w:ascii="Times New Roman" w:hAnsi="Times New Roman" w:eastAsia="仿宋_GB2312"/>
          <w:sz w:val="32"/>
          <w:szCs w:val="32"/>
        </w:rPr>
        <w:t>以规范性、集约化、高效化为目标，积极探索建立适应勤俭节约要求、符合机关实际的后勤管理体制和运行机制，努力使保障服务与工作需要相适应，与有关要求相符合，与社会发展相同步。</w:t>
      </w:r>
      <w:r>
        <w:rPr>
          <w:rFonts w:ascii="Times New Roman" w:hAnsi="Times New Roman" w:eastAsia="仿宋_GB2312"/>
          <w:spacing w:val="-4"/>
          <w:sz w:val="32"/>
          <w:szCs w:val="32"/>
        </w:rPr>
        <w:t>先后组织参与多项全区性大型会议和活动的保障服务工作，圆满完成各项接待任务。</w:t>
      </w:r>
      <w:r>
        <w:rPr>
          <w:rFonts w:ascii="Times New Roman" w:hAnsi="Times New Roman" w:eastAsia="仿宋_GB2312"/>
          <w:sz w:val="32"/>
          <w:szCs w:val="32"/>
        </w:rPr>
        <w:t>进一步完善公务用车平台信息化建设工作。综合用车服务平台累计为区委、区政府提供应急保障、机要通信用车</w:t>
      </w:r>
      <w:r>
        <w:rPr>
          <w:rFonts w:hint="eastAsia" w:ascii="Times New Roman" w:hAnsi="Times New Roman" w:eastAsia="仿宋_GB2312"/>
          <w:sz w:val="32"/>
          <w:szCs w:val="32"/>
          <w:lang w:val="en-US" w:eastAsia="zh-CN"/>
        </w:rPr>
        <w:t>487</w:t>
      </w:r>
      <w:r>
        <w:rPr>
          <w:rFonts w:ascii="Times New Roman" w:hAnsi="Times New Roman" w:eastAsia="仿宋_GB2312"/>
          <w:sz w:val="32"/>
          <w:szCs w:val="32"/>
        </w:rPr>
        <w:t>余次。完成了办公区三项修缮改造工作</w:t>
      </w:r>
      <w:r>
        <w:rPr>
          <w:rFonts w:hint="eastAsia" w:ascii="Times New Roman" w:hAnsi="Times New Roman" w:eastAsia="仿宋_GB2312"/>
          <w:sz w:val="32"/>
          <w:szCs w:val="32"/>
          <w:lang w:eastAsia="zh-CN"/>
        </w:rPr>
        <w:t>，公房维修改造工作</w:t>
      </w:r>
      <w:r>
        <w:rPr>
          <w:rFonts w:ascii="Times New Roman" w:hAnsi="Times New Roman" w:eastAsia="仿宋_GB2312"/>
          <w:sz w:val="32"/>
          <w:szCs w:val="32"/>
        </w:rPr>
        <w:t>；全年组织实施零星修缮共计</w:t>
      </w:r>
      <w:r>
        <w:rPr>
          <w:rFonts w:hint="eastAsia" w:ascii="Times New Roman" w:hAnsi="Times New Roman" w:eastAsia="仿宋_GB2312"/>
          <w:sz w:val="32"/>
          <w:szCs w:val="32"/>
          <w:lang w:val="en-US" w:eastAsia="zh-CN"/>
        </w:rPr>
        <w:t>28</w:t>
      </w:r>
      <w:r>
        <w:rPr>
          <w:rFonts w:ascii="Times New Roman" w:hAnsi="Times New Roman" w:eastAsia="仿宋_GB2312"/>
          <w:sz w:val="32"/>
          <w:szCs w:val="32"/>
        </w:rPr>
        <w:t>项；完成了机关办公楼、住宅区、存量公有住房的日常管理及设施设备检查工作。</w:t>
      </w:r>
    </w:p>
    <w:p>
      <w:pPr>
        <w:spacing w:after="0" w:line="600" w:lineRule="exact"/>
        <w:ind w:firstLine="643" w:firstLineChars="200"/>
        <w:jc w:val="both"/>
        <w:rPr>
          <w:rFonts w:hint="eastAsia" w:ascii="Times New Roman" w:hAnsi="Times New Roman" w:eastAsia="楷体_GB2312"/>
          <w:b/>
          <w:spacing w:val="-4"/>
          <w:sz w:val="32"/>
          <w:szCs w:val="32"/>
          <w:lang w:val="en-US" w:eastAsia="zh-CN"/>
        </w:rPr>
      </w:pPr>
      <w:r>
        <w:rPr>
          <w:rFonts w:hint="eastAsia" w:ascii="Times New Roman" w:hAnsi="Times New Roman" w:eastAsia="仿宋_GB2312" w:cs="Times New Roman"/>
          <w:b/>
          <w:bCs/>
          <w:kern w:val="2"/>
          <w:sz w:val="32"/>
          <w:szCs w:val="32"/>
          <w:lang w:val="en-US" w:eastAsia="zh-CN" w:bidi="ar-SA"/>
        </w:rPr>
        <w:t>2.拓展职能，规范管理。</w:t>
      </w:r>
      <w:r>
        <w:rPr>
          <w:rFonts w:hint="eastAsia" w:ascii="Times New Roman" w:hAnsi="Times New Roman" w:eastAsia="仿宋_GB2312" w:cs="Times New Roman"/>
          <w:kern w:val="2"/>
          <w:sz w:val="32"/>
          <w:szCs w:val="32"/>
          <w:lang w:val="en-US" w:eastAsia="zh-CN" w:bidi="ar-SA"/>
        </w:rPr>
        <w:t>一是积极做好热线服务工作，</w:t>
      </w:r>
      <w:r>
        <w:rPr>
          <w:rFonts w:ascii="Times New Roman" w:hAnsi="Times New Roman" w:eastAsia="仿宋_GB2312"/>
          <w:sz w:val="32"/>
          <w:szCs w:val="32"/>
        </w:rPr>
        <w:t>创新热线办管理流程，强化业务培训，进一步提高热线电话的办理水平，更好地为群众排忧解难。</w:t>
      </w:r>
      <w:r>
        <w:rPr>
          <w:rFonts w:hint="eastAsia" w:ascii="Times New Roman" w:hAnsi="Times New Roman" w:eastAsia="仿宋_GB2312"/>
          <w:sz w:val="32"/>
          <w:szCs w:val="32"/>
          <w:lang w:eastAsia="zh-CN"/>
        </w:rPr>
        <w:t>全年共</w:t>
      </w:r>
      <w:r>
        <w:rPr>
          <w:rFonts w:hint="eastAsia" w:ascii="Times New Roman" w:hAnsi="Times New Roman" w:eastAsia="仿宋_GB2312"/>
          <w:sz w:val="32"/>
          <w:szCs w:val="32"/>
        </w:rPr>
        <w:t>受理1</w:t>
      </w:r>
      <w:r>
        <w:rPr>
          <w:rFonts w:hint="eastAsia" w:ascii="Times New Roman" w:hAnsi="Times New Roman" w:eastAsia="仿宋_GB2312"/>
          <w:sz w:val="32"/>
          <w:szCs w:val="32"/>
          <w:lang w:val="en-US" w:eastAsia="zh-CN"/>
        </w:rPr>
        <w:t>400余</w:t>
      </w:r>
      <w:r>
        <w:rPr>
          <w:rFonts w:hint="eastAsia" w:ascii="Times New Roman" w:hAnsi="Times New Roman" w:eastAsia="仿宋_GB2312"/>
          <w:sz w:val="32"/>
          <w:szCs w:val="32"/>
        </w:rPr>
        <w:t>件，其中，通过“12345”</w:t>
      </w:r>
      <w:r>
        <w:rPr>
          <w:rFonts w:hint="eastAsia" w:ascii="Times New Roman" w:hAnsi="Times New Roman" w:eastAsia="仿宋_GB2312"/>
          <w:sz w:val="32"/>
          <w:szCs w:val="32"/>
          <w:lang w:val="en-US" w:eastAsia="zh-CN"/>
        </w:rPr>
        <w:t>一号通平台</w:t>
      </w:r>
      <w:r>
        <w:rPr>
          <w:rFonts w:hint="eastAsia" w:ascii="Times New Roman" w:hAnsi="Times New Roman" w:eastAsia="仿宋_GB2312"/>
          <w:sz w:val="32"/>
          <w:szCs w:val="32"/>
        </w:rPr>
        <w:t>受理</w:t>
      </w:r>
      <w:r>
        <w:rPr>
          <w:rFonts w:hint="eastAsia" w:ascii="Times New Roman" w:hAnsi="Times New Roman" w:eastAsia="仿宋_GB2312"/>
          <w:sz w:val="32"/>
          <w:szCs w:val="32"/>
          <w:lang w:val="en-US" w:eastAsia="zh-CN"/>
        </w:rPr>
        <w:t>13900余</w:t>
      </w:r>
      <w:r>
        <w:rPr>
          <w:rFonts w:hint="eastAsia" w:ascii="Times New Roman" w:hAnsi="Times New Roman" w:eastAsia="仿宋_GB2312"/>
          <w:sz w:val="32"/>
          <w:szCs w:val="32"/>
        </w:rPr>
        <w:t>件、“63112345”受理</w:t>
      </w:r>
      <w:r>
        <w:rPr>
          <w:rFonts w:hint="eastAsia" w:ascii="Times New Roman" w:hAnsi="Times New Roman" w:eastAsia="仿宋_GB2312"/>
          <w:sz w:val="32"/>
          <w:szCs w:val="32"/>
          <w:lang w:val="en-US" w:eastAsia="zh-CN"/>
        </w:rPr>
        <w:t>600余</w:t>
      </w:r>
      <w:r>
        <w:rPr>
          <w:rFonts w:hint="eastAsia" w:ascii="Times New Roman" w:hAnsi="Times New Roman" w:eastAsia="仿宋_GB2312"/>
          <w:sz w:val="32"/>
          <w:szCs w:val="32"/>
        </w:rPr>
        <w:t>件</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区长信箱</w:t>
      </w:r>
      <w:r>
        <w:rPr>
          <w:rFonts w:hint="eastAsia" w:ascii="Times New Roman" w:hAnsi="Times New Roman" w:eastAsia="仿宋_GB2312"/>
          <w:sz w:val="32"/>
          <w:szCs w:val="32"/>
          <w:lang w:val="en-US" w:eastAsia="zh-CN"/>
        </w:rPr>
        <w:t>70余</w:t>
      </w:r>
      <w:r>
        <w:rPr>
          <w:rFonts w:hint="eastAsia" w:ascii="Times New Roman" w:hAnsi="Times New Roman" w:eastAsia="仿宋_GB2312"/>
          <w:sz w:val="32"/>
          <w:szCs w:val="32"/>
        </w:rPr>
        <w:t>件。办结率为100%，群众满意率90%以上。</w:t>
      </w:r>
      <w:r>
        <w:rPr>
          <w:rFonts w:hint="eastAsia" w:ascii="Times New Roman" w:hAnsi="Times New Roman" w:eastAsia="仿宋_GB2312"/>
          <w:sz w:val="32"/>
          <w:szCs w:val="32"/>
          <w:lang w:eastAsia="zh-CN"/>
        </w:rPr>
        <w:t>二是切实做好外事工作。为</w:t>
      </w:r>
      <w:r>
        <w:rPr>
          <w:rFonts w:hint="default" w:ascii="Times New Roman" w:hAnsi="Times New Roman" w:eastAsia="仿宋_GB2312"/>
          <w:sz w:val="32"/>
          <w:szCs w:val="32"/>
          <w:lang w:val="en-US" w:eastAsia="zh-CN"/>
        </w:rPr>
        <w:t>配合做好疫情防控工作</w:t>
      </w:r>
      <w:r>
        <w:rPr>
          <w:rFonts w:hint="eastAsia" w:ascii="Times New Roman" w:hAnsi="Times New Roman" w:eastAsia="仿宋_GB2312"/>
          <w:sz w:val="32"/>
          <w:szCs w:val="32"/>
          <w:lang w:val="en-US" w:eastAsia="zh-CN"/>
        </w:rPr>
        <w:t>，</w:t>
      </w:r>
      <w:r>
        <w:rPr>
          <w:rFonts w:hint="default" w:ascii="Times New Roman" w:hAnsi="Times New Roman" w:eastAsia="仿宋_GB2312"/>
          <w:sz w:val="32"/>
          <w:szCs w:val="32"/>
          <w:lang w:val="en-US" w:eastAsia="zh-CN"/>
        </w:rPr>
        <w:t>向区属单位转发市政府致在昆外国人士的慰问信</w:t>
      </w:r>
      <w:r>
        <w:rPr>
          <w:rFonts w:hint="eastAsia" w:ascii="Times New Roman" w:hAnsi="Times New Roman" w:eastAsia="仿宋_GB2312"/>
          <w:sz w:val="32"/>
          <w:szCs w:val="32"/>
          <w:lang w:val="en-US" w:eastAsia="zh-CN"/>
        </w:rPr>
        <w:t>；</w:t>
      </w:r>
      <w:r>
        <w:rPr>
          <w:rFonts w:hint="default" w:ascii="Times New Roman" w:hAnsi="Times New Roman" w:eastAsia="仿宋_GB2312"/>
          <w:sz w:val="32"/>
          <w:szCs w:val="32"/>
        </w:rPr>
        <w:t>向</w:t>
      </w:r>
      <w:r>
        <w:rPr>
          <w:rFonts w:hint="default" w:ascii="Times New Roman" w:hAnsi="Times New Roman" w:eastAsia="仿宋_GB2312"/>
          <w:sz w:val="32"/>
          <w:szCs w:val="32"/>
          <w:lang w:eastAsia="zh-CN"/>
        </w:rPr>
        <w:t>参加公务员英语培训的</w:t>
      </w:r>
      <w:r>
        <w:rPr>
          <w:rFonts w:hint="default" w:ascii="Times New Roman" w:hAnsi="Times New Roman" w:eastAsia="仿宋_GB2312"/>
          <w:sz w:val="32"/>
          <w:szCs w:val="32"/>
          <w:lang w:val="en-US" w:eastAsia="zh-CN"/>
        </w:rPr>
        <w:t>25名</w:t>
      </w:r>
      <w:r>
        <w:rPr>
          <w:rFonts w:hint="default" w:ascii="Times New Roman" w:hAnsi="Times New Roman" w:eastAsia="仿宋_GB2312"/>
          <w:sz w:val="32"/>
          <w:szCs w:val="32"/>
          <w:lang w:eastAsia="zh-CN"/>
        </w:rPr>
        <w:t>学员发出倡议，</w:t>
      </w:r>
      <w:r>
        <w:rPr>
          <w:rFonts w:hint="default" w:ascii="Times New Roman" w:hAnsi="Times New Roman" w:eastAsia="仿宋_GB2312"/>
          <w:sz w:val="32"/>
          <w:szCs w:val="32"/>
        </w:rPr>
        <w:t>紧急招募志愿者</w:t>
      </w:r>
      <w:r>
        <w:rPr>
          <w:rFonts w:hint="default" w:ascii="Times New Roman" w:hAnsi="Times New Roman" w:eastAsia="仿宋_GB2312"/>
          <w:sz w:val="32"/>
          <w:szCs w:val="32"/>
          <w:lang w:eastAsia="zh-CN"/>
        </w:rPr>
        <w:t>，</w:t>
      </w:r>
      <w:r>
        <w:rPr>
          <w:rFonts w:hint="default" w:ascii="Times New Roman" w:hAnsi="Times New Roman" w:eastAsia="仿宋_GB2312"/>
          <w:sz w:val="32"/>
          <w:szCs w:val="32"/>
        </w:rPr>
        <w:t>协助</w:t>
      </w:r>
      <w:r>
        <w:rPr>
          <w:rFonts w:hint="default" w:ascii="Times New Roman" w:hAnsi="Times New Roman" w:eastAsia="仿宋_GB2312"/>
          <w:sz w:val="32"/>
          <w:szCs w:val="32"/>
          <w:lang w:eastAsia="zh-CN"/>
        </w:rPr>
        <w:t>辖区</w:t>
      </w:r>
      <w:r>
        <w:rPr>
          <w:rFonts w:hint="default" w:ascii="Times New Roman" w:hAnsi="Times New Roman" w:eastAsia="仿宋_GB2312"/>
          <w:sz w:val="32"/>
          <w:szCs w:val="32"/>
        </w:rPr>
        <w:t>有关职能部门和社区就近就便开展</w:t>
      </w:r>
      <w:r>
        <w:rPr>
          <w:rFonts w:hint="default" w:ascii="Times New Roman" w:hAnsi="Times New Roman" w:eastAsia="仿宋_GB2312"/>
          <w:sz w:val="32"/>
          <w:szCs w:val="32"/>
          <w:lang w:eastAsia="zh-CN"/>
        </w:rPr>
        <w:t>境外人员疫情防控</w:t>
      </w:r>
      <w:r>
        <w:rPr>
          <w:rFonts w:hint="default" w:ascii="Times New Roman" w:hAnsi="Times New Roman" w:eastAsia="仿宋_GB2312"/>
          <w:sz w:val="32"/>
          <w:szCs w:val="32"/>
        </w:rPr>
        <w:t>知识宣传</w:t>
      </w:r>
      <w:r>
        <w:rPr>
          <w:rFonts w:hint="default" w:ascii="Times New Roman" w:hAnsi="Times New Roman" w:eastAsia="仿宋_GB2312"/>
          <w:sz w:val="32"/>
          <w:szCs w:val="32"/>
          <w:lang w:eastAsia="zh-CN"/>
        </w:rPr>
        <w:t>、疫情</w:t>
      </w:r>
      <w:r>
        <w:rPr>
          <w:rFonts w:hint="default" w:ascii="Times New Roman" w:hAnsi="Times New Roman" w:eastAsia="仿宋_GB2312"/>
          <w:sz w:val="32"/>
          <w:szCs w:val="32"/>
        </w:rPr>
        <w:t>管控劝导</w:t>
      </w:r>
      <w:r>
        <w:rPr>
          <w:rFonts w:hint="default" w:ascii="Times New Roman" w:hAnsi="Times New Roman" w:eastAsia="仿宋_GB2312"/>
          <w:sz w:val="32"/>
          <w:szCs w:val="32"/>
          <w:lang w:eastAsia="zh-CN"/>
        </w:rPr>
        <w:t>、疫情相关政策解答</w:t>
      </w:r>
      <w:r>
        <w:rPr>
          <w:rFonts w:hint="eastAsia" w:ascii="Times New Roman" w:hAnsi="Times New Roman" w:eastAsia="仿宋_GB2312"/>
          <w:sz w:val="32"/>
          <w:szCs w:val="32"/>
          <w:lang w:eastAsia="zh-CN"/>
        </w:rPr>
        <w:t>；</w:t>
      </w:r>
      <w:r>
        <w:rPr>
          <w:rFonts w:hint="default" w:ascii="Times New Roman" w:hAnsi="Times New Roman" w:eastAsia="仿宋_GB2312"/>
          <w:sz w:val="32"/>
          <w:szCs w:val="32"/>
          <w:lang w:val="en-US" w:eastAsia="zh-CN"/>
        </w:rPr>
        <w:t>建立健全组织架构</w:t>
      </w:r>
      <w:r>
        <w:rPr>
          <w:rFonts w:hint="eastAsia" w:ascii="Times New Roman" w:hAnsi="Times New Roman" w:eastAsia="仿宋_GB2312"/>
          <w:sz w:val="32"/>
          <w:szCs w:val="32"/>
          <w:lang w:val="en-US" w:eastAsia="zh-CN"/>
        </w:rPr>
        <w:t>，随着</w:t>
      </w:r>
      <w:r>
        <w:rPr>
          <w:rFonts w:hint="default" w:ascii="Times New Roman" w:hAnsi="Times New Roman" w:eastAsia="仿宋_GB2312"/>
          <w:sz w:val="32"/>
          <w:szCs w:val="32"/>
          <w:lang w:val="en-US" w:eastAsia="zh-CN"/>
        </w:rPr>
        <w:t>疫情防控工作的发展和需要，迅速成立了由区外事办主任任组长、区文旅局、区卫健局、区公安分局等部门分管领导为成员的工作专班，定期通报我区境外人员疫情防控工作情况，切实落实各项任务</w:t>
      </w:r>
      <w:r>
        <w:rPr>
          <w:rFonts w:hint="eastAsia" w:ascii="Times New Roman" w:hAnsi="Times New Roman" w:eastAsia="仿宋_GB2312"/>
          <w:sz w:val="32"/>
          <w:szCs w:val="32"/>
          <w:lang w:val="en-US" w:eastAsia="zh-CN"/>
        </w:rPr>
        <w:t>；</w:t>
      </w:r>
      <w:r>
        <w:rPr>
          <w:rFonts w:hint="default" w:ascii="Times New Roman" w:hAnsi="Times New Roman" w:eastAsia="仿宋_GB2312"/>
          <w:sz w:val="32"/>
          <w:szCs w:val="32"/>
          <w:lang w:eastAsia="zh-CN"/>
        </w:rPr>
        <w:t>配合市外办，做好全市境外输入人员留观酒店——世博花园酒店的协调、服务工作</w:t>
      </w:r>
      <w:r>
        <w:rPr>
          <w:rFonts w:hint="eastAsia" w:ascii="Times New Roman" w:hAnsi="Times New Roman" w:eastAsia="仿宋_GB2312"/>
          <w:sz w:val="32"/>
          <w:szCs w:val="32"/>
          <w:lang w:eastAsia="zh-CN"/>
        </w:rPr>
        <w:t>，</w:t>
      </w:r>
      <w:r>
        <w:rPr>
          <w:rFonts w:hint="default" w:ascii="Times New Roman" w:hAnsi="Times New Roman" w:eastAsia="仿宋_GB2312"/>
          <w:sz w:val="32"/>
          <w:szCs w:val="32"/>
          <w:lang w:eastAsia="zh-CN"/>
        </w:rPr>
        <w:t>全面、顺利完成了</w:t>
      </w:r>
      <w:r>
        <w:rPr>
          <w:rFonts w:hint="default" w:ascii="Times New Roman" w:hAnsi="Times New Roman" w:eastAsia="仿宋_GB2312"/>
          <w:sz w:val="32"/>
          <w:szCs w:val="32"/>
          <w:lang w:val="en-US" w:eastAsia="zh-CN"/>
        </w:rPr>
        <w:t>236名</w:t>
      </w:r>
      <w:r>
        <w:rPr>
          <w:rFonts w:hint="default" w:ascii="Times New Roman" w:hAnsi="Times New Roman" w:eastAsia="仿宋_GB2312"/>
          <w:sz w:val="32"/>
          <w:szCs w:val="32"/>
          <w:lang w:eastAsia="zh-CN"/>
        </w:rPr>
        <w:t>境外人员的留观工作。</w:t>
      </w:r>
      <w:r>
        <w:rPr>
          <w:rFonts w:hint="eastAsia" w:ascii="Times New Roman" w:hAnsi="Times New Roman" w:eastAsia="仿宋_GB2312"/>
          <w:sz w:val="32"/>
          <w:szCs w:val="32"/>
          <w:lang w:eastAsia="zh-CN"/>
        </w:rPr>
        <w:t>三是</w:t>
      </w:r>
      <w:r>
        <w:rPr>
          <w:rFonts w:hint="eastAsia" w:ascii="Times New Roman" w:hAnsi="Times New Roman" w:eastAsia="仿宋_GB2312" w:cs="Times New Roman"/>
          <w:sz w:val="32"/>
          <w:szCs w:val="32"/>
          <w:lang w:val="en-US" w:eastAsia="zh-CN"/>
        </w:rPr>
        <w:t>全面推进大健康工作稳步发展。</w:t>
      </w:r>
      <w:r>
        <w:rPr>
          <w:rFonts w:hint="eastAsia" w:ascii="Times New Roman" w:hAnsi="Times New Roman" w:eastAsia="仿宋_GB2312"/>
          <w:sz w:val="32"/>
          <w:szCs w:val="32"/>
          <w:lang w:val="en-US" w:eastAsia="zh-CN"/>
        </w:rPr>
        <w:t>根据《关于印发&lt;</w:t>
      </w:r>
      <w:r>
        <w:rPr>
          <w:rFonts w:hint="eastAsia" w:ascii="Times New Roman" w:hAnsi="Times New Roman" w:eastAsia="仿宋_GB2312"/>
          <w:sz w:val="32"/>
          <w:szCs w:val="32"/>
          <w:lang w:val="zh-CN" w:eastAsia="zh-CN"/>
        </w:rPr>
        <w:t>盘龙区经济和社会发展“十四五”规划编制工作方案</w:t>
      </w:r>
      <w:r>
        <w:rPr>
          <w:rFonts w:hint="eastAsia" w:ascii="Times New Roman" w:hAnsi="Times New Roman" w:eastAsia="仿宋_GB2312"/>
          <w:sz w:val="32"/>
          <w:szCs w:val="32"/>
          <w:lang w:val="en-US" w:eastAsia="zh-CN"/>
        </w:rPr>
        <w:t>&gt;</w:t>
      </w:r>
      <w:r>
        <w:rPr>
          <w:rFonts w:hint="eastAsia" w:ascii="Times New Roman" w:hAnsi="Times New Roman" w:eastAsia="仿宋_GB2312"/>
          <w:sz w:val="32"/>
          <w:szCs w:val="32"/>
          <w:lang w:val="zh-CN" w:eastAsia="zh-CN"/>
        </w:rPr>
        <w:t>的通知</w:t>
      </w:r>
      <w:r>
        <w:rPr>
          <w:rFonts w:hint="eastAsia" w:ascii="Times New Roman" w:hAnsi="Times New Roman" w:eastAsia="仿宋_GB2312"/>
          <w:sz w:val="32"/>
          <w:szCs w:val="32"/>
          <w:lang w:val="en-US" w:eastAsia="zh-CN"/>
        </w:rPr>
        <w:t>》（盘政办通〔2019〕102号）要求，做好《盘龙区“十四五”时期大健康发展对策研究》和《盘龙区“十四五”大健康发展规划》编制工作。2020年对接洽谈盘龙区大健康企业10余次，协调解决盘龙区大健康企业相关问题5次，调研街道、社区及相关部门10余次。四是不断强化带班值班工作。严格按省、市总值班室要求，落实带班值班制度，认真履行职责，严格执行24小时带班值班制度；严格执行科级领导日常带班制度；严格执行休息日、法定节假日 “三级”带班值班制度。认真做好每天的24小时值守、信息上报，每周的“短波电台”值守、每周的“视频会议系统”点名、法定节假日视频点名和值班抽查工作；同时按要求做好省、市总值班室组织的视频调度、联调联试、值守演练等工作。五是</w:t>
      </w:r>
      <w:r>
        <w:rPr>
          <w:rFonts w:hint="eastAsia" w:ascii="Times New Roman" w:hAnsi="Times New Roman" w:eastAsia="仿宋_GB2312" w:cs="Times New Roman"/>
          <w:sz w:val="32"/>
          <w:szCs w:val="32"/>
          <w:lang w:val="en-US" w:eastAsia="zh-CN"/>
        </w:rPr>
        <w:t>全面推进盘龙区流动人口和出租房管理工作。</w:t>
      </w:r>
      <w:r>
        <w:rPr>
          <w:rFonts w:hint="eastAsia" w:ascii="Times New Roman" w:hAnsi="Times New Roman" w:eastAsia="仿宋_GB2312"/>
          <w:sz w:val="32"/>
          <w:szCs w:val="32"/>
          <w:lang w:val="en-US" w:eastAsia="zh-CN"/>
        </w:rPr>
        <w:t>对网格、机构、队伍和系统进行整合，确保流动人口及出租房屋管理工作权责划分明确、范围划分统一，按照《昆明市盘龙区人民政府办公室关于进一步加强流动人口和出租房屋服务管理中心（站）建设及专职协管员管理工作的通知》要求，完成10个街道71个社区流动人口和出租房屋服务管理中心和站的挂牌，逐步推进实体化运作；按照《昆明市公安局盘龙分局推广社会自建视频监控系统工作方案》要求，实现社会自建监控系统、政府公建城市报警与监控系统、人脸识别系统和智慧安防小区建设共同发展、互为补充，打造全区视频监控系统全覆盖的防控格局。</w:t>
      </w:r>
    </w:p>
    <w:p>
      <w:pPr>
        <w:spacing w:after="0" w:line="600" w:lineRule="exact"/>
        <w:ind w:firstLine="643" w:firstLineChars="200"/>
        <w:jc w:val="both"/>
        <w:rPr>
          <w:rFonts w:hint="eastAsia"/>
        </w:rPr>
      </w:pPr>
      <w:r>
        <w:rPr>
          <w:rFonts w:hint="eastAsia" w:ascii="Times New Roman" w:hAnsi="Times New Roman" w:eastAsia="仿宋_GB2312" w:cs="Times New Roman"/>
          <w:b/>
          <w:bCs/>
          <w:sz w:val="32"/>
          <w:szCs w:val="32"/>
          <w:lang w:val="en-US" w:eastAsia="zh-CN"/>
        </w:rPr>
        <w:t>3.改进作风，提升素质。</w:t>
      </w:r>
      <w:r>
        <w:rPr>
          <w:rFonts w:hint="eastAsia" w:ascii="Times New Roman" w:hAnsi="Times New Roman" w:eastAsia="仿宋_GB2312" w:cs="Times New Roman"/>
          <w:sz w:val="32"/>
          <w:szCs w:val="32"/>
          <w:lang w:val="en-US" w:eastAsia="zh-CN"/>
        </w:rPr>
        <w:t>一是切实加强干部队伍建设，</w:t>
      </w:r>
      <w:r>
        <w:rPr>
          <w:rFonts w:ascii="Times New Roman" w:hAnsi="Times New Roman" w:eastAsia="仿宋_GB2312"/>
          <w:sz w:val="32"/>
          <w:szCs w:val="32"/>
        </w:rPr>
        <w:t>转变工作作风，不断加强办公室工作人员个人修养和业务水平，提高服务档次，努力适应新形势下办公部门的需要，深化办公室学习制度，全面准确掌握政治形势，努力提高政治素质和业务素质</w:t>
      </w:r>
      <w:r>
        <w:rPr>
          <w:rFonts w:hint="eastAsia" w:ascii="Times New Roman" w:hAnsi="Times New Roman" w:eastAsia="仿宋_GB2312"/>
          <w:sz w:val="32"/>
          <w:szCs w:val="32"/>
          <w:lang w:eastAsia="zh-CN"/>
        </w:rPr>
        <w:t>；二是不断深化党风廉政建设，</w:t>
      </w:r>
      <w:r>
        <w:rPr>
          <w:rFonts w:ascii="Times New Roman" w:hAnsi="Times New Roman" w:eastAsia="仿宋_GB2312"/>
          <w:spacing w:val="-4"/>
          <w:sz w:val="32"/>
          <w:szCs w:val="32"/>
        </w:rPr>
        <w:t>进一步完善廉政建设制度，</w:t>
      </w:r>
      <w:r>
        <w:rPr>
          <w:rFonts w:ascii="Times New Roman" w:hAnsi="Times New Roman" w:eastAsia="仿宋_GB2312"/>
          <w:color w:val="000000"/>
          <w:spacing w:val="-4"/>
          <w:sz w:val="32"/>
          <w:szCs w:val="32"/>
        </w:rPr>
        <w:t>着力构建机关廉洁文化发展体系，</w:t>
      </w:r>
      <w:r>
        <w:rPr>
          <w:rFonts w:ascii="Times New Roman" w:hAnsi="Times New Roman" w:eastAsia="仿宋_GB2312"/>
          <w:spacing w:val="-4"/>
          <w:sz w:val="32"/>
          <w:szCs w:val="32"/>
        </w:rPr>
        <w:t>创新反腐倡廉宣教工作格局，明确把党风廉政教育纳入党员干部学习培训的重要内容，贯穿于干部培养、选拔、管理等各个方面。深化“廉政文化进机关”系列活动，召开廉政教育大会，开展上廉政党课、观看廉政教育警示片等活动，增强干部的拒腐防变意识。</w:t>
      </w:r>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bookmarkStart w:id="17" w:name="_Toc8054029"/>
      <w:r>
        <w:rPr>
          <w:rFonts w:hint="eastAsia" w:ascii="仿宋_GB2312" w:hAnsi="仿宋" w:eastAsia="仿宋_GB2312" w:cs="??_GB2312"/>
          <w:b/>
          <w:bCs/>
          <w:kern w:val="2"/>
          <w:sz w:val="32"/>
          <w:szCs w:val="32"/>
          <w:lang w:val="en-US" w:eastAsia="zh-CN" w:bidi="ar-SA"/>
        </w:rPr>
        <w:t>（四）部门管理制度</w:t>
      </w:r>
      <w:bookmarkEnd w:id="17"/>
    </w:p>
    <w:p>
      <w:pPr>
        <w:pStyle w:val="11"/>
        <w:spacing w:before="0" w:beforeAutospacing="0" w:after="0" w:afterAutospacing="0" w:line="240" w:lineRule="auto"/>
        <w:ind w:firstLine="640" w:firstLineChars="200"/>
        <w:rPr>
          <w:rFonts w:hint="eastAsia"/>
          <w:lang w:val="en-US" w:eastAsia="zh-CN"/>
        </w:rPr>
      </w:pPr>
      <w:r>
        <w:rPr>
          <w:rFonts w:hint="eastAsia" w:ascii="仿宋" w:hAnsi="仿宋" w:eastAsia="仿宋" w:cs="仿宋"/>
          <w:b w:val="0"/>
          <w:i w:val="0"/>
          <w:caps w:val="0"/>
          <w:color w:val="333333"/>
          <w:spacing w:val="0"/>
          <w:sz w:val="32"/>
          <w:szCs w:val="32"/>
          <w:shd w:val="clear" w:color="auto" w:fill="FFFFFF"/>
        </w:rPr>
        <w:t>为</w:t>
      </w:r>
      <w:r>
        <w:rPr>
          <w:rFonts w:hint="eastAsia" w:ascii="Times New Roman" w:hAnsi="Times New Roman" w:eastAsia="仿宋_GB2312" w:cs="Times New Roman"/>
          <w:kern w:val="2"/>
          <w:sz w:val="32"/>
          <w:szCs w:val="32"/>
          <w:lang w:val="en-US" w:eastAsia="zh-CN" w:bidi="ar-SA"/>
        </w:rPr>
        <w:t>保证财务管理工作规范有序进行，根据区政府办工作实际，</w:t>
      </w:r>
      <w:r>
        <w:rPr>
          <w:rFonts w:hint="eastAsia" w:ascii="仿宋_GB2312" w:hAnsi="仿宋" w:eastAsia="仿宋_GB2312"/>
          <w:kern w:val="0"/>
          <w:sz w:val="32"/>
          <w:szCs w:val="32"/>
        </w:rPr>
        <w:t>本单位已制定《盘龙区人民政府办公室党组会议议事规则》《盘龙区人民政府办公室行政办公会议议事规则》《盘龙区人民政府办公室请休假考勤管理制度》《盘龙区人民政府办公室内部督促检查制度》《盘龙区人民政府办公室固定资产管理制度》《昆明市盘龙区人民政府办公室档案管理工作规范》《盘龙区人民政府办公室保密工作制度》《盘龙区人民政府办公室财务管理制度》等制度。</w:t>
      </w:r>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bookmarkStart w:id="18" w:name="_Toc8054030"/>
      <w:r>
        <w:rPr>
          <w:rFonts w:hint="eastAsia" w:ascii="仿宋_GB2312" w:hAnsi="仿宋" w:eastAsia="仿宋_GB2312" w:cs="??_GB2312"/>
          <w:b/>
          <w:bCs/>
          <w:kern w:val="2"/>
          <w:sz w:val="32"/>
          <w:szCs w:val="32"/>
          <w:lang w:val="en-US" w:eastAsia="zh-CN" w:bidi="ar-SA"/>
        </w:rPr>
        <w:t>（五）部门资金来源及使用情况</w:t>
      </w:r>
      <w:bookmarkEnd w:id="18"/>
    </w:p>
    <w:p>
      <w:pPr>
        <w:widowControl/>
        <w:ind w:firstLine="640" w:firstLineChars="200"/>
        <w:jc w:val="left"/>
        <w:rPr>
          <w:rFonts w:hint="eastAsia" w:ascii="仿宋_GB2312" w:hAnsi="仿宋" w:eastAsia="仿宋_GB2312" w:cs="??_GB2312"/>
          <w:sz w:val="32"/>
          <w:szCs w:val="32"/>
          <w:lang w:val="en-US" w:eastAsia="zh-CN"/>
        </w:rPr>
      </w:pPr>
      <w:r>
        <w:rPr>
          <w:rFonts w:hint="eastAsia" w:ascii="仿宋_GB2312" w:hAnsi="仿宋" w:eastAsia="仿宋_GB2312" w:cs="??_GB2312"/>
          <w:sz w:val="32"/>
          <w:szCs w:val="32"/>
        </w:rPr>
        <w:t>1、部门资金来源情况</w:t>
      </w:r>
      <w:r>
        <w:rPr>
          <w:rFonts w:hint="eastAsia" w:ascii="仿宋_GB2312" w:hAnsi="仿宋" w:eastAsia="仿宋_GB2312" w:cs="??_GB2312"/>
          <w:sz w:val="32"/>
          <w:szCs w:val="32"/>
          <w:lang w:val="en-US" w:eastAsia="zh-CN"/>
        </w:rPr>
        <w:t xml:space="preserve"> </w:t>
      </w:r>
    </w:p>
    <w:p>
      <w:pPr>
        <w:widowControl/>
        <w:ind w:firstLine="640" w:firstLineChars="200"/>
        <w:jc w:val="left"/>
        <w:rPr>
          <w:rFonts w:hint="eastAsia" w:ascii="仿宋_GB2312" w:hAnsi="仿宋" w:eastAsia="仿宋_GB2312" w:cs="??_GB2312"/>
          <w:sz w:val="32"/>
          <w:szCs w:val="32"/>
          <w:lang w:eastAsia="zh-CN"/>
        </w:rPr>
      </w:pPr>
      <w:r>
        <w:rPr>
          <w:rFonts w:hint="eastAsia" w:ascii="仿宋_GB2312" w:hAnsi="仿宋" w:eastAsia="仿宋_GB2312" w:cs="??_GB2312"/>
          <w:sz w:val="32"/>
          <w:szCs w:val="32"/>
          <w:lang w:val="en-US" w:eastAsia="zh-CN"/>
        </w:rPr>
        <w:t>2020</w:t>
      </w:r>
      <w:r>
        <w:rPr>
          <w:rFonts w:ascii="仿宋_GB2312" w:hAnsi="仿宋" w:eastAsia="仿宋_GB2312" w:cs="??_GB2312"/>
          <w:sz w:val="32"/>
          <w:szCs w:val="32"/>
        </w:rPr>
        <w:t>年</w:t>
      </w:r>
      <w:r>
        <w:rPr>
          <w:rFonts w:hint="eastAsia" w:ascii="仿宋_GB2312" w:hAnsi="仿宋" w:eastAsia="仿宋_GB2312" w:cs="??_GB2312"/>
          <w:sz w:val="32"/>
          <w:szCs w:val="32"/>
          <w:lang w:eastAsia="zh-CN"/>
        </w:rPr>
        <w:t>我办</w:t>
      </w:r>
      <w:r>
        <w:rPr>
          <w:rFonts w:ascii="仿宋_GB2312" w:hAnsi="仿宋" w:eastAsia="仿宋_GB2312" w:cs="??_GB2312"/>
          <w:sz w:val="32"/>
          <w:szCs w:val="32"/>
        </w:rPr>
        <w:t>部门预算总支出</w:t>
      </w:r>
      <w:r>
        <w:rPr>
          <w:rFonts w:hint="eastAsia" w:ascii="仿宋_GB2312" w:hAnsi="仿宋" w:eastAsia="仿宋_GB2312" w:cs="??_GB2312"/>
          <w:sz w:val="32"/>
          <w:szCs w:val="32"/>
          <w:lang w:val="en-US" w:eastAsia="zh-CN"/>
        </w:rPr>
        <w:t>1138.18</w:t>
      </w:r>
      <w:r>
        <w:rPr>
          <w:rFonts w:ascii="仿宋_GB2312" w:hAnsi="仿宋" w:eastAsia="仿宋_GB2312" w:cs="??_GB2312"/>
          <w:sz w:val="32"/>
          <w:szCs w:val="32"/>
        </w:rPr>
        <w:t>万元</w:t>
      </w:r>
      <w:r>
        <w:rPr>
          <w:rFonts w:hint="eastAsia" w:ascii="仿宋_GB2312" w:hAnsi="仿宋" w:eastAsia="仿宋_GB2312" w:cs="??_GB2312"/>
          <w:sz w:val="32"/>
          <w:szCs w:val="32"/>
          <w:lang w:eastAsia="zh-CN"/>
        </w:rPr>
        <w:t>，</w:t>
      </w:r>
      <w:r>
        <w:rPr>
          <w:rFonts w:ascii="仿宋_GB2312" w:hAnsi="仿宋" w:eastAsia="仿宋_GB2312" w:cs="??_GB2312"/>
          <w:sz w:val="32"/>
          <w:szCs w:val="32"/>
        </w:rPr>
        <w:t>其中</w:t>
      </w:r>
      <w:r>
        <w:rPr>
          <w:rFonts w:hint="eastAsia" w:ascii="仿宋_GB2312" w:hAnsi="仿宋" w:eastAsia="仿宋_GB2312" w:cs="??_GB2312"/>
          <w:sz w:val="32"/>
          <w:szCs w:val="32"/>
          <w:lang w:eastAsia="zh-CN"/>
        </w:rPr>
        <w:t>：</w:t>
      </w:r>
      <w:r>
        <w:rPr>
          <w:rFonts w:ascii="仿宋_GB2312" w:hAnsi="仿宋" w:eastAsia="仿宋_GB2312" w:cs="??_GB2312"/>
          <w:sz w:val="32"/>
          <w:szCs w:val="32"/>
        </w:rPr>
        <w:t>基本支出</w:t>
      </w:r>
      <w:r>
        <w:rPr>
          <w:rFonts w:hint="eastAsia" w:ascii="仿宋_GB2312" w:hAnsi="仿宋" w:eastAsia="仿宋_GB2312" w:cs="??_GB2312"/>
          <w:sz w:val="32"/>
          <w:szCs w:val="32"/>
          <w:lang w:val="en-US" w:eastAsia="zh-CN"/>
        </w:rPr>
        <w:t>1055.52</w:t>
      </w:r>
      <w:r>
        <w:rPr>
          <w:rFonts w:ascii="仿宋_GB2312" w:hAnsi="仿宋" w:eastAsia="仿宋_GB2312" w:cs="??_GB2312"/>
          <w:sz w:val="32"/>
          <w:szCs w:val="32"/>
        </w:rPr>
        <w:t>万元，项目支出</w:t>
      </w:r>
      <w:r>
        <w:rPr>
          <w:rFonts w:hint="eastAsia" w:ascii="仿宋_GB2312" w:hAnsi="仿宋" w:eastAsia="仿宋_GB2312" w:cs="??_GB2312"/>
          <w:sz w:val="32"/>
          <w:szCs w:val="32"/>
          <w:lang w:val="en-US" w:eastAsia="zh-CN"/>
        </w:rPr>
        <w:t>82.66</w:t>
      </w:r>
      <w:r>
        <w:rPr>
          <w:rFonts w:ascii="仿宋_GB2312" w:hAnsi="仿宋" w:eastAsia="仿宋_GB2312" w:cs="??_GB2312"/>
          <w:sz w:val="32"/>
          <w:szCs w:val="32"/>
        </w:rPr>
        <w:t>万元。</w:t>
      </w:r>
      <w:r>
        <w:rPr>
          <w:rFonts w:hint="eastAsia" w:ascii="仿宋_GB2312" w:hAnsi="仿宋" w:eastAsia="仿宋_GB2312" w:cs="??_GB2312"/>
          <w:sz w:val="32"/>
          <w:szCs w:val="32"/>
          <w:lang w:eastAsia="zh-CN"/>
        </w:rPr>
        <w:t>全部为区财政预算拨款。</w:t>
      </w:r>
    </w:p>
    <w:p>
      <w:pPr>
        <w:widowControl/>
        <w:ind w:firstLine="640" w:firstLineChars="200"/>
        <w:jc w:val="left"/>
        <w:rPr>
          <w:rFonts w:hint="eastAsia" w:ascii="仿宋_GB2312" w:hAnsi="仿宋" w:eastAsia="仿宋_GB2312" w:cs="??_GB2312"/>
          <w:sz w:val="32"/>
          <w:szCs w:val="32"/>
        </w:rPr>
      </w:pPr>
      <w:r>
        <w:rPr>
          <w:rFonts w:hint="eastAsia" w:ascii="仿宋_GB2312" w:hAnsi="仿宋" w:eastAsia="仿宋_GB2312" w:cs="??_GB2312"/>
          <w:sz w:val="32"/>
          <w:szCs w:val="32"/>
        </w:rPr>
        <w:t>2、部门资金使用情况</w:t>
      </w:r>
    </w:p>
    <w:p>
      <w:pPr>
        <w:widowControl/>
        <w:ind w:firstLine="640" w:firstLineChars="200"/>
        <w:jc w:val="left"/>
        <w:rPr>
          <w:rFonts w:ascii="仿宋_GB2312" w:hAnsi="仿宋" w:eastAsia="仿宋_GB2312" w:cs="??_GB2312"/>
          <w:sz w:val="32"/>
          <w:szCs w:val="32"/>
        </w:rPr>
      </w:pPr>
      <w:r>
        <w:rPr>
          <w:rFonts w:ascii="仿宋_GB2312" w:hAnsi="仿宋" w:eastAsia="仿宋_GB2312" w:cs="??_GB2312"/>
          <w:sz w:val="32"/>
          <w:szCs w:val="32"/>
        </w:rPr>
        <w:t>本单位的</w:t>
      </w:r>
      <w:r>
        <w:rPr>
          <w:rFonts w:hint="eastAsia" w:ascii="仿宋_GB2312" w:hAnsi="仿宋" w:eastAsia="仿宋_GB2312" w:cs="??_GB2312"/>
          <w:sz w:val="32"/>
          <w:szCs w:val="32"/>
        </w:rPr>
        <w:t>资金拨付，</w:t>
      </w:r>
      <w:r>
        <w:rPr>
          <w:rFonts w:hint="eastAsia" w:ascii="仿宋_GB2312" w:hAnsi="仿宋" w:eastAsia="仿宋_GB2312"/>
          <w:kern w:val="0"/>
          <w:sz w:val="32"/>
          <w:szCs w:val="32"/>
          <w:lang w:eastAsia="zh-CN"/>
        </w:rPr>
        <w:t>严格执行</w:t>
      </w:r>
      <w:r>
        <w:rPr>
          <w:rFonts w:hint="eastAsia" w:ascii="仿宋_GB2312" w:hAnsi="仿宋" w:eastAsia="仿宋_GB2312"/>
          <w:kern w:val="0"/>
          <w:sz w:val="32"/>
          <w:szCs w:val="32"/>
        </w:rPr>
        <w:t>《盘龙区人民政府办公室财务管理制度》</w:t>
      </w:r>
      <w:r>
        <w:rPr>
          <w:rFonts w:hint="eastAsia" w:ascii="仿宋_GB2312" w:hAnsi="仿宋" w:eastAsia="仿宋_GB2312"/>
          <w:kern w:val="0"/>
          <w:sz w:val="32"/>
          <w:szCs w:val="32"/>
          <w:lang w:eastAsia="zh-CN"/>
        </w:rPr>
        <w:t>规定，</w:t>
      </w:r>
      <w:r>
        <w:rPr>
          <w:rFonts w:hint="eastAsia" w:ascii="仿宋_GB2312" w:hAnsi="仿宋" w:eastAsia="仿宋_GB2312" w:cs="??_GB2312"/>
          <w:sz w:val="32"/>
          <w:szCs w:val="32"/>
          <w:lang w:eastAsia="zh-CN"/>
        </w:rPr>
        <w:t>大额资金的使用</w:t>
      </w:r>
      <w:r>
        <w:rPr>
          <w:rFonts w:hint="eastAsia" w:ascii="仿宋_GB2312" w:hAnsi="仿宋" w:eastAsia="仿宋_GB2312" w:cs="??_GB2312"/>
          <w:sz w:val="32"/>
          <w:szCs w:val="32"/>
        </w:rPr>
        <w:t>按照</w:t>
      </w:r>
      <w:r>
        <w:rPr>
          <w:rFonts w:hint="eastAsia" w:ascii="仿宋_GB2312" w:hAnsi="仿宋" w:eastAsia="仿宋_GB2312"/>
          <w:kern w:val="0"/>
          <w:sz w:val="32"/>
          <w:szCs w:val="32"/>
        </w:rPr>
        <w:t>《盘龙区人民政府办公室党组会议议事规则》</w:t>
      </w:r>
      <w:r>
        <w:rPr>
          <w:rFonts w:hint="eastAsia" w:ascii="仿宋_GB2312" w:hAnsi="仿宋" w:eastAsia="仿宋_GB2312" w:cs="??_GB2312"/>
          <w:sz w:val="32"/>
          <w:szCs w:val="32"/>
        </w:rPr>
        <w:t>集体研究同意后方可支付</w:t>
      </w:r>
      <w:r>
        <w:rPr>
          <w:rFonts w:hint="eastAsia" w:ascii="仿宋_GB2312" w:hAnsi="仿宋" w:eastAsia="仿宋_GB2312" w:cs="??_GB2312"/>
          <w:sz w:val="32"/>
          <w:szCs w:val="32"/>
          <w:lang w:eastAsia="zh-CN"/>
        </w:rPr>
        <w:t>；</w:t>
      </w:r>
      <w:r>
        <w:rPr>
          <w:rFonts w:hint="eastAsia" w:ascii="仿宋_GB2312" w:hAnsi="仿宋" w:eastAsia="仿宋_GB2312" w:cs="??_GB2312"/>
          <w:sz w:val="32"/>
          <w:szCs w:val="32"/>
        </w:rPr>
        <w:t>资金按照预算批复科目使用，无截留、挤占、挪用资金和虚列支出等情况。</w:t>
      </w:r>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bookmarkStart w:id="19" w:name="_Toc8054031"/>
      <w:r>
        <w:rPr>
          <w:rFonts w:hint="eastAsia" w:ascii="仿宋_GB2312" w:hAnsi="仿宋" w:eastAsia="仿宋_GB2312" w:cs="??_GB2312"/>
          <w:b/>
          <w:bCs/>
          <w:kern w:val="2"/>
          <w:sz w:val="32"/>
          <w:szCs w:val="32"/>
          <w:lang w:val="en-US" w:eastAsia="zh-CN" w:bidi="ar-SA"/>
        </w:rPr>
        <w:t>（六）政府采购情况</w:t>
      </w:r>
      <w:bookmarkEnd w:id="19"/>
    </w:p>
    <w:p>
      <w:pPr>
        <w:widowControl/>
        <w:ind w:firstLine="576" w:firstLineChars="180"/>
        <w:jc w:val="left"/>
        <w:rPr>
          <w:rFonts w:hint="default" w:ascii="仿宋_GB2312" w:hAnsi="仿宋" w:eastAsia="仿宋_GB2312" w:cs="??_GB2312"/>
          <w:sz w:val="32"/>
          <w:szCs w:val="32"/>
          <w:lang w:val="en-US" w:eastAsia="zh-CN"/>
        </w:rPr>
      </w:pPr>
      <w:r>
        <w:rPr>
          <w:rFonts w:hint="eastAsia" w:ascii="仿宋_GB2312" w:hAnsi="仿宋" w:eastAsia="仿宋_GB2312" w:cs="??_GB2312"/>
          <w:sz w:val="32"/>
          <w:szCs w:val="32"/>
          <w:lang w:val="en-US" w:eastAsia="zh-CN"/>
        </w:rPr>
        <w:t>2020年我单位无政府采购支出。</w:t>
      </w:r>
    </w:p>
    <w:p>
      <w:pPr>
        <w:pStyle w:val="4"/>
        <w:spacing w:before="0" w:after="0" w:line="240" w:lineRule="auto"/>
        <w:ind w:firstLine="0" w:firstLineChars="0"/>
        <w:rPr>
          <w:rFonts w:hint="eastAsia" w:ascii="仿宋_GB2312" w:hAnsi="仿宋" w:eastAsia="仿宋_GB2312" w:cs="??_GB2312"/>
          <w:b/>
          <w:bCs/>
          <w:kern w:val="2"/>
          <w:sz w:val="32"/>
          <w:szCs w:val="32"/>
          <w:lang w:val="en-US" w:eastAsia="zh-CN" w:bidi="ar-SA"/>
        </w:rPr>
      </w:pPr>
      <w:bookmarkStart w:id="20" w:name="_Toc8054032"/>
      <w:r>
        <w:rPr>
          <w:rFonts w:hint="eastAsia" w:ascii="仿宋_GB2312" w:hAnsi="仿宋" w:eastAsia="仿宋_GB2312" w:cs="??_GB2312"/>
          <w:b/>
          <w:bCs/>
          <w:kern w:val="2"/>
          <w:sz w:val="32"/>
          <w:szCs w:val="32"/>
          <w:lang w:val="en-US" w:eastAsia="zh-CN" w:bidi="ar-SA"/>
        </w:rPr>
        <w:t>（七）固定资产情况</w:t>
      </w:r>
      <w:bookmarkEnd w:id="20"/>
    </w:p>
    <w:p>
      <w:pPr>
        <w:widowControl/>
        <w:ind w:left="319" w:leftChars="152" w:firstLine="640" w:firstLineChars="200"/>
        <w:jc w:val="left"/>
        <w:rPr>
          <w:rFonts w:hint="eastAsia" w:ascii="仿宋_GB2312" w:hAnsi="仿宋" w:eastAsia="仿宋_GB2312" w:cs="Times New Roman"/>
          <w:kern w:val="0"/>
          <w:sz w:val="32"/>
          <w:szCs w:val="32"/>
          <w:lang w:eastAsia="zh-CN"/>
        </w:rPr>
      </w:pPr>
      <w:r>
        <w:rPr>
          <w:rFonts w:hint="eastAsia" w:ascii="仿宋_GB2312" w:hAnsi="仿宋" w:eastAsia="仿宋_GB2312" w:cs="Times New Roman"/>
          <w:kern w:val="0"/>
          <w:sz w:val="32"/>
          <w:szCs w:val="32"/>
          <w:lang w:val="en-US" w:eastAsia="zh-CN"/>
        </w:rPr>
        <w:t>2020</w:t>
      </w:r>
      <w:r>
        <w:rPr>
          <w:rFonts w:hint="eastAsia" w:ascii="仿宋_GB2312" w:hAnsi="仿宋" w:eastAsia="仿宋_GB2312" w:cs="Times New Roman"/>
          <w:kern w:val="0"/>
          <w:sz w:val="32"/>
          <w:szCs w:val="32"/>
        </w:rPr>
        <w:t>年末，区政府办固定资产总额</w:t>
      </w:r>
      <w:r>
        <w:rPr>
          <w:rFonts w:hint="eastAsia" w:ascii="仿宋_GB2312" w:hAnsi="仿宋" w:eastAsia="仿宋_GB2312" w:cs="Times New Roman"/>
          <w:kern w:val="0"/>
          <w:sz w:val="32"/>
          <w:szCs w:val="32"/>
          <w:lang w:val="en-US" w:eastAsia="zh-CN"/>
        </w:rPr>
        <w:t>113.95</w:t>
      </w:r>
      <w:r>
        <w:rPr>
          <w:rFonts w:hint="eastAsia" w:ascii="仿宋_GB2312" w:hAnsi="仿宋" w:eastAsia="仿宋_GB2312" w:cs="Times New Roman"/>
          <w:kern w:val="0"/>
          <w:sz w:val="32"/>
          <w:szCs w:val="32"/>
        </w:rPr>
        <w:t>万元，</w:t>
      </w:r>
      <w:r>
        <w:rPr>
          <w:rFonts w:hint="eastAsia" w:ascii="仿宋_GB2312" w:hAnsi="仿宋" w:eastAsia="仿宋_GB2312" w:cs="Times New Roman"/>
          <w:kern w:val="0"/>
          <w:sz w:val="32"/>
          <w:szCs w:val="32"/>
          <w:lang w:eastAsia="zh-CN"/>
        </w:rPr>
        <w:t>无形资产总额</w:t>
      </w:r>
      <w:r>
        <w:rPr>
          <w:rFonts w:hint="eastAsia" w:ascii="仿宋_GB2312" w:hAnsi="仿宋" w:eastAsia="仿宋_GB2312" w:cs="Times New Roman"/>
          <w:kern w:val="0"/>
          <w:sz w:val="32"/>
          <w:szCs w:val="32"/>
          <w:lang w:val="en-US" w:eastAsia="zh-CN"/>
        </w:rPr>
        <w:t>11.51万元</w:t>
      </w:r>
      <w:r>
        <w:rPr>
          <w:rFonts w:hint="eastAsia" w:ascii="仿宋_GB2312" w:hAnsi="仿宋" w:eastAsia="仿宋_GB2312" w:cs="Times New Roman"/>
          <w:kern w:val="0"/>
          <w:sz w:val="32"/>
          <w:szCs w:val="32"/>
        </w:rPr>
        <w:t>。区政府办固定资产保存基本完整；资产配置合理；资产账务管理合规，</w:t>
      </w:r>
      <w:r>
        <w:rPr>
          <w:rFonts w:hint="eastAsia" w:ascii="仿宋_GB2312" w:hAnsi="仿宋" w:eastAsia="仿宋_GB2312" w:cs="Times New Roman"/>
          <w:kern w:val="0"/>
          <w:sz w:val="32"/>
          <w:szCs w:val="32"/>
          <w:lang w:eastAsia="zh-CN"/>
        </w:rPr>
        <w:t>账</w:t>
      </w:r>
      <w:r>
        <w:rPr>
          <w:rFonts w:hint="eastAsia" w:ascii="仿宋_GB2312" w:hAnsi="仿宋" w:eastAsia="仿宋_GB2312" w:cs="Times New Roman"/>
          <w:kern w:val="0"/>
          <w:sz w:val="32"/>
          <w:szCs w:val="32"/>
        </w:rPr>
        <w:t>实相符；</w:t>
      </w:r>
      <w:r>
        <w:rPr>
          <w:rFonts w:hint="eastAsia" w:ascii="仿宋_GB2312" w:hAnsi="仿宋" w:eastAsia="仿宋_GB2312" w:cs="Times New Roman"/>
          <w:kern w:val="0"/>
          <w:sz w:val="32"/>
          <w:szCs w:val="32"/>
          <w:lang w:eastAsia="zh-CN"/>
        </w:rPr>
        <w:t>资产</w:t>
      </w:r>
      <w:r>
        <w:rPr>
          <w:rFonts w:hint="eastAsia" w:ascii="仿宋_GB2312" w:hAnsi="仿宋" w:eastAsia="仿宋_GB2312" w:cs="Times New Roman"/>
          <w:kern w:val="0"/>
          <w:sz w:val="32"/>
          <w:szCs w:val="32"/>
        </w:rPr>
        <w:t>处置</w:t>
      </w:r>
      <w:r>
        <w:rPr>
          <w:rFonts w:hint="eastAsia" w:ascii="仿宋_GB2312" w:hAnsi="仿宋" w:eastAsia="仿宋_GB2312" w:cs="Times New Roman"/>
          <w:kern w:val="0"/>
          <w:sz w:val="32"/>
          <w:szCs w:val="32"/>
          <w:lang w:eastAsia="zh-CN"/>
        </w:rPr>
        <w:t>由</w:t>
      </w:r>
      <w:r>
        <w:rPr>
          <w:rFonts w:hint="eastAsia" w:ascii="仿宋_GB2312" w:hAnsi="仿宋" w:eastAsia="仿宋_GB2312" w:cs="Times New Roman"/>
          <w:kern w:val="0"/>
          <w:sz w:val="32"/>
          <w:szCs w:val="32"/>
        </w:rPr>
        <w:t>专门的人员</w:t>
      </w:r>
      <w:r>
        <w:rPr>
          <w:rFonts w:hint="eastAsia" w:ascii="仿宋_GB2312" w:hAnsi="仿宋" w:eastAsia="仿宋_GB2312" w:cs="Times New Roman"/>
          <w:kern w:val="0"/>
          <w:sz w:val="32"/>
          <w:szCs w:val="32"/>
          <w:lang w:eastAsia="zh-CN"/>
        </w:rPr>
        <w:t>按照</w:t>
      </w:r>
      <w:r>
        <w:rPr>
          <w:rFonts w:hint="eastAsia" w:ascii="仿宋_GB2312" w:hAnsi="仿宋" w:eastAsia="仿宋_GB2312" w:cs="Times New Roman"/>
          <w:kern w:val="0"/>
          <w:sz w:val="32"/>
          <w:szCs w:val="32"/>
        </w:rPr>
        <w:t>相关程序</w:t>
      </w:r>
      <w:r>
        <w:rPr>
          <w:rFonts w:hint="eastAsia" w:ascii="仿宋_GB2312" w:hAnsi="仿宋" w:eastAsia="仿宋_GB2312" w:cs="Times New Roman"/>
          <w:kern w:val="0"/>
          <w:sz w:val="32"/>
          <w:szCs w:val="32"/>
          <w:lang w:eastAsia="zh-CN"/>
        </w:rPr>
        <w:t>进行处置；</w:t>
      </w:r>
      <w:r>
        <w:rPr>
          <w:rFonts w:hint="eastAsia" w:ascii="仿宋_GB2312" w:hAnsi="仿宋" w:eastAsia="仿宋_GB2312" w:cs="Times New Roman"/>
          <w:kern w:val="0"/>
          <w:sz w:val="32"/>
          <w:szCs w:val="32"/>
        </w:rPr>
        <w:t>资产有偿使用及处置收入及时足额上缴</w:t>
      </w:r>
      <w:r>
        <w:rPr>
          <w:rFonts w:hint="eastAsia" w:ascii="仿宋_GB2312" w:hAnsi="仿宋" w:eastAsia="仿宋_GB2312" w:cs="Times New Roman"/>
          <w:kern w:val="0"/>
          <w:sz w:val="32"/>
          <w:szCs w:val="32"/>
          <w:lang w:eastAsia="zh-CN"/>
        </w:rPr>
        <w:t>。</w:t>
      </w:r>
    </w:p>
    <w:p>
      <w:pPr>
        <w:pStyle w:val="3"/>
        <w:spacing w:before="0" w:after="0" w:line="240" w:lineRule="auto"/>
        <w:ind w:firstLine="0" w:firstLineChars="0"/>
        <w:rPr>
          <w:rFonts w:ascii="黑体" w:hAnsi="黑体" w:eastAsia="黑体"/>
          <w:b w:val="0"/>
          <w:bCs w:val="0"/>
          <w:sz w:val="32"/>
          <w:szCs w:val="32"/>
        </w:rPr>
      </w:pPr>
      <w:bookmarkStart w:id="21" w:name="_Toc8054033"/>
      <w:r>
        <w:rPr>
          <w:rFonts w:hint="eastAsia" w:ascii="黑体" w:hAnsi="黑体" w:eastAsia="黑体"/>
          <w:b w:val="0"/>
          <w:bCs w:val="0"/>
          <w:sz w:val="32"/>
          <w:szCs w:val="32"/>
        </w:rPr>
        <w:t>二、绩效目标</w:t>
      </w:r>
      <w:bookmarkEnd w:id="21"/>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22" w:name="_Toc8054034"/>
      <w:r>
        <w:rPr>
          <w:rFonts w:hint="eastAsia" w:ascii="仿宋_GB2312" w:hAnsi="仿宋" w:eastAsia="仿宋_GB2312" w:cs="Times New Roman"/>
          <w:b/>
          <w:bCs/>
          <w:kern w:val="0"/>
          <w:sz w:val="32"/>
          <w:szCs w:val="32"/>
          <w:lang w:val="en-US" w:eastAsia="zh-CN" w:bidi="ar-SA"/>
        </w:rPr>
        <w:t>（一）部门总目标</w:t>
      </w:r>
      <w:bookmarkEnd w:id="22"/>
    </w:p>
    <w:p>
      <w:pPr>
        <w:widowControl/>
        <w:ind w:firstLine="576" w:firstLineChars="180"/>
        <w:jc w:val="left"/>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认真学习贯彻党和国家的路线、方针、政策以及省、市、区政府的各项法规、规章、决议、决定，按照区政府领导要求，协调区政府各职能部门、街道办事处之间的工作关系，对有关事项和问题提出处理意见和建议。</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23" w:name="_Toc8054035"/>
      <w:r>
        <w:rPr>
          <w:rFonts w:hint="eastAsia" w:ascii="仿宋_GB2312" w:hAnsi="仿宋" w:eastAsia="仿宋_GB2312" w:cs="Times New Roman"/>
          <w:b/>
          <w:bCs/>
          <w:kern w:val="0"/>
          <w:sz w:val="32"/>
          <w:szCs w:val="32"/>
          <w:lang w:val="en-US" w:eastAsia="zh-CN" w:bidi="ar-SA"/>
        </w:rPr>
        <w:t>（二）部门项目具体计划目标</w:t>
      </w:r>
      <w:bookmarkEnd w:id="23"/>
    </w:p>
    <w:p>
      <w:pPr>
        <w:adjustRightInd w:val="0"/>
        <w:snapToGrid w:val="0"/>
        <w:spacing w:line="560" w:lineRule="exact"/>
        <w:ind w:firstLine="640" w:firstLineChars="200"/>
        <w:rPr>
          <w:rFonts w:hint="eastAsia" w:ascii="仿宋_GB2312" w:hAnsi="仿宋_GB2312" w:eastAsia="仿宋_GB2312" w:cs="仿宋_GB2312"/>
          <w:sz w:val="32"/>
          <w:szCs w:val="32"/>
          <w:lang w:eastAsia="zh-CN"/>
        </w:rPr>
      </w:pPr>
      <w:bookmarkStart w:id="24" w:name="_Toc7383812"/>
      <w:bookmarkStart w:id="25" w:name="_Toc8054036"/>
      <w:r>
        <w:rPr>
          <w:rFonts w:hint="eastAsia" w:ascii="仿宋_GB2312" w:hAnsi="仿宋" w:eastAsia="仿宋_GB2312" w:cs="宋体"/>
          <w:color w:val="333333"/>
          <w:kern w:val="0"/>
          <w:sz w:val="32"/>
          <w:szCs w:val="32"/>
          <w:lang w:val="en-US" w:eastAsia="zh-CN"/>
        </w:rPr>
        <w:t>在区委区政府的坚强领导下，紧紧围绕全区发展大局和区政府中心工作，履职尽责，务实求为，</w:t>
      </w:r>
      <w:r>
        <w:rPr>
          <w:rFonts w:hint="eastAsia" w:ascii="仿宋" w:hAnsi="仿宋" w:eastAsia="仿宋" w:cs="仿宋"/>
          <w:b w:val="0"/>
          <w:i w:val="0"/>
          <w:caps w:val="0"/>
          <w:color w:val="333333"/>
          <w:spacing w:val="0"/>
          <w:sz w:val="32"/>
          <w:szCs w:val="32"/>
          <w:shd w:val="clear" w:color="auto" w:fill="FFFFFF"/>
        </w:rPr>
        <w:t>较好</w:t>
      </w:r>
      <w:r>
        <w:rPr>
          <w:rFonts w:hint="eastAsia" w:ascii="仿宋" w:hAnsi="仿宋" w:eastAsia="仿宋" w:cs="仿宋"/>
          <w:b w:val="0"/>
          <w:i w:val="0"/>
          <w:caps w:val="0"/>
          <w:color w:val="333333"/>
          <w:spacing w:val="0"/>
          <w:sz w:val="32"/>
          <w:szCs w:val="32"/>
          <w:shd w:val="clear" w:color="auto" w:fill="FFFFFF"/>
          <w:lang w:eastAsia="zh-CN"/>
        </w:rPr>
        <w:t>地</w:t>
      </w:r>
      <w:r>
        <w:rPr>
          <w:rFonts w:hint="eastAsia" w:ascii="仿宋" w:hAnsi="仿宋" w:eastAsia="仿宋" w:cs="仿宋"/>
          <w:b w:val="0"/>
          <w:i w:val="0"/>
          <w:caps w:val="0"/>
          <w:color w:val="333333"/>
          <w:spacing w:val="0"/>
          <w:sz w:val="32"/>
          <w:szCs w:val="32"/>
          <w:shd w:val="clear" w:color="auto" w:fill="FFFFFF"/>
        </w:rPr>
        <w:t>完成了全年工作任务</w:t>
      </w:r>
      <w:r>
        <w:rPr>
          <w:rFonts w:hint="eastAsia" w:ascii="仿宋_GB2312" w:hAnsi="仿宋" w:eastAsia="仿宋_GB2312" w:cs="宋体"/>
          <w:color w:val="333333"/>
          <w:kern w:val="0"/>
          <w:sz w:val="32"/>
          <w:szCs w:val="32"/>
          <w:lang w:val="en-US" w:eastAsia="zh-CN"/>
        </w:rPr>
        <w:t>。</w:t>
      </w:r>
      <w:r>
        <w:rPr>
          <w:rFonts w:hint="eastAsia" w:ascii="仿宋_GB2312" w:hAnsi="仿宋" w:eastAsia="仿宋_GB2312" w:cs="宋体"/>
          <w:color w:val="333333"/>
          <w:kern w:val="0"/>
          <w:sz w:val="32"/>
          <w:szCs w:val="32"/>
          <w:lang w:eastAsia="zh-CN"/>
        </w:rPr>
        <w:t>一是</w:t>
      </w:r>
      <w:r>
        <w:rPr>
          <w:rFonts w:hint="eastAsia" w:ascii="仿宋_GB2312" w:hAnsi="仿宋_GB2312" w:eastAsia="仿宋_GB2312" w:cs="仿宋_GB2312"/>
          <w:sz w:val="32"/>
          <w:szCs w:val="32"/>
        </w:rPr>
        <w:t>做好各类文件、电报、资料的签收、登记、传阅、交办、清退、立卷归档、保管、销毁和区政府及其办公室上报、下发文（函）件的登记、编号、送审、打印、发送工作</w:t>
      </w: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协助区人民政府领导组织起草或审核以区人民政府、区政府办公室名义发布的公文，</w:t>
      </w:r>
      <w:r>
        <w:rPr>
          <w:rFonts w:hint="eastAsia" w:ascii="仿宋_GB2312" w:hAnsi="仿宋_GB2312" w:eastAsia="仿宋_GB2312" w:cs="仿宋_GB2312"/>
          <w:sz w:val="32"/>
          <w:szCs w:val="32"/>
          <w:lang w:eastAsia="zh-CN"/>
        </w:rPr>
        <w:t>做好</w:t>
      </w:r>
      <w:r>
        <w:rPr>
          <w:rFonts w:hint="eastAsia" w:ascii="仿宋_GB2312" w:hAnsi="仿宋_GB2312" w:eastAsia="仿宋_GB2312" w:cs="仿宋_GB2312"/>
          <w:sz w:val="32"/>
          <w:szCs w:val="32"/>
        </w:rPr>
        <w:t>区人民政府、区政府办公室规范性文件的合法性审查工作</w:t>
      </w:r>
      <w:r>
        <w:rPr>
          <w:rFonts w:hint="eastAsia" w:ascii="仿宋_GB2312" w:hAnsi="仿宋_GB2312" w:eastAsia="仿宋_GB2312" w:cs="仿宋_GB2312"/>
          <w:sz w:val="32"/>
          <w:szCs w:val="32"/>
          <w:lang w:eastAsia="zh-CN"/>
        </w:rPr>
        <w:t>；三是</w:t>
      </w:r>
      <w:r>
        <w:rPr>
          <w:rFonts w:hint="eastAsia" w:ascii="仿宋_GB2312" w:hAnsi="仿宋_GB2312" w:eastAsia="仿宋_GB2312" w:cs="仿宋_GB2312"/>
          <w:sz w:val="32"/>
          <w:szCs w:val="32"/>
        </w:rPr>
        <w:t>督促检查区人民政府重大决策部署、重要文件确定事项、重要会议议定事项以及区人民政府领导批示指示贯彻落实情况</w:t>
      </w:r>
      <w:r>
        <w:rPr>
          <w:rFonts w:hint="eastAsia" w:ascii="仿宋_GB2312" w:hAnsi="仿宋_GB2312" w:eastAsia="仿宋_GB2312" w:cs="仿宋_GB2312"/>
          <w:sz w:val="32"/>
          <w:szCs w:val="32"/>
          <w:lang w:eastAsia="zh-CN"/>
        </w:rPr>
        <w:t>；四是</w:t>
      </w:r>
      <w:r>
        <w:rPr>
          <w:rFonts w:hint="eastAsia" w:ascii="仿宋_GB2312" w:hAnsi="仿宋_GB2312" w:eastAsia="仿宋_GB2312" w:cs="仿宋_GB2312"/>
          <w:sz w:val="32"/>
          <w:szCs w:val="32"/>
        </w:rPr>
        <w:t>牵头组织有关部门按照区人民政府领导指示开展专题调查研究，及时反映情况，提出工作建议</w:t>
      </w:r>
      <w:r>
        <w:rPr>
          <w:rFonts w:hint="eastAsia" w:ascii="仿宋_GB2312" w:hAnsi="仿宋_GB2312" w:eastAsia="仿宋_GB2312" w:cs="仿宋_GB2312"/>
          <w:sz w:val="32"/>
          <w:szCs w:val="32"/>
          <w:lang w:eastAsia="zh-CN"/>
        </w:rPr>
        <w:t>；五是做好</w:t>
      </w:r>
      <w:r>
        <w:rPr>
          <w:rFonts w:hint="eastAsia" w:ascii="仿宋_GB2312" w:hAnsi="仿宋_GB2312" w:eastAsia="仿宋_GB2312" w:cs="仿宋_GB2312"/>
          <w:sz w:val="32"/>
          <w:szCs w:val="32"/>
        </w:rPr>
        <w:t>区人民政府值班工作，及时向区人民政府领导报告重要紧急情况，传达和督促落实区人民政府领导指示</w:t>
      </w:r>
      <w:r>
        <w:rPr>
          <w:rFonts w:hint="eastAsia" w:ascii="仿宋_GB2312" w:hAnsi="仿宋_GB2312" w:eastAsia="仿宋_GB2312" w:cs="仿宋_GB2312"/>
          <w:sz w:val="32"/>
          <w:szCs w:val="32"/>
          <w:lang w:eastAsia="zh-CN"/>
        </w:rPr>
        <w:t>；六是</w:t>
      </w:r>
      <w:r>
        <w:rPr>
          <w:rFonts w:hint="eastAsia" w:ascii="Times New Roman" w:hAnsi="Times New Roman" w:eastAsia="仿宋_GB2312" w:cs="Times New Roman"/>
          <w:kern w:val="2"/>
          <w:sz w:val="32"/>
          <w:szCs w:val="32"/>
          <w:lang w:val="en-US" w:eastAsia="zh-CN" w:bidi="ar-SA"/>
        </w:rPr>
        <w:t>积极做好热线服务工作，</w:t>
      </w:r>
      <w:r>
        <w:rPr>
          <w:rFonts w:ascii="Times New Roman" w:hAnsi="Times New Roman" w:eastAsia="仿宋_GB2312"/>
          <w:sz w:val="32"/>
          <w:szCs w:val="32"/>
        </w:rPr>
        <w:t>创新热线办管理流程，强化业务培训，进一步提高热线电话的办理水平，更好地为群众排忧解难。</w:t>
      </w:r>
      <w:r>
        <w:rPr>
          <w:rFonts w:hint="eastAsia" w:ascii="Times New Roman" w:hAnsi="Times New Roman" w:eastAsia="仿宋_GB2312"/>
          <w:sz w:val="32"/>
          <w:szCs w:val="32"/>
          <w:lang w:eastAsia="zh-CN"/>
        </w:rPr>
        <w:t>七</w:t>
      </w:r>
      <w:r>
        <w:rPr>
          <w:rFonts w:hint="eastAsia" w:ascii="仿宋_GB2312" w:hAnsi="仿宋_GB2312" w:eastAsia="仿宋_GB2312" w:cs="仿宋_GB2312"/>
          <w:sz w:val="32"/>
          <w:szCs w:val="32"/>
          <w:lang w:eastAsia="zh-CN"/>
        </w:rPr>
        <w:t>是</w:t>
      </w:r>
      <w:r>
        <w:rPr>
          <w:rFonts w:hint="eastAsia" w:ascii="Times New Roman" w:hAnsi="Times New Roman" w:eastAsia="仿宋_GB2312" w:cs="Times New Roman"/>
          <w:sz w:val="32"/>
          <w:szCs w:val="32"/>
          <w:lang w:val="en-US" w:eastAsia="zh-CN"/>
        </w:rPr>
        <w:t>切实加强干部队伍建设，</w:t>
      </w:r>
      <w:r>
        <w:rPr>
          <w:rFonts w:hint="eastAsia" w:ascii="Times New Roman" w:hAnsi="Times New Roman" w:eastAsia="仿宋_GB2312"/>
          <w:sz w:val="32"/>
          <w:szCs w:val="32"/>
          <w:lang w:eastAsia="zh-CN"/>
        </w:rPr>
        <w:t>改进</w:t>
      </w:r>
      <w:r>
        <w:rPr>
          <w:rFonts w:ascii="Times New Roman" w:hAnsi="Times New Roman" w:eastAsia="仿宋_GB2312"/>
          <w:sz w:val="32"/>
          <w:szCs w:val="32"/>
        </w:rPr>
        <w:t>工作作风，</w:t>
      </w:r>
      <w:r>
        <w:rPr>
          <w:rFonts w:hint="eastAsia" w:ascii="Times New Roman" w:hAnsi="Times New Roman" w:eastAsia="仿宋_GB2312"/>
          <w:sz w:val="32"/>
          <w:szCs w:val="32"/>
          <w:lang w:eastAsia="zh-CN"/>
        </w:rPr>
        <w:t>提升干部素质</w:t>
      </w:r>
      <w:r>
        <w:rPr>
          <w:rFonts w:ascii="Times New Roman" w:hAnsi="Times New Roman" w:eastAsia="仿宋_GB2312"/>
          <w:sz w:val="32"/>
          <w:szCs w:val="32"/>
        </w:rPr>
        <w:t>，提高服务</w:t>
      </w:r>
      <w:r>
        <w:rPr>
          <w:rFonts w:hint="eastAsia" w:ascii="Times New Roman" w:hAnsi="Times New Roman" w:eastAsia="仿宋_GB2312"/>
          <w:sz w:val="32"/>
          <w:szCs w:val="32"/>
          <w:lang w:eastAsia="zh-CN"/>
        </w:rPr>
        <w:t>水平。</w:t>
      </w:r>
    </w:p>
    <w:bookmarkEnd w:id="24"/>
    <w:bookmarkEnd w:id="25"/>
    <w:p>
      <w:pPr>
        <w:pStyle w:val="3"/>
        <w:spacing w:before="0" w:after="0" w:line="240" w:lineRule="auto"/>
        <w:ind w:firstLine="0" w:firstLineChars="0"/>
        <w:rPr>
          <w:rFonts w:ascii="黑体" w:hAnsi="黑体" w:eastAsia="黑体"/>
          <w:b w:val="0"/>
          <w:bCs w:val="0"/>
          <w:sz w:val="32"/>
          <w:szCs w:val="32"/>
        </w:rPr>
      </w:pPr>
      <w:bookmarkStart w:id="26" w:name="_Toc7383813"/>
      <w:bookmarkStart w:id="27" w:name="_Toc8054037"/>
      <w:r>
        <w:rPr>
          <w:rFonts w:hint="eastAsia" w:ascii="黑体" w:hAnsi="黑体" w:eastAsia="黑体"/>
          <w:b w:val="0"/>
          <w:bCs w:val="0"/>
          <w:sz w:val="32"/>
          <w:szCs w:val="32"/>
        </w:rPr>
        <w:t>三、绩效评价工作情况</w:t>
      </w:r>
      <w:bookmarkEnd w:id="26"/>
      <w:bookmarkEnd w:id="27"/>
      <w:r>
        <w:rPr>
          <w:rFonts w:hint="eastAsia" w:ascii="黑体" w:hAnsi="黑体" w:eastAsia="黑体"/>
          <w:b w:val="0"/>
          <w:bCs w:val="0"/>
          <w:sz w:val="32"/>
          <w:szCs w:val="32"/>
        </w:rPr>
        <w:t xml:space="preserve"> </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28" w:name="_Toc8054038"/>
      <w:bookmarkStart w:id="29" w:name="_Toc7383814"/>
      <w:r>
        <w:rPr>
          <w:rFonts w:hint="eastAsia" w:ascii="仿宋_GB2312" w:hAnsi="仿宋" w:eastAsia="仿宋_GB2312" w:cs="Times New Roman"/>
          <w:b/>
          <w:bCs/>
          <w:kern w:val="0"/>
          <w:sz w:val="32"/>
          <w:szCs w:val="32"/>
          <w:lang w:val="en-US" w:eastAsia="zh-CN" w:bidi="ar-SA"/>
        </w:rPr>
        <w:t>(一)评价的目的和依据</w:t>
      </w:r>
      <w:bookmarkEnd w:id="28"/>
      <w:bookmarkEnd w:id="29"/>
      <w:r>
        <w:rPr>
          <w:rFonts w:hint="eastAsia" w:ascii="仿宋_GB2312" w:hAnsi="仿宋" w:eastAsia="仿宋_GB2312" w:cs="Times New Roman"/>
          <w:b/>
          <w:bCs/>
          <w:kern w:val="0"/>
          <w:sz w:val="32"/>
          <w:szCs w:val="32"/>
          <w:lang w:val="en-US" w:eastAsia="zh-CN" w:bidi="ar-SA"/>
        </w:rPr>
        <w:t xml:space="preserve"> </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1、评价目的</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2、评价主要依据</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（1）政府部门文件</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bidi="ar-SA"/>
        </w:rPr>
        <w:t>《昆明市盘龙区财政局关于开展2020年度区级预算支出绩效自评工作的通知</w:t>
      </w:r>
      <w:r>
        <w:rPr>
          <w:rFonts w:hint="eastAsia" w:ascii="仿宋_GB2312" w:hAnsi="仿宋" w:eastAsia="仿宋_GB2312" w:cs="宋体"/>
          <w:color w:val="333333"/>
          <w:kern w:val="0"/>
          <w:sz w:val="32"/>
          <w:szCs w:val="32"/>
        </w:rPr>
        <w:t>》（盘财绩〔202</w:t>
      </w: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号）、《昆明市盘龙区财政局关于开展20</w:t>
      </w:r>
      <w:r>
        <w:rPr>
          <w:rFonts w:hint="eastAsia" w:ascii="仿宋_GB2312" w:hAnsi="仿宋" w:eastAsia="仿宋_GB2312" w:cs="宋体"/>
          <w:color w:val="333333"/>
          <w:kern w:val="0"/>
          <w:sz w:val="32"/>
          <w:szCs w:val="32"/>
          <w:lang w:val="en-US" w:eastAsia="zh-CN"/>
        </w:rPr>
        <w:t>20</w:t>
      </w:r>
      <w:r>
        <w:rPr>
          <w:rFonts w:hint="eastAsia" w:ascii="仿宋_GB2312" w:hAnsi="仿宋" w:eastAsia="仿宋_GB2312" w:cs="宋体"/>
          <w:color w:val="333333"/>
          <w:kern w:val="0"/>
          <w:sz w:val="32"/>
          <w:szCs w:val="32"/>
        </w:rPr>
        <w:t>年度区级预算支出绩效自评工作及下达20</w:t>
      </w:r>
      <w:r>
        <w:rPr>
          <w:rFonts w:hint="eastAsia" w:ascii="仿宋_GB2312" w:hAnsi="仿宋" w:eastAsia="仿宋_GB2312" w:cs="宋体"/>
          <w:color w:val="333333"/>
          <w:kern w:val="0"/>
          <w:sz w:val="32"/>
          <w:szCs w:val="32"/>
          <w:lang w:val="en-US" w:eastAsia="zh-CN"/>
        </w:rPr>
        <w:t>20</w:t>
      </w:r>
      <w:r>
        <w:rPr>
          <w:rFonts w:hint="eastAsia" w:ascii="仿宋_GB2312" w:hAnsi="仿宋" w:eastAsia="仿宋_GB2312" w:cs="宋体"/>
          <w:color w:val="333333"/>
          <w:kern w:val="0"/>
          <w:sz w:val="32"/>
          <w:szCs w:val="32"/>
        </w:rPr>
        <w:t>年部门重点绩效自评项目的通知》等文件。</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（2）项目资料</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项目预算批复等相关文件；项目相关支出采购合同等。</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（3）财务资料及相关制度和标准</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财务资料：会计账簿、会计凭证、会计报表、决算报表等财务资料。</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《中华人民共和国会计法》《行政单位会计制度》等。</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30" w:name="_Toc7383815"/>
      <w:bookmarkStart w:id="31" w:name="_Toc8054039"/>
      <w:r>
        <w:rPr>
          <w:rFonts w:hint="eastAsia" w:ascii="仿宋_GB2312" w:hAnsi="仿宋" w:eastAsia="仿宋_GB2312" w:cs="Times New Roman"/>
          <w:b/>
          <w:bCs/>
          <w:kern w:val="0"/>
          <w:sz w:val="32"/>
          <w:szCs w:val="32"/>
          <w:lang w:val="en-US" w:eastAsia="zh-CN" w:bidi="ar-SA"/>
        </w:rPr>
        <w:t>（二）绩效评价工作方案制定过程</w:t>
      </w:r>
      <w:bookmarkEnd w:id="30"/>
      <w:bookmarkEnd w:id="31"/>
      <w:r>
        <w:rPr>
          <w:rFonts w:hint="eastAsia" w:ascii="仿宋_GB2312" w:hAnsi="仿宋" w:eastAsia="仿宋_GB2312" w:cs="Times New Roman"/>
          <w:b/>
          <w:bCs/>
          <w:kern w:val="0"/>
          <w:sz w:val="32"/>
          <w:szCs w:val="32"/>
          <w:lang w:val="en-US" w:eastAsia="zh-CN" w:bidi="ar-SA"/>
        </w:rPr>
        <w:t xml:space="preserve"> </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1.前期调研。</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2.研究文件。</w:t>
      </w:r>
    </w:p>
    <w:p>
      <w:pPr>
        <w:pStyle w:val="11"/>
        <w:keepNext w:val="0"/>
        <w:keepLines w:val="0"/>
        <w:widowControl/>
        <w:suppressLineNumbers w:val="0"/>
        <w:spacing w:before="0" w:beforeAutospacing="0" w:after="0" w:afterAutospacing="0" w:line="264" w:lineRule="atLeast"/>
        <w:ind w:left="0" w:right="0"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评价组对《盘龙区区级部门预算绩效自评管理暂行办法》</w:t>
      </w:r>
      <w:r>
        <w:rPr>
          <w:rFonts w:hint="eastAsia" w:ascii="仿宋_GB2312" w:hAnsi="仿宋" w:eastAsia="仿宋_GB2312" w:cs="宋体"/>
          <w:color w:val="333333"/>
          <w:kern w:val="0"/>
          <w:sz w:val="32"/>
          <w:szCs w:val="32"/>
          <w:lang w:val="en-US" w:eastAsia="zh-CN" w:bidi="ar-SA"/>
        </w:rPr>
        <w:t>《昆明市盘龙区财政局关于开展2020年度区级预算支出绩效自评工作的通知</w:t>
      </w:r>
      <w:r>
        <w:rPr>
          <w:rFonts w:hint="eastAsia" w:ascii="仿宋_GB2312" w:hAnsi="仿宋" w:eastAsia="仿宋_GB2312" w:cs="宋体"/>
          <w:color w:val="333333"/>
          <w:kern w:val="0"/>
          <w:sz w:val="32"/>
          <w:szCs w:val="32"/>
        </w:rPr>
        <w:t>》（盘财绩〔202</w:t>
      </w: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号）及《昆明市盘龙区财政局关于开展20</w:t>
      </w:r>
      <w:r>
        <w:rPr>
          <w:rFonts w:hint="eastAsia" w:ascii="仿宋_GB2312" w:hAnsi="仿宋" w:eastAsia="仿宋_GB2312" w:cs="宋体"/>
          <w:color w:val="333333"/>
          <w:kern w:val="0"/>
          <w:sz w:val="32"/>
          <w:szCs w:val="32"/>
          <w:lang w:val="en-US" w:eastAsia="zh-CN"/>
        </w:rPr>
        <w:t>20</w:t>
      </w:r>
      <w:r>
        <w:rPr>
          <w:rFonts w:hint="eastAsia" w:ascii="仿宋_GB2312" w:hAnsi="仿宋" w:eastAsia="仿宋_GB2312" w:cs="宋体"/>
          <w:color w:val="333333"/>
          <w:kern w:val="0"/>
          <w:sz w:val="32"/>
          <w:szCs w:val="32"/>
        </w:rPr>
        <w:t>年度区级预算支出绩效自评工作及下达20</w:t>
      </w:r>
      <w:r>
        <w:rPr>
          <w:rFonts w:hint="eastAsia" w:ascii="仿宋_GB2312" w:hAnsi="仿宋" w:eastAsia="仿宋_GB2312" w:cs="宋体"/>
          <w:color w:val="333333"/>
          <w:kern w:val="0"/>
          <w:sz w:val="32"/>
          <w:szCs w:val="32"/>
          <w:lang w:val="en-US" w:eastAsia="zh-CN"/>
        </w:rPr>
        <w:t>20</w:t>
      </w:r>
      <w:r>
        <w:rPr>
          <w:rFonts w:hint="eastAsia" w:ascii="仿宋_GB2312" w:hAnsi="仿宋" w:eastAsia="仿宋_GB2312" w:cs="宋体"/>
          <w:color w:val="333333"/>
          <w:kern w:val="0"/>
          <w:sz w:val="32"/>
          <w:szCs w:val="32"/>
        </w:rPr>
        <w:t>年部门重点绩效自评项目的通知》进行了认真研究，吃透文件精神，以确保绩效评价工作符合区财政局的相关要求。</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3.绩效评价指标体系及工作方案的设计。</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32" w:name="_Toc8054040"/>
      <w:bookmarkStart w:id="33" w:name="_Toc7383816"/>
      <w:r>
        <w:rPr>
          <w:rFonts w:hint="eastAsia" w:ascii="仿宋_GB2312" w:hAnsi="仿宋" w:eastAsia="仿宋_GB2312" w:cs="Times New Roman"/>
          <w:b/>
          <w:bCs/>
          <w:kern w:val="0"/>
          <w:sz w:val="32"/>
          <w:szCs w:val="32"/>
          <w:lang w:val="en-US" w:eastAsia="zh-CN" w:bidi="ar-SA"/>
        </w:rPr>
        <w:t>（三）绩效评价原则及评价方法</w:t>
      </w:r>
      <w:bookmarkEnd w:id="32"/>
      <w:bookmarkEnd w:id="33"/>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1.绩效评价原则。</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评价工作组秉承科学规范、客观公正、定性定量的原则，采取计划标准、历史标准相结合的方式开展绩效评价。</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2.绩效评价方法。</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此次评价采用</w:t>
      </w:r>
      <w:r>
        <w:rPr>
          <w:rFonts w:hint="eastAsia" w:ascii="仿宋_GB2312" w:hAnsi="仿宋" w:eastAsia="仿宋_GB2312" w:cs="宋体"/>
          <w:color w:val="333333"/>
          <w:kern w:val="0"/>
          <w:sz w:val="32"/>
          <w:szCs w:val="32"/>
          <w:lang w:eastAsia="zh-CN"/>
        </w:rPr>
        <w:t>目标比较法和因素分析法以及问卷调查法</w:t>
      </w:r>
      <w:r>
        <w:rPr>
          <w:rFonts w:hint="eastAsia" w:ascii="仿宋_GB2312" w:hAnsi="仿宋" w:eastAsia="仿宋_GB2312" w:cs="宋体"/>
          <w:color w:val="333333"/>
          <w:kern w:val="0"/>
          <w:sz w:val="32"/>
          <w:szCs w:val="32"/>
        </w:rPr>
        <w:t>等方式进行，</w:t>
      </w:r>
      <w:r>
        <w:rPr>
          <w:rFonts w:hint="eastAsia" w:ascii="仿宋_GB2312" w:hAnsi="仿宋" w:eastAsia="仿宋_GB2312" w:cs="宋体"/>
          <w:color w:val="333333"/>
          <w:kern w:val="0"/>
          <w:sz w:val="32"/>
          <w:szCs w:val="32"/>
          <w:lang w:eastAsia="zh-CN"/>
        </w:rPr>
        <w:t>定量与定性相结合，项目主管单位自评的方法。</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34" w:name="_Toc8054041"/>
      <w:bookmarkStart w:id="35" w:name="_Toc7383817"/>
      <w:r>
        <w:rPr>
          <w:rFonts w:hint="eastAsia" w:ascii="仿宋_GB2312" w:hAnsi="仿宋" w:eastAsia="仿宋_GB2312" w:cs="Times New Roman"/>
          <w:b/>
          <w:bCs/>
          <w:kern w:val="0"/>
          <w:sz w:val="32"/>
          <w:szCs w:val="32"/>
          <w:lang w:val="en-US" w:eastAsia="zh-CN" w:bidi="ar-SA"/>
        </w:rPr>
        <w:t>（四）绩效评价实施过程</w:t>
      </w:r>
      <w:bookmarkEnd w:id="34"/>
      <w:bookmarkEnd w:id="35"/>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1、数据填报和采集</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评价组严格按照昆明市盘龙区财政局关于印发《盘龙区区级部门预算绩效自评管理暂行办法》的要求，结合本单位项目支出财务资料和</w:t>
      </w:r>
      <w:r>
        <w:rPr>
          <w:rFonts w:hint="eastAsia" w:ascii="仿宋_GB2312" w:hAnsi="仿宋" w:eastAsia="仿宋_GB2312" w:cs="宋体"/>
          <w:color w:val="333333"/>
          <w:kern w:val="0"/>
          <w:sz w:val="32"/>
          <w:szCs w:val="32"/>
          <w:lang w:val="en-US" w:eastAsia="zh-CN"/>
        </w:rPr>
        <w:t>2020</w:t>
      </w:r>
      <w:r>
        <w:rPr>
          <w:rFonts w:hint="eastAsia" w:ascii="仿宋_GB2312" w:hAnsi="仿宋" w:eastAsia="仿宋_GB2312" w:cs="宋体"/>
          <w:color w:val="333333"/>
          <w:kern w:val="0"/>
          <w:sz w:val="32"/>
          <w:szCs w:val="32"/>
        </w:rPr>
        <w:t>年决算资料进行相关数据采集和填报。</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2、社会调查</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根据本项目的具体情况，本单位项目组成员针对本项目设计调查问卷，对本项目受益对象随机发放并收回了10份有效调查问卷，平均得分12分。</w:t>
      </w:r>
      <w:r>
        <w:rPr>
          <w:rFonts w:hint="eastAsia" w:ascii="仿宋_GB2312" w:hAnsi="仿宋" w:eastAsia="仿宋_GB2312" w:cs="宋体"/>
          <w:color w:val="333333"/>
          <w:kern w:val="0"/>
          <w:sz w:val="32"/>
          <w:szCs w:val="32"/>
        </w:rPr>
        <w:br w:type="textWrapping"/>
      </w:r>
      <w:r>
        <w:rPr>
          <w:rFonts w:hint="eastAsia" w:ascii="宋体" w:hAnsi="宋体" w:cs="宋体"/>
          <w:color w:val="333333"/>
          <w:kern w:val="0"/>
          <w:sz w:val="32"/>
          <w:szCs w:val="32"/>
        </w:rPr>
        <w:t> </w:t>
      </w:r>
      <w:r>
        <w:rPr>
          <w:rFonts w:hint="eastAsia" w:ascii="仿宋_GB2312" w:hAnsi="仿宋" w:eastAsia="仿宋_GB2312" w:cs="宋体"/>
          <w:color w:val="333333"/>
          <w:kern w:val="0"/>
          <w:sz w:val="32"/>
          <w:szCs w:val="32"/>
        </w:rPr>
        <w:t xml:space="preserve"> 3、数据分析和撰写报告</w:t>
      </w:r>
      <w:r>
        <w:rPr>
          <w:rFonts w:hint="eastAsia" w:ascii="仿宋_GB2312" w:hAnsi="仿宋" w:eastAsia="仿宋_GB2312" w:cs="宋体"/>
          <w:color w:val="333333"/>
          <w:kern w:val="0"/>
          <w:sz w:val="32"/>
          <w:szCs w:val="32"/>
        </w:rPr>
        <w:br w:type="textWrapping"/>
      </w:r>
      <w:r>
        <w:rPr>
          <w:rFonts w:hint="eastAsia" w:ascii="宋体" w:hAnsi="宋体" w:cs="宋体"/>
          <w:color w:val="333333"/>
          <w:kern w:val="0"/>
          <w:sz w:val="32"/>
          <w:szCs w:val="32"/>
        </w:rPr>
        <w:t> </w:t>
      </w:r>
      <w:r>
        <w:rPr>
          <w:rFonts w:hint="eastAsia" w:ascii="仿宋_GB2312" w:hAnsi="仿宋" w:eastAsia="仿宋_GB2312" w:cs="宋体"/>
          <w:color w:val="333333"/>
          <w:kern w:val="0"/>
          <w:sz w:val="32"/>
          <w:szCs w:val="32"/>
        </w:rPr>
        <w:t xml:space="preserve"> </w:t>
      </w:r>
      <w:r>
        <w:rPr>
          <w:rFonts w:hint="eastAsia" w:ascii="宋体" w:hAnsi="宋体" w:cs="宋体"/>
          <w:color w:val="333333"/>
          <w:kern w:val="0"/>
          <w:sz w:val="32"/>
          <w:szCs w:val="32"/>
        </w:rPr>
        <w:t> </w:t>
      </w:r>
      <w:r>
        <w:rPr>
          <w:rFonts w:hint="eastAsia" w:ascii="仿宋_GB2312" w:hAnsi="仿宋" w:eastAsia="仿宋_GB2312" w:cs="宋体"/>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36" w:name="_Toc8054042"/>
      <w:bookmarkStart w:id="37" w:name="_Toc7383818"/>
      <w:r>
        <w:rPr>
          <w:rFonts w:hint="eastAsia" w:ascii="仿宋_GB2312" w:hAnsi="仿宋" w:eastAsia="仿宋_GB2312" w:cs="Times New Roman"/>
          <w:b/>
          <w:bCs/>
          <w:kern w:val="0"/>
          <w:sz w:val="32"/>
          <w:szCs w:val="32"/>
          <w:lang w:val="en-US" w:eastAsia="zh-CN" w:bidi="ar-SA"/>
        </w:rPr>
        <w:t>（五）绩效评价的局限性</w:t>
      </w:r>
      <w:bookmarkEnd w:id="36"/>
      <w:bookmarkEnd w:id="37"/>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由于该项目为经费类项目，故以本单位实际开展日常工作情况为绩效</w:t>
      </w:r>
      <w:r>
        <w:rPr>
          <w:rFonts w:hint="eastAsia" w:ascii="仿宋_GB2312" w:hAnsi="仿宋" w:eastAsia="仿宋_GB2312" w:cs="宋体"/>
          <w:color w:val="333333"/>
          <w:kern w:val="0"/>
          <w:sz w:val="32"/>
          <w:szCs w:val="32"/>
          <w:lang w:eastAsia="zh-CN"/>
        </w:rPr>
        <w:t>评价结果</w:t>
      </w:r>
      <w:r>
        <w:rPr>
          <w:rFonts w:hint="eastAsia" w:ascii="仿宋_GB2312" w:hAnsi="仿宋" w:eastAsia="仿宋_GB2312" w:cs="宋体"/>
          <w:color w:val="333333"/>
          <w:kern w:val="0"/>
          <w:sz w:val="32"/>
          <w:szCs w:val="32"/>
        </w:rPr>
        <w:t>进行考评，且资金管理由本单位进行统一管理。</w:t>
      </w:r>
    </w:p>
    <w:p>
      <w:pPr>
        <w:pStyle w:val="3"/>
        <w:spacing w:before="0" w:after="0" w:line="240" w:lineRule="auto"/>
        <w:ind w:firstLine="0" w:firstLineChars="0"/>
        <w:rPr>
          <w:rFonts w:hint="eastAsia" w:ascii="黑体" w:hAnsi="黑体" w:eastAsia="黑体" w:cs="Times New Roman"/>
          <w:b w:val="0"/>
          <w:bCs w:val="0"/>
          <w:sz w:val="32"/>
          <w:szCs w:val="32"/>
        </w:rPr>
      </w:pPr>
      <w:bookmarkStart w:id="38" w:name="_Toc7383819"/>
      <w:bookmarkStart w:id="39" w:name="_Toc8054043"/>
      <w:r>
        <w:rPr>
          <w:rFonts w:hint="eastAsia" w:ascii="黑体" w:hAnsi="黑体" w:eastAsia="黑体" w:cs="Times New Roman"/>
          <w:b w:val="0"/>
          <w:bCs w:val="0"/>
          <w:sz w:val="32"/>
          <w:szCs w:val="32"/>
        </w:rPr>
        <w:t>四、评价结论及绩效分析</w:t>
      </w:r>
      <w:bookmarkEnd w:id="38"/>
      <w:bookmarkEnd w:id="39"/>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40" w:name="_Toc8054044"/>
      <w:bookmarkStart w:id="41" w:name="_Toc7383820"/>
      <w:r>
        <w:rPr>
          <w:rFonts w:hint="eastAsia" w:ascii="仿宋_GB2312" w:hAnsi="仿宋" w:eastAsia="仿宋_GB2312" w:cs="Times New Roman"/>
          <w:b/>
          <w:bCs/>
          <w:kern w:val="0"/>
          <w:sz w:val="32"/>
          <w:szCs w:val="32"/>
          <w:lang w:val="en-US" w:eastAsia="zh-CN" w:bidi="ar-SA"/>
        </w:rPr>
        <w:t>(一)评价结论</w:t>
      </w:r>
      <w:bookmarkEnd w:id="40"/>
      <w:bookmarkEnd w:id="41"/>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1、评价结果 </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widowControl/>
        <w:shd w:val="clear" w:color="auto" w:fill="FFFFFF"/>
        <w:ind w:firstLine="555"/>
        <w:jc w:val="left"/>
        <w:outlineLvl w:val="2"/>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rPr>
        <w:t>综上，根据《盘龙区区级部门预算绩效自评管理暂行办法》，</w:t>
      </w:r>
      <w:r>
        <w:rPr>
          <w:rFonts w:hint="eastAsia" w:ascii="仿宋_GB2312" w:hAnsi="仿宋" w:eastAsia="仿宋_GB2312" w:cs="宋体"/>
          <w:color w:val="333333"/>
          <w:kern w:val="0"/>
          <w:sz w:val="32"/>
          <w:szCs w:val="32"/>
          <w:lang w:val="en-US" w:eastAsia="zh-CN"/>
        </w:rPr>
        <w:t>2020年我办</w:t>
      </w:r>
      <w:r>
        <w:rPr>
          <w:rFonts w:hint="eastAsia" w:ascii="仿宋_GB2312" w:hAnsi="仿宋" w:eastAsia="仿宋_GB2312" w:cs="宋体"/>
          <w:color w:val="333333"/>
          <w:kern w:val="0"/>
          <w:sz w:val="32"/>
          <w:szCs w:val="32"/>
          <w:lang w:eastAsia="zh-CN"/>
        </w:rPr>
        <w:t>较好地实现了支出安排、资金使用和绩效管理，夯实了区政府各项事业稳健发展，各项事务顺利开展的基础，确保了更好发挥参谋助手作用。</w:t>
      </w:r>
      <w:r>
        <w:rPr>
          <w:rFonts w:hint="eastAsia" w:ascii="仿宋_GB2312" w:hAnsi="仿宋" w:eastAsia="仿宋_GB2312" w:cs="宋体"/>
          <w:color w:val="333333"/>
          <w:kern w:val="0"/>
          <w:sz w:val="32"/>
          <w:szCs w:val="32"/>
          <w:lang w:val="en-US" w:eastAsia="zh-CN"/>
        </w:rPr>
        <w:t>部门整体支出绩效评价</w:t>
      </w:r>
      <w:r>
        <w:rPr>
          <w:rFonts w:hint="eastAsia" w:ascii="仿宋_GB2312" w:hAnsi="仿宋" w:eastAsia="仿宋_GB2312" w:cs="宋体"/>
          <w:color w:val="333333"/>
          <w:kern w:val="0"/>
          <w:sz w:val="32"/>
          <w:szCs w:val="32"/>
        </w:rPr>
        <w:t>自评结果为优</w:t>
      </w:r>
      <w:r>
        <w:rPr>
          <w:rFonts w:hint="eastAsia" w:ascii="仿宋_GB2312" w:hAnsi="仿宋" w:eastAsia="仿宋_GB2312" w:cs="宋体"/>
          <w:color w:val="333333"/>
          <w:kern w:val="0"/>
          <w:sz w:val="32"/>
          <w:szCs w:val="32"/>
          <w:lang w:eastAsia="zh-CN"/>
        </w:rPr>
        <w:t>。</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2、主要绩效</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2020年我办部门预算资金1138.18万元，全年执行资金1138.18万元，</w:t>
      </w:r>
      <w:r>
        <w:rPr>
          <w:rFonts w:hint="eastAsia" w:ascii="仿宋_GB2312" w:hAnsi="仿宋" w:eastAsia="仿宋_GB2312" w:cs="宋体"/>
          <w:color w:val="333333"/>
          <w:kern w:val="0"/>
          <w:sz w:val="32"/>
          <w:szCs w:val="32"/>
        </w:rPr>
        <w:t>经费主要用于</w:t>
      </w:r>
      <w:r>
        <w:rPr>
          <w:rFonts w:hint="eastAsia" w:ascii="仿宋_GB2312" w:hAnsi="仿宋" w:eastAsia="仿宋_GB2312" w:cs="宋体"/>
          <w:color w:val="333333"/>
          <w:kern w:val="0"/>
          <w:sz w:val="32"/>
          <w:szCs w:val="32"/>
          <w:lang w:eastAsia="zh-CN"/>
        </w:rPr>
        <w:t>保障机构正常运转，</w:t>
      </w:r>
      <w:r>
        <w:rPr>
          <w:rFonts w:hint="eastAsia" w:ascii="仿宋_GB2312" w:hAnsi="仿宋" w:eastAsia="仿宋_GB2312" w:cs="宋体"/>
          <w:color w:val="333333"/>
          <w:kern w:val="0"/>
          <w:sz w:val="32"/>
          <w:szCs w:val="32"/>
        </w:rPr>
        <w:t>日常办公经费</w:t>
      </w:r>
      <w:r>
        <w:rPr>
          <w:rFonts w:hint="eastAsia" w:ascii="仿宋_GB2312" w:hAnsi="仿宋" w:eastAsia="仿宋_GB2312" w:cs="宋体"/>
          <w:color w:val="333333"/>
          <w:kern w:val="0"/>
          <w:sz w:val="32"/>
          <w:szCs w:val="32"/>
          <w:lang w:eastAsia="zh-CN"/>
        </w:rPr>
        <w:t>，业务培训费</w:t>
      </w:r>
      <w:r>
        <w:rPr>
          <w:rFonts w:hint="eastAsia" w:ascii="仿宋_GB2312" w:hAnsi="仿宋" w:eastAsia="仿宋_GB2312" w:cs="宋体"/>
          <w:color w:val="333333"/>
          <w:kern w:val="0"/>
          <w:sz w:val="32"/>
          <w:szCs w:val="32"/>
        </w:rPr>
        <w:t>等。</w:t>
      </w:r>
      <w:r>
        <w:rPr>
          <w:rFonts w:hint="eastAsia" w:ascii="仿宋_GB2312" w:hAnsi="仿宋" w:eastAsia="仿宋_GB2312" w:cs="宋体"/>
          <w:color w:val="333333"/>
          <w:kern w:val="0"/>
          <w:sz w:val="32"/>
          <w:szCs w:val="32"/>
          <w:lang w:val="en-US" w:eastAsia="zh-CN"/>
        </w:rPr>
        <w:t>更好地做好服务发展、服务决策、服务落实工作，做好办文、办会、办事各项事务，</w:t>
      </w:r>
      <w:r>
        <w:rPr>
          <w:rFonts w:hint="eastAsia" w:ascii="仿宋_GB2312" w:hAnsi="仿宋" w:eastAsia="仿宋_GB2312" w:cs="宋体"/>
          <w:color w:val="333333"/>
          <w:kern w:val="0"/>
          <w:sz w:val="32"/>
          <w:szCs w:val="32"/>
        </w:rPr>
        <w:t>完成工作效益较好，保证了本单位日常工作的顺利开展。</w:t>
      </w:r>
    </w:p>
    <w:p>
      <w:pPr>
        <w:pStyle w:val="4"/>
        <w:spacing w:before="0" w:after="0" w:line="240" w:lineRule="auto"/>
        <w:ind w:firstLine="0" w:firstLineChars="0"/>
        <w:rPr>
          <w:rFonts w:hint="eastAsia" w:ascii="仿宋_GB2312" w:hAnsi="仿宋" w:eastAsia="仿宋_GB2312" w:cs="Times New Roman"/>
          <w:b/>
          <w:bCs/>
          <w:kern w:val="0"/>
          <w:sz w:val="32"/>
          <w:szCs w:val="32"/>
          <w:lang w:val="en-US" w:eastAsia="zh-CN" w:bidi="ar-SA"/>
        </w:rPr>
      </w:pPr>
      <w:bookmarkStart w:id="42" w:name="_Toc8054045"/>
      <w:bookmarkStart w:id="43" w:name="_Toc7383821"/>
      <w:r>
        <w:rPr>
          <w:rFonts w:hint="eastAsia" w:ascii="仿宋_GB2312" w:hAnsi="仿宋" w:eastAsia="仿宋_GB2312" w:cs="Times New Roman"/>
          <w:b/>
          <w:bCs/>
          <w:kern w:val="0"/>
          <w:sz w:val="32"/>
          <w:szCs w:val="32"/>
          <w:lang w:val="en-US" w:eastAsia="zh-CN" w:bidi="ar-SA"/>
        </w:rPr>
        <w:t>（二）具体绩效分析</w:t>
      </w:r>
      <w:bookmarkEnd w:id="42"/>
      <w:bookmarkEnd w:id="43"/>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具体详见附件</w:t>
      </w:r>
      <w:bookmarkStart w:id="44" w:name="_Toc522800820"/>
      <w:bookmarkEnd w:id="44"/>
      <w:r>
        <w:rPr>
          <w:rFonts w:hint="eastAsia" w:ascii="仿宋_GB2312" w:hAnsi="仿宋" w:eastAsia="仿宋_GB2312" w:cs="宋体"/>
          <w:color w:val="333333"/>
          <w:kern w:val="0"/>
          <w:sz w:val="32"/>
          <w:szCs w:val="32"/>
          <w:lang w:eastAsia="zh-CN"/>
        </w:rPr>
        <w:t>《盘龙区人民政府办公室</w:t>
      </w:r>
      <w:r>
        <w:rPr>
          <w:rFonts w:hint="eastAsia" w:ascii="仿宋_GB2312" w:hAnsi="仿宋" w:eastAsia="仿宋_GB2312" w:cs="宋体"/>
          <w:color w:val="333333"/>
          <w:kern w:val="0"/>
          <w:sz w:val="32"/>
          <w:szCs w:val="32"/>
          <w:lang w:val="en-US" w:eastAsia="zh-CN"/>
        </w:rPr>
        <w:t>2020年</w:t>
      </w:r>
      <w:r>
        <w:rPr>
          <w:rFonts w:hint="eastAsia" w:ascii="仿宋_GB2312" w:hAnsi="仿宋" w:eastAsia="仿宋_GB2312" w:cs="宋体"/>
          <w:color w:val="333333"/>
          <w:kern w:val="0"/>
          <w:sz w:val="32"/>
          <w:szCs w:val="32"/>
        </w:rPr>
        <w:t>部门整体支出绩效自评表</w:t>
      </w:r>
      <w:r>
        <w:rPr>
          <w:rFonts w:hint="eastAsia" w:ascii="仿宋_GB2312" w:hAnsi="仿宋" w:eastAsia="仿宋_GB2312" w:cs="宋体"/>
          <w:color w:val="333333"/>
          <w:kern w:val="0"/>
          <w:sz w:val="32"/>
          <w:szCs w:val="32"/>
          <w:lang w:eastAsia="zh-CN"/>
        </w:rPr>
        <w:t>》</w:t>
      </w:r>
    </w:p>
    <w:p>
      <w:pPr>
        <w:pStyle w:val="3"/>
        <w:spacing w:before="0" w:after="0" w:line="240" w:lineRule="auto"/>
        <w:ind w:firstLine="0" w:firstLineChars="0"/>
        <w:rPr>
          <w:rFonts w:hint="eastAsia" w:ascii="黑体" w:hAnsi="黑体" w:eastAsia="黑体" w:cs="Times New Roman"/>
          <w:b w:val="0"/>
          <w:bCs w:val="0"/>
          <w:sz w:val="32"/>
          <w:szCs w:val="32"/>
        </w:rPr>
      </w:pPr>
      <w:bookmarkStart w:id="45" w:name="_Toc8054046"/>
      <w:r>
        <w:rPr>
          <w:rFonts w:hint="eastAsia" w:ascii="黑体" w:hAnsi="黑体" w:eastAsia="黑体" w:cs="Times New Roman"/>
          <w:b w:val="0"/>
          <w:bCs w:val="0"/>
          <w:sz w:val="32"/>
          <w:szCs w:val="32"/>
        </w:rPr>
        <w:t>五、主要经验做法</w:t>
      </w:r>
      <w:bookmarkEnd w:id="45"/>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640" w:firstLineChars="20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2020年区政府办严格按照年初预算在规定的时间节点，结合工作实际需要合理安排使用各项经费，既保证了经费科学合理使用，同时又控制住了不必要的经费支出，确保了2020年政府办围绕全区中心工作，认真履职，统筹兼顾，推动政府各项工作良好运行。</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320" w:firstLineChars="10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一）细化预算编制工作，认真做好预算的编制。进一步加强预算绩效管理意识，严格按照预算编制的相关制度和要求进行预算编制，优先保障固定性的、相对刚性的费用支出项目，进一步提高预算编制的科学性、严谨性和可控性。 </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　（二）加强财务管理，严格财务审核。在费用报账支付时，按照预算编制时的金额和用途进行资金使用审核、列报支付、财务核算，杜绝超支现象的发生。 </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　（三）加强绩效评价结果的应用，促进预算项目规范有序开展。将绩效评价结果及时通报承担的科局室，对于评价结果较好的项目予以支持，激励其更好地开展工作；对评价发现问题、达不到绩效目标或评价结果较差的项目予以纠正，充分发挥财政资金使用效益。 </w:t>
      </w:r>
    </w:p>
    <w:p>
      <w:pPr>
        <w:pStyle w:val="3"/>
        <w:spacing w:before="0" w:after="0" w:line="240" w:lineRule="auto"/>
        <w:ind w:firstLine="0" w:firstLineChars="0"/>
        <w:rPr>
          <w:rFonts w:hint="eastAsia" w:ascii="黑体" w:hAnsi="黑体" w:eastAsia="黑体" w:cs="Times New Roman"/>
          <w:b w:val="0"/>
          <w:bCs w:val="0"/>
          <w:sz w:val="32"/>
          <w:szCs w:val="32"/>
        </w:rPr>
      </w:pPr>
      <w:bookmarkStart w:id="46" w:name="_Toc8054047"/>
      <w:r>
        <w:rPr>
          <w:rFonts w:hint="eastAsia" w:ascii="黑体" w:hAnsi="黑体" w:eastAsia="黑体" w:cs="Times New Roman"/>
          <w:b w:val="0"/>
          <w:bCs w:val="0"/>
          <w:sz w:val="32"/>
          <w:szCs w:val="32"/>
        </w:rPr>
        <w:t>六、存在的主要问题</w:t>
      </w:r>
      <w:bookmarkEnd w:id="46"/>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right="0" w:firstLine="640" w:firstLineChars="200"/>
        <w:jc w:val="both"/>
        <w:rPr>
          <w:rFonts w:hint="eastAsia" w:ascii="仿宋_GB2312" w:hAnsi="仿宋" w:eastAsia="仿宋_GB2312" w:cs="宋体"/>
          <w:color w:val="333333"/>
          <w:kern w:val="0"/>
          <w:sz w:val="32"/>
          <w:szCs w:val="32"/>
          <w:lang w:val="en-US" w:eastAsia="zh-CN" w:bidi="ar-SA"/>
        </w:rPr>
      </w:pPr>
      <w:bookmarkStart w:id="47" w:name="_Toc8054048"/>
      <w:r>
        <w:rPr>
          <w:rFonts w:hint="eastAsia" w:ascii="仿宋_GB2312" w:hAnsi="仿宋" w:eastAsia="仿宋_GB2312" w:cs="宋体"/>
          <w:color w:val="333333"/>
          <w:kern w:val="0"/>
          <w:sz w:val="32"/>
          <w:szCs w:val="32"/>
          <w:lang w:val="en-US" w:eastAsia="zh-CN" w:bidi="ar-SA"/>
        </w:rPr>
        <w:t>一是预算绩效管理工作机制有待进一步强化。本部门预算绩效管理工作保障制度有待进一步完善；二是预算绩效目标制定有待进一步细化。三是在实际预算执行过程中，应注重对预算绩效运行情况实施全目标、全过程、全方位的监控，从而有效跟踪年度目标任务执行情况及完成情况。</w:t>
      </w:r>
    </w:p>
    <w:p>
      <w:pPr>
        <w:pStyle w:val="3"/>
        <w:spacing w:before="0" w:after="0" w:line="240" w:lineRule="auto"/>
        <w:ind w:firstLine="0" w:firstLineChars="0"/>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七、改进措施和有关建议</w:t>
      </w:r>
      <w:bookmarkEnd w:id="47"/>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1.细化预算编制工作。进一步加强单位内部机构各科室的预算管理意识，严格按照预算编制的相关制度和要求进行预算编制；</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2.加强财务管理。加强单位财务管理，健全单位财务管理制度体系，规范单位财务行为，杜绝超支现象的发生；</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3.抓好“三公”经费控制。进一步细化“三公”经费的管理，合理压缩“三公”经费支出；</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color w:val="FF0000"/>
          <w:spacing w:val="-20"/>
          <w:sz w:val="32"/>
          <w:szCs w:val="32"/>
        </w:rPr>
      </w:pPr>
      <w:r>
        <w:rPr>
          <w:rFonts w:hint="eastAsia" w:ascii="仿宋_GB2312" w:hAnsi="仿宋" w:eastAsia="仿宋_GB2312" w:cs="宋体"/>
          <w:color w:val="333333"/>
          <w:kern w:val="0"/>
          <w:sz w:val="32"/>
          <w:szCs w:val="32"/>
          <w:lang w:val="en-US" w:eastAsia="zh-CN" w:bidi="ar-SA"/>
        </w:rPr>
        <w:t>4.加强绩效管理培训，提高绩效工作水平。</w:t>
      </w:r>
    </w:p>
    <w:p>
      <w:pPr>
        <w:pStyle w:val="9"/>
        <w:rPr>
          <w:rFonts w:hint="eastAsia" w:ascii="仿宋_GB2312" w:hAnsi="仿宋" w:eastAsia="仿宋_GB2312" w:cs="宋体"/>
          <w:color w:val="333333"/>
          <w:kern w:val="0"/>
          <w:sz w:val="32"/>
          <w:szCs w:val="32"/>
          <w:lang w:val="en-US" w:eastAsia="zh-CN" w:bidi="ar-SA"/>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_x0000_s3073" o:spid="_x0000_s3073"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6"/>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C0EE1"/>
    <w:rsid w:val="00077425"/>
    <w:rsid w:val="000D395C"/>
    <w:rsid w:val="00124902"/>
    <w:rsid w:val="00127946"/>
    <w:rsid w:val="002358EB"/>
    <w:rsid w:val="002740C7"/>
    <w:rsid w:val="002B77B0"/>
    <w:rsid w:val="003609EB"/>
    <w:rsid w:val="003E1D46"/>
    <w:rsid w:val="004D35C0"/>
    <w:rsid w:val="00503DFD"/>
    <w:rsid w:val="00610139"/>
    <w:rsid w:val="006278E2"/>
    <w:rsid w:val="0065213B"/>
    <w:rsid w:val="006637AE"/>
    <w:rsid w:val="0068624E"/>
    <w:rsid w:val="007400F9"/>
    <w:rsid w:val="007646BF"/>
    <w:rsid w:val="00840BEA"/>
    <w:rsid w:val="009036C0"/>
    <w:rsid w:val="00920A45"/>
    <w:rsid w:val="009424DC"/>
    <w:rsid w:val="00997BC9"/>
    <w:rsid w:val="00BC0EE1"/>
    <w:rsid w:val="00BD73E9"/>
    <w:rsid w:val="00C66CAA"/>
    <w:rsid w:val="00C66DFE"/>
    <w:rsid w:val="00D25D14"/>
    <w:rsid w:val="00D623AB"/>
    <w:rsid w:val="00D7796E"/>
    <w:rsid w:val="00D803A4"/>
    <w:rsid w:val="00D80529"/>
    <w:rsid w:val="00D87DC5"/>
    <w:rsid w:val="00DD716B"/>
    <w:rsid w:val="00DE2861"/>
    <w:rsid w:val="00DF45BE"/>
    <w:rsid w:val="00E15F00"/>
    <w:rsid w:val="00E241EB"/>
    <w:rsid w:val="00E931D2"/>
    <w:rsid w:val="00EC0467"/>
    <w:rsid w:val="00EF6DEF"/>
    <w:rsid w:val="00F22963"/>
    <w:rsid w:val="05FF5E00"/>
    <w:rsid w:val="20D01F23"/>
    <w:rsid w:val="478B52A4"/>
    <w:rsid w:val="56CA2FFA"/>
    <w:rsid w:val="597576A2"/>
    <w:rsid w:val="65D36A40"/>
    <w:rsid w:val="6A703B36"/>
    <w:rsid w:val="6EE05A76"/>
    <w:rsid w:val="72405D07"/>
    <w:rsid w:val="7FFFAD8A"/>
    <w:rsid w:val="EF371820"/>
    <w:rsid w:val="EFDD657C"/>
    <w:rsid w:val="F7BFC88A"/>
    <w:rsid w:val="FBFE2F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FF0000"/>
    </o:shapedefaults>
    <o:shapelayout v:ext="edit">
      <o:idmap v:ext="edit" data="2"/>
      <o:rules v:ext="edit">
        <o:r id="V:Rule1" type="connector" idref="#_x0000_s2062"/>
        <o:r id="V:Rule2" type="connector" idref="#_x0000_s2063"/>
        <o:r id="V:Rule3" type="connector" idref="#_x0000_s206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widowControl/>
      <w:spacing w:before="100" w:beforeAutospacing="1" w:after="100" w:afterAutospacing="1"/>
      <w:jc w:val="left"/>
    </w:pPr>
    <w:rPr>
      <w:rFonts w:ascii="宋体" w:hAnsi="宋体" w:cs="宋体"/>
      <w:kern w:val="0"/>
      <w:sz w:val="24"/>
    </w:r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left" w:pos="426"/>
        <w:tab w:val="right" w:leader="dot" w:pos="8296"/>
      </w:tabs>
    </w:pPr>
    <w:rPr>
      <w:rFonts w:ascii="Calibri" w:hAnsi="Calibri" w:eastAsia="宋体" w:cs="Calibri"/>
      <w:szCs w:val="21"/>
    </w:rPr>
  </w:style>
  <w:style w:type="paragraph" w:styleId="9">
    <w:name w:val="Subtitle"/>
    <w:next w:val="1"/>
    <w:qFormat/>
    <w:uiPriority w:val="0"/>
    <w:pPr>
      <w:wordWrap w:val="0"/>
      <w:jc w:val="center"/>
    </w:pPr>
    <w:rPr>
      <w:rFonts w:ascii="Times New Roman" w:hAnsi="Times New Roman" w:eastAsia="宋体" w:cs="Times New Roman"/>
      <w:sz w:val="24"/>
      <w:lang w:val="en-US" w:eastAsia="zh-CN" w:bidi="ar-SA"/>
    </w:rPr>
  </w:style>
  <w:style w:type="paragraph" w:styleId="10">
    <w:name w:val="toc 2"/>
    <w:basedOn w:val="1"/>
    <w:next w:val="1"/>
    <w:qFormat/>
    <w:uiPriority w:val="39"/>
    <w:pPr>
      <w:ind w:left="420" w:leftChars="200"/>
    </w:pPr>
    <w:rPr>
      <w:rFonts w:ascii="Calibri" w:hAnsi="Calibri" w:eastAsia="宋体" w:cs="Calibri"/>
      <w:szCs w:val="21"/>
    </w:rPr>
  </w:style>
  <w:style w:type="paragraph" w:styleId="11">
    <w:name w:val="Normal (Web)"/>
    <w:basedOn w:val="1"/>
    <w:next w:val="9"/>
    <w:unhideWhenUsed/>
    <w:qFormat/>
    <w:uiPriority w:val="99"/>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Hyperlink"/>
    <w:basedOn w:val="14"/>
    <w:qFormat/>
    <w:uiPriority w:val="99"/>
    <w:rPr>
      <w:color w:val="0000FF"/>
      <w:u w:val="single"/>
    </w:rPr>
  </w:style>
  <w:style w:type="character" w:customStyle="1" w:styleId="16">
    <w:name w:val="页眉 Char"/>
    <w:basedOn w:val="14"/>
    <w:link w:val="7"/>
    <w:semiHidden/>
    <w:qFormat/>
    <w:uiPriority w:val="99"/>
    <w:rPr>
      <w:sz w:val="18"/>
      <w:szCs w:val="18"/>
    </w:rPr>
  </w:style>
  <w:style w:type="character" w:customStyle="1" w:styleId="17">
    <w:name w:val="页脚 Char"/>
    <w:basedOn w:val="14"/>
    <w:link w:val="6"/>
    <w:qFormat/>
    <w:uiPriority w:val="99"/>
    <w:rPr>
      <w:sz w:val="18"/>
      <w:szCs w:val="18"/>
    </w:rPr>
  </w:style>
  <w:style w:type="character" w:customStyle="1" w:styleId="18">
    <w:name w:val="批注框文本 Char"/>
    <w:basedOn w:val="14"/>
    <w:link w:val="5"/>
    <w:semiHidden/>
    <w:qFormat/>
    <w:uiPriority w:val="99"/>
    <w:rPr>
      <w:sz w:val="18"/>
      <w:szCs w:val="18"/>
    </w:rPr>
  </w:style>
  <w:style w:type="paragraph" w:customStyle="1" w:styleId="19">
    <w:name w:val="正文 A"/>
    <w:qFormat/>
    <w:uiPriority w:val="99"/>
    <w:pPr>
      <w:spacing w:after="200" w:line="276" w:lineRule="auto"/>
    </w:pPr>
    <w:rPr>
      <w:rFonts w:ascii="Calibri" w:hAnsi="Calibri" w:eastAsia="宋体" w:cs="Calibri"/>
      <w:color w:val="000000"/>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textRotate="1"/>
    <customShpInfo spid="_x0000_s2062"/>
    <customShpInfo spid="_x0000_s2063"/>
    <customShpInfo spid="_x0000_s2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41</Words>
  <Characters>236</Characters>
  <Lines>1</Lines>
  <Paragraphs>1</Paragraphs>
  <TotalTime>3</TotalTime>
  <ScaleCrop>false</ScaleCrop>
  <LinksUpToDate>false</LinksUpToDate>
  <CharactersWithSpaces>276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2020-01-04T17:56:00Z</dcterms:created>
  <dc:creator>fhfhn</dc:creator>
  <cp:lastModifiedBy>lenovo</cp:lastModifiedBy>
  <cp:lastPrinted>2021-09-27T06:01:22Z</cp:lastPrinted>
  <dcterms:modified xsi:type="dcterms:W3CDTF">2021-09-27T06:03:39Z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