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FF0000"/>
          <w:spacing w:val="-20"/>
          <w:sz w:val="32"/>
          <w:szCs w:val="32"/>
        </w:rPr>
      </w:pPr>
    </w:p>
    <w:p>
      <w:pPr>
        <w:rPr>
          <w:color w:val="FF0000"/>
          <w:spacing w:val="-20"/>
          <w:sz w:val="32"/>
          <w:szCs w:val="32"/>
        </w:rPr>
      </w:pPr>
    </w:p>
    <w:p>
      <w:pPr>
        <w:rPr>
          <w:color w:val="FF0000"/>
          <w:spacing w:val="-20"/>
          <w:sz w:val="32"/>
          <w:szCs w:val="32"/>
        </w:rPr>
      </w:pPr>
    </w:p>
    <w:p>
      <w:pPr>
        <w:jc w:val="center"/>
        <w:rPr>
          <w:rFonts w:hint="eastAsia" w:ascii="黑体" w:hAnsi="黑体" w:eastAsia="黑体" w:cs="黑体"/>
          <w:bCs/>
          <w:sz w:val="44"/>
          <w:szCs w:val="44"/>
          <w:lang w:eastAsia="zh-CN"/>
        </w:rPr>
      </w:pPr>
      <w:r>
        <w:rPr>
          <w:rFonts w:hint="eastAsia" w:ascii="黑体" w:hAnsi="黑体" w:eastAsia="黑体" w:cs="黑体"/>
          <w:bCs/>
          <w:sz w:val="44"/>
          <w:szCs w:val="44"/>
          <w:lang w:eastAsia="zh-CN"/>
        </w:rPr>
        <w:t>昆明市盘龙区人民政府办公室业务经费</w:t>
      </w:r>
    </w:p>
    <w:p>
      <w:pPr>
        <w:jc w:val="center"/>
        <w:rPr>
          <w:rFonts w:ascii="黑体" w:hAnsi="黑体" w:eastAsia="黑体" w:cs="黑体"/>
          <w:bCs/>
          <w:sz w:val="44"/>
          <w:szCs w:val="44"/>
        </w:rPr>
      </w:pPr>
      <w:r>
        <w:rPr>
          <w:rFonts w:hint="eastAsia" w:ascii="黑体" w:hAnsi="黑体" w:eastAsia="黑体" w:cs="黑体"/>
          <w:bCs/>
          <w:sz w:val="44"/>
          <w:szCs w:val="44"/>
        </w:rPr>
        <w:t>项目支出绩效自评报告</w:t>
      </w:r>
    </w:p>
    <w:p>
      <w:pPr>
        <w:jc w:val="center"/>
        <w:rPr>
          <w:rFonts w:ascii="黑体" w:hAnsi="黑体" w:eastAsia="黑体"/>
          <w:bCs/>
          <w:sz w:val="44"/>
          <w:szCs w:val="44"/>
        </w:rPr>
      </w:pPr>
      <w:r>
        <w:rPr>
          <w:rFonts w:hint="eastAsia" w:ascii="黑体" w:hAnsi="黑体" w:eastAsia="黑体" w:cs="黑体"/>
          <w:bCs/>
          <w:sz w:val="44"/>
          <w:szCs w:val="44"/>
        </w:rPr>
        <w:t>（</w:t>
      </w:r>
      <w:r>
        <w:rPr>
          <w:rFonts w:hint="eastAsia" w:ascii="黑体" w:hAnsi="黑体" w:eastAsia="黑体" w:cs="黑体"/>
          <w:bCs/>
          <w:sz w:val="44"/>
          <w:szCs w:val="44"/>
          <w:lang w:val="en-US" w:eastAsia="zh-CN"/>
        </w:rPr>
        <w:t>2020</w:t>
      </w:r>
      <w:r>
        <w:rPr>
          <w:rFonts w:hint="eastAsia" w:ascii="黑体" w:hAnsi="黑体" w:eastAsia="黑体" w:cs="黑体"/>
          <w:bCs/>
          <w:sz w:val="44"/>
          <w:szCs w:val="44"/>
        </w:rPr>
        <w:t>年度）</w:t>
      </w:r>
    </w:p>
    <w:p>
      <w:pPr>
        <w:autoSpaceDE w:val="0"/>
        <w:autoSpaceDN w:val="0"/>
        <w:adjustRightInd w:val="0"/>
        <w:spacing w:line="600" w:lineRule="exact"/>
        <w:jc w:val="center"/>
        <w:rPr>
          <w:rFonts w:hint="eastAsia" w:eastAsia="方正小标宋简体"/>
          <w:sz w:val="44"/>
          <w:szCs w:val="44"/>
        </w:rPr>
      </w:pPr>
    </w:p>
    <w:p>
      <w:pPr>
        <w:spacing w:line="600" w:lineRule="exact"/>
        <w:rPr>
          <w:rFonts w:ascii="Times New Roman" w:hAnsi="Times New Roman" w:eastAsia="方正小标宋_GBK" w:cs="Times New Roman"/>
          <w:sz w:val="32"/>
          <w:szCs w:val="32"/>
        </w:rPr>
      </w:pPr>
    </w:p>
    <w:p>
      <w:pPr>
        <w:spacing w:before="120" w:after="120" w:line="480" w:lineRule="auto"/>
        <w:jc w:val="center"/>
        <w:rPr>
          <w:rFonts w:ascii="Times New Roman" w:hAnsi="Times New Roman" w:eastAsia="黑体"/>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w:pict>
          <v:shape id="_x0000_s2057" o:spid="_x0000_s2057" o:spt="32" type="#_x0000_t32" style="position:absolute;left:0pt;margin-left:186.75pt;margin-top:15.45pt;height:1pt;width:186.8pt;z-index:251674624;mso-width-relative:page;mso-height-relative:page;" filled="f" stroked="t" coordsize="21600,21600">
            <v:path arrowok="t"/>
            <v:fill on="f" focussize="0,0"/>
            <v:stroke color="#000000"/>
            <v:imagedata o:title=""/>
            <o:lock v:ext="edit" aspectratio="f"/>
          </v:shape>
        </w:pic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昆明市盘龙区人民政府办公室</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w:pict>
          <v:shape id="_x0000_s2058" o:spid="_x0000_s2058" o:spt="32" type="#_x0000_t32" style="position:absolute;left:0pt;margin-left:135pt;margin-top:17.45pt;height:0pt;width:196.5pt;z-index:25167564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昆明市盘龙区人民政府办公室</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w:pict>
          <v:shape id="_x0000_s2059" o:spid="_x0000_s2059" o:spt="32" type="#_x0000_t32" style="position:absolute;left:0pt;margin-left:135pt;margin-top:14.25pt;height:0pt;width:196.5pt;z-index:25167667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昆明市盘龙区人民政府</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w:pict>
          <v:shape id="_x0000_s2060" o:spid="_x0000_s2060" o:spt="32" type="#_x0000_t32" style="position:absolute;left:0pt;margin-left:135pt;margin-top:14.25pt;height:0pt;width:196.5pt;z-index:251677696;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业务经费</w:t>
      </w:r>
    </w:p>
    <w:p>
      <w:pPr>
        <w:spacing w:line="360" w:lineRule="auto"/>
        <w:ind w:left="1218" w:leftChars="580"/>
        <w:rPr>
          <w:rFonts w:hint="default" w:ascii="Times New Roman" w:hAnsi="Times New Roman" w:eastAsia="黑体"/>
          <w:b/>
          <w:bCs/>
          <w:color w:val="auto"/>
          <w:sz w:val="28"/>
          <w:szCs w:val="28"/>
          <w:u w:val="none"/>
          <w:lang w:val="en-US" w:eastAsia="zh-CN"/>
        </w:rPr>
      </w:pPr>
      <w:r>
        <w:rPr>
          <w:rFonts w:ascii="Times New Roman" w:hAnsi="Times New Roman" w:eastAsia="黑体" w:cs="黑体"/>
          <w:b/>
          <w:bCs/>
          <w:sz w:val="28"/>
          <w:szCs w:val="28"/>
        </w:rPr>
        <w:pict>
          <v:shape id="_x0000_s2052" o:spid="_x0000_s2052" o:spt="32" type="#_x0000_t32" style="position:absolute;left:0pt;margin-left:159.6pt;margin-top:24.25pt;height:1pt;width:176.15pt;z-index:251698176;mso-width-relative:page;mso-height-relative:page;" filled="f" stroked="t" coordsize="21600,21600">
            <v:path arrowok="t"/>
            <v:fill on="f" focussize="0,0"/>
            <v:stroke color="#000000"/>
            <v:imagedata o:title=""/>
            <o:lock v:ext="edit" aspectratio="f"/>
          </v:shape>
        </w:pict>
      </w:r>
      <w:r>
        <w:rPr>
          <w:rFonts w:hint="eastAsia" w:ascii="Times New Roman" w:hAnsi="Times New Roman" w:eastAsia="黑体" w:cs="黑体"/>
          <w:b/>
          <w:bCs/>
          <w:sz w:val="28"/>
          <w:szCs w:val="28"/>
          <w:lang w:eastAsia="zh-CN"/>
        </w:rPr>
        <w:t>绩效自评日期</w:t>
      </w:r>
      <w:r>
        <w:rPr>
          <w:rFonts w:hint="eastAsia" w:ascii="Times New Roman" w:hAnsi="Times New Roman" w:eastAsia="黑体" w:cs="黑体"/>
          <w:b/>
          <w:bCs/>
          <w:sz w:val="28"/>
          <w:szCs w:val="28"/>
        </w:rPr>
        <w:t>：</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b/>
          <w:bCs/>
          <w:color w:val="auto"/>
          <w:sz w:val="28"/>
          <w:szCs w:val="28"/>
          <w:u w:val="none"/>
          <w:lang w:val="en-US" w:eastAsia="zh-CN"/>
        </w:rPr>
        <w:t>2021年5月25日</w:t>
      </w: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jc w:val="both"/>
        <w:rPr>
          <w:rFonts w:ascii="Times New Roman" w:hAnsi="Times New Roman" w:eastAsia="黑体" w:cs="黑体"/>
          <w:b/>
          <w:bCs/>
          <w:sz w:val="28"/>
          <w:szCs w:val="28"/>
        </w:rPr>
      </w:pPr>
    </w:p>
    <w:p>
      <w:pPr>
        <w:jc w:val="both"/>
        <w:rPr>
          <w:rFonts w:ascii="Times New Roman" w:hAnsi="Times New Roman" w:eastAsia="黑体" w:cs="黑体"/>
          <w:b/>
          <w:bCs/>
          <w:sz w:val="28"/>
          <w:szCs w:val="28"/>
        </w:rPr>
      </w:pPr>
    </w:p>
    <w:p>
      <w:pPr>
        <w:jc w:val="both"/>
        <w:rPr>
          <w:rFonts w:ascii="Times New Roman" w:hAnsi="Times New Roman" w:eastAsia="黑体" w:cs="黑体"/>
          <w:b/>
          <w:bCs/>
          <w:sz w:val="28"/>
          <w:szCs w:val="28"/>
        </w:rPr>
      </w:pPr>
    </w:p>
    <w:p>
      <w:pPr>
        <w:jc w:val="both"/>
        <w:rPr>
          <w:rFonts w:ascii="Times New Roman" w:hAnsi="Times New Roman" w:eastAsia="黑体" w:cs="黑体"/>
          <w:b/>
          <w:bCs/>
          <w:sz w:val="28"/>
          <w:szCs w:val="28"/>
        </w:rPr>
      </w:pPr>
    </w:p>
    <w:p>
      <w:pPr>
        <w:pStyle w:val="16"/>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75"/>
        <w:gridCol w:w="156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75" w:type="dxa"/>
            <w:noWrap w:val="0"/>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566" w:type="dxa"/>
            <w:noWrap w:val="0"/>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620" w:type="dxa"/>
            <w:noWrap w:val="0"/>
            <w:vAlign w:val="center"/>
          </w:tcPr>
          <w:p>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val="0"/>
            <w:vAlign w:val="center"/>
          </w:tcPr>
          <w:p>
            <w:pPr>
              <w:pStyle w:val="16"/>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肖伟</w:t>
            </w:r>
          </w:p>
        </w:tc>
        <w:tc>
          <w:tcPr>
            <w:tcW w:w="1675" w:type="dxa"/>
            <w:noWrap w:val="0"/>
            <w:vAlign w:val="top"/>
          </w:tcPr>
          <w:p>
            <w:pPr>
              <w:pStyle w:val="16"/>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区政府办副主任</w:t>
            </w:r>
          </w:p>
        </w:tc>
        <w:tc>
          <w:tcPr>
            <w:tcW w:w="1566" w:type="dxa"/>
            <w:noWrap w:val="0"/>
            <w:vAlign w:val="top"/>
          </w:tcPr>
          <w:p>
            <w:pPr>
              <w:pStyle w:val="16"/>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6"/>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6"/>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center"/>
          </w:tcPr>
          <w:p>
            <w:pPr>
              <w:pStyle w:val="16"/>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李宇</w:t>
            </w:r>
          </w:p>
        </w:tc>
        <w:tc>
          <w:tcPr>
            <w:tcW w:w="1675" w:type="dxa"/>
            <w:noWrap w:val="0"/>
            <w:vAlign w:val="top"/>
          </w:tcPr>
          <w:p>
            <w:pPr>
              <w:pStyle w:val="16"/>
              <w:widowControl w:val="0"/>
              <w:spacing w:after="0" w:line="24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区政府办副主任</w:t>
            </w:r>
          </w:p>
        </w:tc>
        <w:tc>
          <w:tcPr>
            <w:tcW w:w="1566"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6"/>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val="0"/>
            <w:vAlign w:val="top"/>
          </w:tcPr>
          <w:p>
            <w:pPr>
              <w:pStyle w:val="1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古雪</w:t>
            </w:r>
          </w:p>
        </w:tc>
        <w:tc>
          <w:tcPr>
            <w:tcW w:w="1675" w:type="dxa"/>
            <w:noWrap w:val="0"/>
            <w:vAlign w:val="top"/>
          </w:tcPr>
          <w:p>
            <w:pPr>
              <w:pStyle w:val="1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综合二科科长</w:t>
            </w:r>
          </w:p>
        </w:tc>
        <w:tc>
          <w:tcPr>
            <w:tcW w:w="1566"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620" w:type="dxa"/>
            <w:noWrap w:val="0"/>
            <w:vAlign w:val="top"/>
          </w:tcPr>
          <w:p>
            <w:pPr>
              <w:pStyle w:val="16"/>
              <w:widowControl w:val="0"/>
              <w:spacing w:after="0" w:line="360" w:lineRule="auto"/>
              <w:jc w:val="center"/>
              <w:rPr>
                <w:rFonts w:hint="eastAsia" w:ascii="Times New Roman" w:hAnsi="Times New Roman" w:eastAsia="黑体" w:cs="黑体"/>
                <w:kern w:val="2"/>
                <w:sz w:val="24"/>
                <w:szCs w:val="24"/>
                <w:lang w:val="en" w:eastAsia="zh-CN"/>
              </w:rPr>
            </w:pPr>
            <w:r>
              <w:rPr>
                <w:rFonts w:hint="eastAsia" w:ascii="Times New Roman" w:hAnsi="Times New Roman" w:eastAsia="黑体" w:cs="黑体"/>
                <w:kern w:val="2"/>
                <w:sz w:val="24"/>
                <w:szCs w:val="24"/>
                <w:lang w:val="en" w:eastAsia="zh-CN"/>
              </w:rPr>
              <w:t>钟梅</w:t>
            </w:r>
          </w:p>
        </w:tc>
        <w:tc>
          <w:tcPr>
            <w:tcW w:w="1675" w:type="dxa"/>
            <w:noWrap w:val="0"/>
            <w:vAlign w:val="top"/>
          </w:tcPr>
          <w:p>
            <w:pPr>
              <w:pStyle w:val="1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会计</w:t>
            </w:r>
          </w:p>
        </w:tc>
        <w:tc>
          <w:tcPr>
            <w:tcW w:w="1566"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620" w:type="dxa"/>
            <w:noWrap w:val="0"/>
            <w:vAlign w:val="top"/>
          </w:tcPr>
          <w:p>
            <w:pPr>
              <w:pStyle w:val="16"/>
              <w:widowControl w:val="0"/>
              <w:spacing w:after="0" w:line="360" w:lineRule="auto"/>
              <w:jc w:val="center"/>
              <w:rPr>
                <w:rFonts w:hint="eastAsia" w:ascii="Times New Roman" w:hAnsi="Times New Roman" w:eastAsia="黑体" w:cs="黑体"/>
                <w:kern w:val="2"/>
                <w:sz w:val="24"/>
                <w:szCs w:val="24"/>
                <w:lang w:val="en" w:eastAsia="zh-CN"/>
              </w:rPr>
            </w:pPr>
            <w:r>
              <w:rPr>
                <w:rFonts w:hint="eastAsia" w:ascii="Times New Roman" w:hAnsi="Times New Roman" w:eastAsia="黑体" w:cs="黑体"/>
                <w:kern w:val="2"/>
                <w:sz w:val="24"/>
                <w:szCs w:val="24"/>
                <w:lang w:val="en" w:eastAsia="zh-CN"/>
              </w:rPr>
              <w:t>何芹</w:t>
            </w:r>
          </w:p>
        </w:tc>
        <w:tc>
          <w:tcPr>
            <w:tcW w:w="1675" w:type="dxa"/>
            <w:noWrap w:val="0"/>
            <w:vAlign w:val="top"/>
          </w:tcPr>
          <w:p>
            <w:pPr>
              <w:pStyle w:val="1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出纳</w:t>
            </w:r>
          </w:p>
        </w:tc>
        <w:tc>
          <w:tcPr>
            <w:tcW w:w="1566"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区政府办</w:t>
            </w:r>
          </w:p>
        </w:tc>
        <w:tc>
          <w:tcPr>
            <w:tcW w:w="1621" w:type="dxa"/>
            <w:noWrap w:val="0"/>
            <w:vAlign w:val="top"/>
          </w:tcPr>
          <w:p>
            <w:pPr>
              <w:pStyle w:val="1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16"/>
              <w:widowControl w:val="0"/>
              <w:spacing w:after="0" w:line="360" w:lineRule="auto"/>
              <w:jc w:val="both"/>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6"/>
              <w:widowControl w:val="0"/>
              <w:spacing w:after="0" w:line="360" w:lineRule="auto"/>
              <w:jc w:val="both"/>
              <w:rPr>
                <w:rFonts w:hint="eastAsia" w:ascii="Times New Roman" w:hAnsi="Times New Roman" w:eastAsia="黑体" w:cs="黑体"/>
                <w:kern w:val="2"/>
                <w:sz w:val="24"/>
                <w:szCs w:val="24"/>
                <w:lang w:val="zh-TW"/>
              </w:rPr>
            </w:pPr>
          </w:p>
          <w:p>
            <w:pPr>
              <w:pStyle w:val="16"/>
              <w:widowControl w:val="0"/>
              <w:spacing w:after="0" w:line="360" w:lineRule="auto"/>
              <w:jc w:val="both"/>
              <w:rPr>
                <w:rFonts w:hint="eastAsia" w:ascii="Times New Roman" w:hAnsi="Times New Roman" w:eastAsia="黑体" w:cs="黑体"/>
                <w:kern w:val="2"/>
                <w:sz w:val="24"/>
                <w:szCs w:val="24"/>
                <w:lang w:val="zh-TW"/>
              </w:rPr>
            </w:pPr>
          </w:p>
          <w:p>
            <w:pPr>
              <w:pStyle w:val="1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1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6"/>
              <w:widowControl w:val="0"/>
              <w:spacing w:after="0" w:line="360" w:lineRule="auto"/>
              <w:jc w:val="both"/>
              <w:rPr>
                <w:rFonts w:ascii="Times New Roman" w:hAnsi="Times New Roman" w:eastAsia="黑体" w:cs="黑体"/>
                <w:kern w:val="2"/>
                <w:sz w:val="24"/>
                <w:szCs w:val="24"/>
                <w:lang w:val="zh-TW"/>
              </w:rPr>
            </w:pPr>
          </w:p>
          <w:p>
            <w:pPr>
              <w:pStyle w:val="16"/>
              <w:widowControl w:val="0"/>
              <w:spacing w:after="0" w:line="360" w:lineRule="auto"/>
              <w:jc w:val="both"/>
              <w:rPr>
                <w:rFonts w:ascii="Times New Roman" w:hAnsi="Times New Roman" w:eastAsia="黑体" w:cs="黑体"/>
                <w:kern w:val="2"/>
                <w:sz w:val="24"/>
                <w:szCs w:val="24"/>
                <w:lang w:val="zh-TW"/>
              </w:rPr>
            </w:pPr>
          </w:p>
          <w:p>
            <w:pPr>
              <w:pStyle w:val="1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6"/>
        <w:widowControl w:val="0"/>
        <w:spacing w:after="0" w:line="360" w:lineRule="auto"/>
        <w:jc w:val="both"/>
        <w:rPr>
          <w:rFonts w:ascii="Times New Roman" w:hAnsi="Times New Roman" w:cs="Times New Roman"/>
          <w:kern w:val="2"/>
          <w:sz w:val="24"/>
          <w:szCs w:val="24"/>
          <w:lang w:val="zh-TW"/>
        </w:rPr>
        <w:sectPr>
          <w:footerReference r:id="rId3" w:type="default"/>
          <w:pgSz w:w="11906" w:h="16838"/>
          <w:pgMar w:top="1440" w:right="1800" w:bottom="1440" w:left="1800" w:header="851" w:footer="992" w:gutter="0"/>
          <w:pgNumType w:fmt="numberInDash"/>
          <w:cols w:space="720" w:num="1"/>
          <w:docGrid w:type="lines" w:linePitch="312" w:charSpace="0"/>
        </w:sectPr>
      </w:pPr>
    </w:p>
    <w:p>
      <w:pPr>
        <w:pStyle w:val="6"/>
        <w:tabs>
          <w:tab w:val="clear" w:pos="426"/>
        </w:tabs>
        <w:rPr>
          <w:rStyle w:val="12"/>
          <w:rFonts w:hint="eastAsia"/>
          <w:u w:val="none"/>
        </w:rPr>
      </w:pPr>
    </w:p>
    <w:p>
      <w:pPr>
        <w:pStyle w:val="6"/>
        <w:tabs>
          <w:tab w:val="clear" w:pos="426"/>
        </w:tabs>
        <w:jc w:val="center"/>
        <w:rPr>
          <w:rStyle w:val="12"/>
          <w:rFonts w:hint="eastAsia" w:ascii="黑体" w:hAnsi="黑体" w:eastAsia="黑体" w:cs="黑体"/>
          <w:sz w:val="36"/>
          <w:szCs w:val="36"/>
          <w:u w:val="none"/>
        </w:rPr>
      </w:pPr>
      <w:r>
        <w:rPr>
          <w:rStyle w:val="12"/>
          <w:rFonts w:hint="eastAsia" w:ascii="黑体" w:hAnsi="黑体" w:eastAsia="黑体" w:cs="黑体"/>
          <w:sz w:val="36"/>
          <w:szCs w:val="36"/>
          <w:u w:val="none"/>
        </w:rPr>
        <w:t>目</w:t>
      </w:r>
      <w:r>
        <w:rPr>
          <w:rStyle w:val="12"/>
          <w:rFonts w:hint="eastAsia" w:ascii="黑体" w:hAnsi="黑体" w:eastAsia="黑体" w:cs="黑体"/>
          <w:sz w:val="36"/>
          <w:szCs w:val="36"/>
          <w:u w:val="none"/>
          <w:lang w:val="en-US" w:eastAsia="zh-CN"/>
        </w:rPr>
        <w:t xml:space="preserve">  </w:t>
      </w:r>
      <w:r>
        <w:rPr>
          <w:rStyle w:val="12"/>
          <w:rFonts w:hint="eastAsia" w:ascii="黑体" w:hAnsi="黑体" w:eastAsia="黑体" w:cs="黑体"/>
          <w:sz w:val="36"/>
          <w:szCs w:val="36"/>
          <w:u w:val="none"/>
        </w:rPr>
        <w:t>录</w:t>
      </w:r>
    </w:p>
    <w:p>
      <w:pPr>
        <w:jc w:val="center"/>
        <w:rPr>
          <w:sz w:val="18"/>
        </w:rPr>
      </w:pPr>
    </w:p>
    <w:p>
      <w:pPr>
        <w:pStyle w:val="6"/>
        <w:tabs>
          <w:tab w:val="clear" w:pos="426"/>
        </w:tabs>
        <w:jc w:val="center"/>
        <w:rPr>
          <w:rStyle w:val="12"/>
          <w:rFonts w:hint="eastAsia" w:ascii="黑体" w:hAnsi="黑体" w:eastAsia="黑体" w:cs="黑体"/>
          <w:sz w:val="28"/>
          <w:u w:val="none"/>
        </w:rPr>
      </w:pPr>
      <w:r>
        <w:rPr>
          <w:rStyle w:val="12"/>
          <w:rFonts w:hint="eastAsia" w:ascii="黑体" w:hAnsi="黑体" w:eastAsia="黑体" w:cs="黑体"/>
          <w:sz w:val="28"/>
          <w:u w:val="none"/>
        </w:rPr>
        <w:t>摘</w:t>
      </w:r>
      <w:r>
        <w:rPr>
          <w:rStyle w:val="12"/>
          <w:rFonts w:hint="eastAsia" w:ascii="黑体" w:hAnsi="黑体" w:eastAsia="黑体" w:cs="黑体"/>
          <w:sz w:val="28"/>
          <w:u w:val="none"/>
          <w:lang w:val="en-US" w:eastAsia="zh-CN"/>
        </w:rPr>
        <w:t xml:space="preserve"> </w:t>
      </w:r>
      <w:r>
        <w:rPr>
          <w:rStyle w:val="12"/>
          <w:rFonts w:hint="eastAsia" w:ascii="黑体" w:hAnsi="黑体" w:eastAsia="黑体" w:cs="黑体"/>
          <w:sz w:val="28"/>
          <w:u w:val="none"/>
        </w:rPr>
        <w:t>要</w:t>
      </w:r>
    </w:p>
    <w:p>
      <w:pPr>
        <w:pStyle w:val="6"/>
        <w:tabs>
          <w:tab w:val="clear" w:pos="426"/>
        </w:tabs>
        <w:rPr>
          <w:rFonts w:hint="eastAsia" w:eastAsia="宋体"/>
          <w:sz w:val="21"/>
          <w:lang w:eastAsia="zh-CN"/>
        </w:rPr>
      </w:pPr>
      <w:r>
        <w:rPr>
          <w:rFonts w:hint="eastAsia"/>
          <w:sz w:val="21"/>
        </w:rPr>
        <w:t>一、项目概况</w:t>
      </w:r>
      <w:r>
        <w:rPr>
          <w:sz w:val="21"/>
        </w:rPr>
        <w:tab/>
      </w:r>
      <w:r>
        <w:rPr>
          <w:rFonts w:hint="eastAsia"/>
          <w:b/>
          <w:lang w:val="en-US" w:eastAsia="zh-CN"/>
        </w:rPr>
        <w:t>4</w:t>
      </w:r>
    </w:p>
    <w:p>
      <w:pPr>
        <w:pStyle w:val="6"/>
        <w:tabs>
          <w:tab w:val="clear" w:pos="426"/>
        </w:tabs>
        <w:rPr>
          <w:rFonts w:hint="eastAsia" w:eastAsia="宋体"/>
          <w:sz w:val="21"/>
          <w:lang w:eastAsia="zh-CN"/>
        </w:rPr>
      </w:pPr>
      <w:r>
        <w:rPr>
          <w:rFonts w:hint="eastAsia"/>
          <w:sz w:val="21"/>
        </w:rPr>
        <w:t>（一）项目立项背景及目的</w:t>
      </w:r>
      <w:r>
        <w:rPr>
          <w:sz w:val="21"/>
        </w:rPr>
        <w:tab/>
      </w:r>
      <w:r>
        <w:rPr>
          <w:rFonts w:hint="eastAsia"/>
          <w:b/>
          <w:lang w:val="en-US" w:eastAsia="zh-CN"/>
        </w:rPr>
        <w:t>4</w:t>
      </w:r>
    </w:p>
    <w:p>
      <w:pPr>
        <w:pStyle w:val="6"/>
        <w:tabs>
          <w:tab w:val="clear" w:pos="426"/>
        </w:tabs>
        <w:rPr>
          <w:rFonts w:hint="eastAsia" w:eastAsia="宋体"/>
          <w:sz w:val="21"/>
          <w:lang w:eastAsia="zh-CN"/>
        </w:rPr>
      </w:pPr>
      <w:r>
        <w:rPr>
          <w:rFonts w:hint="eastAsia"/>
          <w:sz w:val="21"/>
        </w:rPr>
        <w:t>（二）预算收支情况</w:t>
      </w:r>
      <w:r>
        <w:rPr>
          <w:sz w:val="21"/>
        </w:rPr>
        <w:tab/>
      </w:r>
      <w:r>
        <w:rPr>
          <w:rFonts w:hint="eastAsia"/>
          <w:b/>
          <w:lang w:val="en-US" w:eastAsia="zh-CN"/>
        </w:rPr>
        <w:t>4</w:t>
      </w:r>
    </w:p>
    <w:p>
      <w:pPr>
        <w:pStyle w:val="6"/>
        <w:tabs>
          <w:tab w:val="clear" w:pos="426"/>
        </w:tabs>
        <w:rPr>
          <w:rFonts w:hint="eastAsia" w:eastAsia="宋体"/>
          <w:sz w:val="21"/>
          <w:lang w:eastAsia="zh-CN"/>
        </w:rPr>
      </w:pPr>
      <w:r>
        <w:rPr>
          <w:rFonts w:hint="eastAsia"/>
          <w:sz w:val="21"/>
        </w:rPr>
        <w:t>二、评价结论</w:t>
      </w:r>
      <w:r>
        <w:rPr>
          <w:sz w:val="21"/>
        </w:rPr>
        <w:tab/>
      </w:r>
      <w:r>
        <w:rPr>
          <w:rFonts w:hint="eastAsia"/>
          <w:b/>
          <w:lang w:val="en-US" w:eastAsia="zh-CN"/>
        </w:rPr>
        <w:t>4</w:t>
      </w:r>
    </w:p>
    <w:p>
      <w:pPr>
        <w:pStyle w:val="6"/>
        <w:tabs>
          <w:tab w:val="clear" w:pos="426"/>
        </w:tabs>
        <w:rPr>
          <w:rFonts w:hint="eastAsia" w:eastAsia="宋体"/>
          <w:sz w:val="21"/>
          <w:lang w:eastAsia="zh-CN"/>
        </w:rPr>
      </w:pPr>
      <w:r>
        <w:rPr>
          <w:rFonts w:hint="eastAsia"/>
          <w:sz w:val="21"/>
        </w:rPr>
        <w:t>三、经验、问题和建议</w:t>
      </w:r>
      <w:r>
        <w:rPr>
          <w:sz w:val="21"/>
        </w:rPr>
        <w:tab/>
      </w:r>
      <w:r>
        <w:rPr>
          <w:rFonts w:hint="eastAsia"/>
          <w:b/>
          <w:lang w:val="en-US" w:eastAsia="zh-CN"/>
        </w:rPr>
        <w:t>5</w:t>
      </w:r>
    </w:p>
    <w:p>
      <w:pPr>
        <w:pStyle w:val="6"/>
        <w:tabs>
          <w:tab w:val="clear" w:pos="426"/>
        </w:tabs>
        <w:rPr>
          <w:rFonts w:hint="eastAsia" w:eastAsia="宋体"/>
          <w:sz w:val="21"/>
          <w:lang w:eastAsia="zh-CN"/>
        </w:rPr>
      </w:pPr>
      <w:r>
        <w:rPr>
          <w:rFonts w:hint="eastAsia"/>
          <w:sz w:val="21"/>
        </w:rPr>
        <w:t>（一）主要经验及做法</w:t>
      </w:r>
      <w:r>
        <w:rPr>
          <w:sz w:val="21"/>
        </w:rPr>
        <w:tab/>
      </w:r>
      <w:r>
        <w:rPr>
          <w:rFonts w:hint="eastAsia"/>
          <w:b/>
          <w:lang w:val="en-US" w:eastAsia="zh-CN"/>
        </w:rPr>
        <w:t>5</w:t>
      </w:r>
    </w:p>
    <w:p>
      <w:pPr>
        <w:pStyle w:val="6"/>
        <w:tabs>
          <w:tab w:val="clear" w:pos="426"/>
        </w:tabs>
        <w:rPr>
          <w:rFonts w:hint="eastAsia" w:eastAsia="宋体"/>
          <w:sz w:val="21"/>
          <w:lang w:eastAsia="zh-CN"/>
        </w:rPr>
      </w:pPr>
      <w:r>
        <w:rPr>
          <w:rFonts w:hint="eastAsia"/>
          <w:sz w:val="21"/>
        </w:rPr>
        <w:t>（二）存在的问题</w:t>
      </w:r>
      <w:r>
        <w:rPr>
          <w:sz w:val="21"/>
        </w:rPr>
        <w:tab/>
      </w:r>
      <w:r>
        <w:rPr>
          <w:rFonts w:hint="eastAsia"/>
          <w:b/>
          <w:lang w:val="en-US" w:eastAsia="zh-CN"/>
        </w:rPr>
        <w:t>5</w:t>
      </w:r>
    </w:p>
    <w:p>
      <w:pPr>
        <w:pStyle w:val="6"/>
        <w:tabs>
          <w:tab w:val="clear" w:pos="426"/>
        </w:tabs>
        <w:rPr>
          <w:rFonts w:hint="eastAsia" w:eastAsia="宋体"/>
          <w:sz w:val="21"/>
          <w:lang w:eastAsia="zh-CN"/>
        </w:rPr>
      </w:pPr>
      <w:r>
        <w:rPr>
          <w:rFonts w:hint="eastAsia"/>
          <w:sz w:val="21"/>
        </w:rPr>
        <w:t>（三）建议和改进措施</w:t>
      </w:r>
      <w:r>
        <w:rPr>
          <w:sz w:val="21"/>
        </w:rPr>
        <w:tab/>
      </w:r>
      <w:r>
        <w:rPr>
          <w:rFonts w:hint="eastAsia"/>
          <w:b/>
          <w:lang w:val="en-US" w:eastAsia="zh-CN"/>
        </w:rPr>
        <w:t>5</w:t>
      </w:r>
    </w:p>
    <w:p>
      <w:pPr>
        <w:pStyle w:val="6"/>
        <w:tabs>
          <w:tab w:val="clear" w:pos="426"/>
        </w:tabs>
        <w:ind w:firstLine="3360" w:firstLineChars="1200"/>
        <w:rPr>
          <w:sz w:val="28"/>
          <w:u w:val="none"/>
        </w:rPr>
      </w:pPr>
      <w:r>
        <w:rPr>
          <w:sz w:val="28"/>
          <w:u w:val="none"/>
        </w:rPr>
        <w:t>报告正文</w:t>
      </w:r>
    </w:p>
    <w:p>
      <w:pPr>
        <w:pStyle w:val="6"/>
        <w:tabs>
          <w:tab w:val="clear" w:pos="426"/>
        </w:tabs>
        <w:rPr>
          <w:sz w:val="21"/>
        </w:rPr>
      </w:pPr>
    </w:p>
    <w:p>
      <w:pPr>
        <w:pStyle w:val="6"/>
        <w:tabs>
          <w:tab w:val="clear" w:pos="426"/>
        </w:tabs>
        <w:rPr>
          <w:rFonts w:hint="eastAsia" w:eastAsia="宋体"/>
          <w:sz w:val="21"/>
          <w:lang w:eastAsia="zh-CN"/>
        </w:rPr>
      </w:pPr>
      <w:r>
        <w:rPr>
          <w:rFonts w:hint="eastAsia"/>
          <w:sz w:val="21"/>
        </w:rPr>
        <w:t>一、项目基本情况</w:t>
      </w:r>
      <w:r>
        <w:rPr>
          <w:sz w:val="21"/>
        </w:rPr>
        <w:tab/>
      </w:r>
      <w:r>
        <w:rPr>
          <w:rFonts w:hint="eastAsia"/>
          <w:b/>
          <w:lang w:val="en-US" w:eastAsia="zh-CN"/>
        </w:rPr>
        <w:t>7</w:t>
      </w:r>
    </w:p>
    <w:p>
      <w:pPr>
        <w:pStyle w:val="6"/>
        <w:tabs>
          <w:tab w:val="clear" w:pos="426"/>
        </w:tabs>
        <w:rPr>
          <w:rFonts w:hint="eastAsia" w:eastAsia="宋体"/>
          <w:sz w:val="21"/>
          <w:lang w:eastAsia="zh-CN"/>
        </w:rPr>
      </w:pPr>
      <w:r>
        <w:rPr>
          <w:rFonts w:hint="eastAsia"/>
          <w:sz w:val="21"/>
        </w:rPr>
        <w:t>（一）项目概况</w:t>
      </w:r>
      <w:r>
        <w:rPr>
          <w:sz w:val="21"/>
        </w:rPr>
        <w:tab/>
      </w:r>
      <w:r>
        <w:rPr>
          <w:rFonts w:hint="eastAsia"/>
          <w:b/>
          <w:lang w:val="en-US" w:eastAsia="zh-CN"/>
        </w:rPr>
        <w:t>7</w:t>
      </w:r>
    </w:p>
    <w:p>
      <w:pPr>
        <w:pStyle w:val="6"/>
        <w:tabs>
          <w:tab w:val="clear" w:pos="426"/>
        </w:tabs>
        <w:rPr>
          <w:rFonts w:hint="eastAsia" w:eastAsia="宋体"/>
          <w:sz w:val="21"/>
          <w:lang w:eastAsia="zh-CN"/>
        </w:rPr>
      </w:pPr>
      <w:r>
        <w:rPr>
          <w:rFonts w:hint="eastAsia"/>
          <w:sz w:val="21"/>
        </w:rPr>
        <w:t>（二）项目绩效目标</w:t>
      </w:r>
      <w:r>
        <w:rPr>
          <w:sz w:val="21"/>
        </w:rPr>
        <w:tab/>
      </w:r>
      <w:r>
        <w:rPr>
          <w:rFonts w:hint="eastAsia"/>
          <w:b/>
          <w:lang w:val="en-US" w:eastAsia="zh-CN"/>
        </w:rPr>
        <w:t>9</w:t>
      </w:r>
    </w:p>
    <w:p>
      <w:pPr>
        <w:pStyle w:val="6"/>
        <w:tabs>
          <w:tab w:val="clear" w:pos="426"/>
        </w:tabs>
        <w:rPr>
          <w:rFonts w:hint="default" w:eastAsia="宋体"/>
          <w:sz w:val="21"/>
          <w:lang w:val="en-US" w:eastAsia="zh-CN"/>
        </w:rPr>
      </w:pPr>
      <w:r>
        <w:rPr>
          <w:rFonts w:hint="eastAsia"/>
          <w:sz w:val="21"/>
        </w:rPr>
        <w:t>二、绩效评价工作情况</w:t>
      </w:r>
      <w:r>
        <w:rPr>
          <w:sz w:val="21"/>
        </w:rPr>
        <w:tab/>
      </w:r>
      <w:r>
        <w:rPr>
          <w:rFonts w:hint="eastAsia"/>
          <w:b/>
          <w:lang w:val="en-US" w:eastAsia="zh-CN"/>
        </w:rPr>
        <w:t>10</w:t>
      </w:r>
    </w:p>
    <w:p>
      <w:pPr>
        <w:pStyle w:val="6"/>
        <w:tabs>
          <w:tab w:val="clear" w:pos="426"/>
        </w:tabs>
        <w:rPr>
          <w:rFonts w:hint="default" w:eastAsia="宋体"/>
          <w:sz w:val="21"/>
          <w:lang w:val="en-US" w:eastAsia="zh-CN"/>
        </w:rPr>
      </w:pPr>
      <w:r>
        <w:rPr>
          <w:rFonts w:hint="eastAsia" w:ascii="宋体" w:hAnsi="宋体" w:cs="宋体"/>
          <w:sz w:val="21"/>
          <w:lang w:eastAsia="zh-CN"/>
        </w:rPr>
        <w:t>（一）</w:t>
      </w:r>
      <w:r>
        <w:rPr>
          <w:rFonts w:hint="eastAsia"/>
          <w:sz w:val="21"/>
        </w:rPr>
        <w:t>评价的目的和依据</w:t>
      </w:r>
      <w:r>
        <w:rPr>
          <w:sz w:val="21"/>
        </w:rPr>
        <w:tab/>
      </w:r>
      <w:r>
        <w:rPr>
          <w:rFonts w:hint="eastAsia"/>
          <w:b/>
          <w:lang w:val="en-US" w:eastAsia="zh-CN"/>
        </w:rPr>
        <w:t>10</w:t>
      </w:r>
    </w:p>
    <w:p>
      <w:pPr>
        <w:pStyle w:val="6"/>
        <w:tabs>
          <w:tab w:val="clear" w:pos="426"/>
        </w:tabs>
        <w:rPr>
          <w:rFonts w:hint="default" w:eastAsia="宋体"/>
          <w:sz w:val="21"/>
          <w:lang w:val="en-US" w:eastAsia="zh-CN"/>
        </w:rPr>
      </w:pPr>
      <w:r>
        <w:rPr>
          <w:rFonts w:hint="eastAsia"/>
          <w:sz w:val="21"/>
        </w:rPr>
        <w:t>（二）绩效评价工作方案制定过程</w:t>
      </w:r>
      <w:r>
        <w:rPr>
          <w:sz w:val="21"/>
        </w:rPr>
        <w:tab/>
      </w:r>
      <w:r>
        <w:rPr>
          <w:rFonts w:hint="eastAsia"/>
          <w:b/>
          <w:lang w:val="en-US" w:eastAsia="zh-CN"/>
        </w:rPr>
        <w:t>10</w:t>
      </w:r>
    </w:p>
    <w:p>
      <w:pPr>
        <w:pStyle w:val="6"/>
        <w:tabs>
          <w:tab w:val="clear" w:pos="426"/>
        </w:tabs>
        <w:rPr>
          <w:rFonts w:hint="default" w:eastAsia="宋体"/>
          <w:sz w:val="21"/>
          <w:lang w:val="en-US" w:eastAsia="zh-CN"/>
        </w:rPr>
      </w:pPr>
      <w:r>
        <w:rPr>
          <w:rFonts w:hint="eastAsia"/>
          <w:sz w:val="21"/>
        </w:rPr>
        <w:t>（三）绩效评价原则及评价方法</w:t>
      </w:r>
      <w:r>
        <w:rPr>
          <w:sz w:val="21"/>
        </w:rPr>
        <w:tab/>
      </w:r>
      <w:r>
        <w:rPr>
          <w:rFonts w:hint="eastAsia"/>
          <w:b/>
          <w:lang w:val="en-US" w:eastAsia="zh-CN"/>
        </w:rPr>
        <w:t>11</w:t>
      </w:r>
    </w:p>
    <w:p>
      <w:pPr>
        <w:pStyle w:val="6"/>
        <w:tabs>
          <w:tab w:val="clear" w:pos="426"/>
        </w:tabs>
        <w:rPr>
          <w:rFonts w:hint="default" w:eastAsia="宋体"/>
          <w:sz w:val="21"/>
          <w:lang w:val="en-US" w:eastAsia="zh-CN"/>
        </w:rPr>
      </w:pPr>
      <w:r>
        <w:rPr>
          <w:rFonts w:hint="eastAsia"/>
          <w:sz w:val="21"/>
          <w:lang w:eastAsia="zh-CN"/>
        </w:rPr>
        <w:t>（四）</w:t>
      </w:r>
      <w:r>
        <w:rPr>
          <w:rFonts w:hint="eastAsia"/>
          <w:sz w:val="21"/>
        </w:rPr>
        <w:t>绩效评价实施过程</w:t>
      </w:r>
      <w:r>
        <w:rPr>
          <w:sz w:val="21"/>
        </w:rPr>
        <w:tab/>
      </w:r>
      <w:r>
        <w:rPr>
          <w:rFonts w:hint="eastAsia"/>
          <w:b/>
          <w:lang w:val="en-US" w:eastAsia="zh-CN"/>
        </w:rPr>
        <w:t>11</w:t>
      </w:r>
    </w:p>
    <w:p>
      <w:pPr>
        <w:pStyle w:val="6"/>
        <w:tabs>
          <w:tab w:val="clear" w:pos="426"/>
        </w:tabs>
        <w:rPr>
          <w:rFonts w:hint="default" w:eastAsia="宋体"/>
          <w:sz w:val="21"/>
          <w:lang w:val="en-US" w:eastAsia="zh-CN"/>
        </w:rPr>
      </w:pPr>
      <w:r>
        <w:rPr>
          <w:rFonts w:hint="eastAsia"/>
          <w:sz w:val="21"/>
        </w:rPr>
        <w:t>（五）绩效评价的局限性</w:t>
      </w:r>
      <w:r>
        <w:rPr>
          <w:sz w:val="21"/>
        </w:rPr>
        <w:tab/>
      </w:r>
      <w:r>
        <w:rPr>
          <w:rFonts w:hint="eastAsia"/>
          <w:b/>
          <w:lang w:val="en-US" w:eastAsia="zh-CN"/>
        </w:rPr>
        <w:t>11</w:t>
      </w:r>
    </w:p>
    <w:p>
      <w:pPr>
        <w:pStyle w:val="6"/>
        <w:tabs>
          <w:tab w:val="clear" w:pos="426"/>
        </w:tabs>
        <w:rPr>
          <w:rFonts w:hint="default" w:eastAsia="宋体"/>
          <w:sz w:val="21"/>
          <w:lang w:val="en-US" w:eastAsia="zh-CN"/>
        </w:rPr>
      </w:pPr>
      <w:r>
        <w:rPr>
          <w:rFonts w:hint="eastAsia"/>
          <w:sz w:val="21"/>
        </w:rPr>
        <w:t>三、评价结论及绩效分析</w:t>
      </w:r>
      <w:r>
        <w:rPr>
          <w:sz w:val="21"/>
        </w:rPr>
        <w:tab/>
      </w:r>
      <w:r>
        <w:rPr>
          <w:rFonts w:hint="eastAsia"/>
          <w:b/>
          <w:lang w:val="en-US" w:eastAsia="zh-CN"/>
        </w:rPr>
        <w:t>12</w:t>
      </w:r>
    </w:p>
    <w:p>
      <w:pPr>
        <w:pStyle w:val="6"/>
        <w:tabs>
          <w:tab w:val="clear" w:pos="426"/>
        </w:tabs>
        <w:rPr>
          <w:rFonts w:hint="default" w:eastAsia="宋体"/>
          <w:sz w:val="21"/>
          <w:lang w:val="en-US" w:eastAsia="zh-CN"/>
        </w:rPr>
      </w:pPr>
      <w:r>
        <w:rPr>
          <w:rFonts w:hint="eastAsia"/>
          <w:sz w:val="21"/>
          <w:lang w:eastAsia="zh-CN"/>
        </w:rPr>
        <w:t>（一）</w:t>
      </w:r>
      <w:r>
        <w:rPr>
          <w:rFonts w:hint="eastAsia"/>
          <w:sz w:val="21"/>
        </w:rPr>
        <w:t>评价结论</w:t>
      </w:r>
      <w:r>
        <w:rPr>
          <w:sz w:val="21"/>
        </w:rPr>
        <w:tab/>
      </w:r>
      <w:r>
        <w:rPr>
          <w:rFonts w:hint="eastAsia"/>
          <w:b/>
          <w:lang w:val="en-US" w:eastAsia="zh-CN"/>
        </w:rPr>
        <w:t>12</w:t>
      </w:r>
    </w:p>
    <w:p>
      <w:pPr>
        <w:pStyle w:val="6"/>
        <w:tabs>
          <w:tab w:val="clear" w:pos="426"/>
        </w:tabs>
        <w:rPr>
          <w:rFonts w:hint="default" w:eastAsia="宋体"/>
          <w:sz w:val="21"/>
          <w:lang w:val="en-US" w:eastAsia="zh-CN"/>
        </w:rPr>
      </w:pPr>
      <w:r>
        <w:rPr>
          <w:rFonts w:hint="eastAsia"/>
          <w:sz w:val="21"/>
        </w:rPr>
        <w:t>（二）具体绩效分析</w:t>
      </w:r>
      <w:r>
        <w:rPr>
          <w:sz w:val="21"/>
        </w:rPr>
        <w:tab/>
      </w:r>
      <w:r>
        <w:rPr>
          <w:rFonts w:hint="eastAsia"/>
          <w:b/>
          <w:lang w:val="en-US" w:eastAsia="zh-CN"/>
        </w:rPr>
        <w:t>13</w:t>
      </w:r>
    </w:p>
    <w:p>
      <w:pPr>
        <w:pStyle w:val="6"/>
        <w:tabs>
          <w:tab w:val="clear" w:pos="426"/>
        </w:tabs>
        <w:rPr>
          <w:sz w:val="21"/>
        </w:rPr>
      </w:pPr>
      <w:r>
        <w:rPr>
          <w:rFonts w:hint="eastAsia"/>
          <w:sz w:val="21"/>
        </w:rPr>
        <w:t>四、成本效益分析</w:t>
      </w:r>
      <w:r>
        <w:rPr>
          <w:sz w:val="21"/>
        </w:rPr>
        <w:tab/>
      </w:r>
      <w:r>
        <w:rPr>
          <w:rFonts w:hint="eastAsia"/>
          <w:b/>
          <w:lang w:val="en-US" w:eastAsia="zh-CN"/>
        </w:rPr>
        <w:t>13</w:t>
      </w:r>
    </w:p>
    <w:p>
      <w:pPr>
        <w:pStyle w:val="6"/>
        <w:tabs>
          <w:tab w:val="clear" w:pos="426"/>
        </w:tabs>
        <w:rPr>
          <w:rFonts w:hint="default" w:eastAsia="宋体"/>
          <w:sz w:val="21"/>
          <w:lang w:val="en-US" w:eastAsia="zh-CN"/>
        </w:rPr>
      </w:pPr>
      <w:r>
        <w:rPr>
          <w:rFonts w:hint="eastAsia"/>
          <w:sz w:val="21"/>
        </w:rPr>
        <w:t>五、项目主要经验及做法、存在的问题和建议</w:t>
      </w:r>
      <w:r>
        <w:rPr>
          <w:sz w:val="21"/>
        </w:rPr>
        <w:tab/>
      </w:r>
      <w:r>
        <w:rPr>
          <w:rFonts w:hint="eastAsia"/>
          <w:b/>
          <w:lang w:val="en-US" w:eastAsia="zh-CN"/>
        </w:rPr>
        <w:t>14</w:t>
      </w:r>
    </w:p>
    <w:p>
      <w:pPr>
        <w:pStyle w:val="6"/>
        <w:tabs>
          <w:tab w:val="clear" w:pos="426"/>
        </w:tabs>
        <w:rPr>
          <w:rFonts w:hint="default" w:eastAsia="宋体"/>
          <w:sz w:val="21"/>
          <w:lang w:val="en-US" w:eastAsia="zh-CN"/>
        </w:rPr>
      </w:pPr>
      <w:r>
        <w:rPr>
          <w:rFonts w:hint="eastAsia"/>
          <w:sz w:val="21"/>
        </w:rPr>
        <w:t>（一）主要经验及做法</w:t>
      </w:r>
      <w:r>
        <w:rPr>
          <w:sz w:val="21"/>
        </w:rPr>
        <w:tab/>
      </w:r>
      <w:r>
        <w:rPr>
          <w:rFonts w:hint="eastAsia"/>
          <w:b/>
          <w:lang w:val="en-US" w:eastAsia="zh-CN"/>
        </w:rPr>
        <w:t>14</w:t>
      </w:r>
    </w:p>
    <w:p>
      <w:pPr>
        <w:pStyle w:val="6"/>
        <w:tabs>
          <w:tab w:val="clear" w:pos="426"/>
        </w:tabs>
        <w:rPr>
          <w:rFonts w:hint="default" w:eastAsia="宋体"/>
          <w:sz w:val="21"/>
          <w:lang w:val="en-US" w:eastAsia="zh-CN"/>
        </w:rPr>
      </w:pPr>
      <w:r>
        <w:rPr>
          <w:rFonts w:hint="eastAsia"/>
          <w:sz w:val="21"/>
        </w:rPr>
        <w:t>（二）存在的问题</w:t>
      </w:r>
      <w:r>
        <w:rPr>
          <w:sz w:val="21"/>
        </w:rPr>
        <w:tab/>
      </w:r>
      <w:r>
        <w:rPr>
          <w:rFonts w:hint="eastAsia"/>
          <w:b/>
          <w:lang w:val="en-US" w:eastAsia="zh-CN"/>
        </w:rPr>
        <w:t>15</w:t>
      </w:r>
    </w:p>
    <w:p>
      <w:pPr>
        <w:pStyle w:val="6"/>
        <w:tabs>
          <w:tab w:val="clear" w:pos="426"/>
        </w:tabs>
        <w:rPr>
          <w:rFonts w:hint="default" w:eastAsia="宋体"/>
          <w:lang w:val="en-US" w:eastAsia="zh-CN"/>
        </w:rPr>
      </w:pPr>
      <w:r>
        <w:rPr>
          <w:rFonts w:hint="eastAsia"/>
          <w:sz w:val="21"/>
        </w:rPr>
        <w:t>（三）建议和改进措施</w:t>
      </w:r>
      <w:r>
        <w:rPr>
          <w:sz w:val="21"/>
        </w:rPr>
        <w:tab/>
      </w:r>
      <w:r>
        <w:rPr>
          <w:rFonts w:hint="eastAsia"/>
          <w:b/>
          <w:lang w:val="en-US" w:eastAsia="zh-CN"/>
        </w:rPr>
        <w:t>15</w:t>
      </w:r>
    </w:p>
    <w:p>
      <w:pPr>
        <w:spacing w:line="540" w:lineRule="exact"/>
        <w:rPr>
          <w:rStyle w:val="12"/>
        </w:rPr>
      </w:pPr>
    </w:p>
    <w:p>
      <w:pPr>
        <w:spacing w:line="540" w:lineRule="exact"/>
        <w:rPr>
          <w:rStyle w:val="12"/>
        </w:rPr>
      </w:pPr>
    </w:p>
    <w:p>
      <w:pPr>
        <w:spacing w:line="540" w:lineRule="exact"/>
        <w:rPr>
          <w:rStyle w:val="12"/>
        </w:rPr>
      </w:pPr>
    </w:p>
    <w:p>
      <w:pPr>
        <w:spacing w:line="540" w:lineRule="exact"/>
        <w:rPr>
          <w:rStyle w:val="12"/>
        </w:rPr>
      </w:pPr>
    </w:p>
    <w:p>
      <w:pPr>
        <w:spacing w:line="540" w:lineRule="exact"/>
        <w:rPr>
          <w:rStyle w:val="12"/>
        </w:rPr>
      </w:pPr>
    </w:p>
    <w:p>
      <w:pPr>
        <w:spacing w:line="540" w:lineRule="exact"/>
        <w:rPr>
          <w:rStyle w:val="12"/>
        </w:rPr>
      </w:pPr>
    </w:p>
    <w:p>
      <w:pPr>
        <w:jc w:val="center"/>
        <w:rPr>
          <w:rFonts w:hint="eastAsia" w:ascii="黑体" w:hAnsi="黑体" w:eastAsia="黑体" w:cs="黑体"/>
          <w:bCs/>
          <w:sz w:val="44"/>
          <w:szCs w:val="44"/>
          <w:lang w:eastAsia="zh-CN"/>
        </w:rPr>
      </w:pPr>
      <w:r>
        <w:rPr>
          <w:rFonts w:hint="eastAsia" w:ascii="黑体" w:hAnsi="黑体" w:eastAsia="黑体" w:cs="黑体"/>
          <w:bCs/>
          <w:sz w:val="44"/>
          <w:szCs w:val="44"/>
          <w:lang w:eastAsia="zh-CN"/>
        </w:rPr>
        <w:t>昆明市盘龙区人民政</w:t>
      </w:r>
      <w:bookmarkStart w:id="0" w:name="一"/>
      <w:bookmarkEnd w:id="0"/>
      <w:r>
        <w:rPr>
          <w:rFonts w:hint="eastAsia" w:ascii="黑体" w:hAnsi="黑体" w:eastAsia="黑体" w:cs="黑体"/>
          <w:bCs/>
          <w:sz w:val="44"/>
          <w:szCs w:val="44"/>
          <w:lang w:eastAsia="zh-CN"/>
        </w:rPr>
        <w:t>府办公室业务经费项目支出绩效自评报告</w:t>
      </w:r>
    </w:p>
    <w:p>
      <w:pPr>
        <w:jc w:val="center"/>
        <w:rPr>
          <w:rFonts w:ascii="黑体" w:hAnsi="黑体" w:eastAsia="黑体"/>
          <w:szCs w:val="32"/>
        </w:rPr>
      </w:pPr>
    </w:p>
    <w:p>
      <w:pPr>
        <w:spacing w:line="440" w:lineRule="exact"/>
        <w:ind w:firstLine="560" w:firstLineChars="200"/>
        <w:jc w:val="center"/>
        <w:rPr>
          <w:rFonts w:ascii="方正小标宋_GBK" w:hAnsi="黑体" w:eastAsia="方正小标宋_GBK"/>
          <w:sz w:val="28"/>
          <w:szCs w:val="28"/>
        </w:rPr>
      </w:pPr>
      <w:r>
        <w:rPr>
          <w:rFonts w:hint="eastAsia" w:ascii="方正小标宋_GBK" w:hAnsi="黑体" w:eastAsia="方正小标宋_GBK"/>
          <w:sz w:val="28"/>
          <w:szCs w:val="28"/>
        </w:rPr>
        <w:t>摘</w:t>
      </w:r>
      <w:r>
        <w:rPr>
          <w:rFonts w:hint="eastAsia" w:ascii="方正小标宋_GBK" w:hAnsi="黑体" w:eastAsia="方正小标宋_GBK"/>
          <w:sz w:val="28"/>
          <w:szCs w:val="28"/>
          <w:lang w:val="en-US" w:eastAsia="zh-CN"/>
        </w:rPr>
        <w:t xml:space="preserve">  </w:t>
      </w:r>
      <w:r>
        <w:rPr>
          <w:rFonts w:hint="eastAsia" w:ascii="方正小标宋_GBK" w:hAnsi="黑体" w:eastAsia="方正小标宋_GBK"/>
          <w:sz w:val="28"/>
          <w:szCs w:val="28"/>
        </w:rPr>
        <w:t>要</w:t>
      </w:r>
    </w:p>
    <w:p>
      <w:pPr>
        <w:numPr>
          <w:ilvl w:val="0"/>
          <w:numId w:val="0"/>
        </w:numPr>
        <w:spacing w:line="240" w:lineRule="auto"/>
        <w:jc w:val="left"/>
        <w:rPr>
          <w:rFonts w:ascii="仿宋_GB2312" w:hAnsi="黑体"/>
          <w:sz w:val="32"/>
          <w:szCs w:val="32"/>
        </w:rPr>
      </w:pPr>
      <w:r>
        <w:rPr>
          <w:rFonts w:hint="eastAsia" w:ascii="黑体" w:hAnsi="黑体" w:eastAsia="黑体"/>
          <w:sz w:val="32"/>
          <w:szCs w:val="32"/>
          <w:lang w:eastAsia="zh-CN"/>
        </w:rPr>
        <w:t>一、</w:t>
      </w:r>
      <w:r>
        <w:rPr>
          <w:rFonts w:hint="eastAsia" w:ascii="黑体" w:hAnsi="黑体" w:eastAsia="黑体"/>
          <w:sz w:val="32"/>
          <w:szCs w:val="32"/>
        </w:rPr>
        <w:t>项目概况：</w:t>
      </w:r>
    </w:p>
    <w:p>
      <w:pPr>
        <w:numPr>
          <w:ilvl w:val="0"/>
          <w:numId w:val="1"/>
        </w:numPr>
        <w:spacing w:line="240" w:lineRule="auto"/>
        <w:ind w:firstLine="0" w:firstLineChars="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项目立项背景及目的</w:t>
      </w:r>
    </w:p>
    <w:p>
      <w:pPr>
        <w:pStyle w:val="2"/>
        <w:spacing w:before="0" w:after="0" w:line="240" w:lineRule="auto"/>
        <w:ind w:firstLine="640" w:firstLineChars="200"/>
        <w:rPr>
          <w:rFonts w:hint="eastAsia" w:ascii="仿宋_GB2312" w:hAnsi="仿宋" w:eastAsia="仿宋_GB2312" w:cs="宋体"/>
          <w:color w:val="333333"/>
          <w:kern w:val="0"/>
          <w:sz w:val="32"/>
          <w:szCs w:val="32"/>
          <w:lang w:val="en-US" w:eastAsia="zh-CN"/>
        </w:rPr>
      </w:pPr>
      <w:r>
        <w:rPr>
          <w:rFonts w:hint="eastAsia" w:ascii="仿宋_GB2312" w:hAnsi="仿宋_GB2312" w:eastAsia="仿宋_GB2312" w:cs="仿宋_GB2312"/>
          <w:b w:val="0"/>
          <w:bCs w:val="0"/>
          <w:kern w:val="2"/>
          <w:sz w:val="32"/>
          <w:szCs w:val="32"/>
          <w:lang w:val="en-US" w:eastAsia="zh-CN" w:bidi="ar-SA"/>
        </w:rPr>
        <w:t>根据中共昆明市盘龙区委办公室 昆明市盘龙区人民政府办公室《关于印发〈昆明市盘龙区人民政府办公室职能配置、内设机构和人员编制规定〉的通知》（盘办通〔2019〕74号）文件精神，盘龙区政府办公室是盘龙区人民政府的运转中心，承担着服务决策、服务落实、服务发展的需求，承办着办文、办会、办事各项业务。共设置内设机构15个</w:t>
      </w:r>
      <w:r>
        <w:rPr>
          <w:rFonts w:hint="default" w:ascii="仿宋_GB2312" w:hAnsi="仿宋_GB2312" w:eastAsia="仿宋_GB2312" w:cs="仿宋_GB2312"/>
          <w:b w:val="0"/>
          <w:bCs w:val="0"/>
          <w:kern w:val="2"/>
          <w:sz w:val="32"/>
          <w:szCs w:val="32"/>
          <w:lang w:val="en" w:eastAsia="zh-CN" w:bidi="ar-SA"/>
        </w:rPr>
        <w:t>,</w:t>
      </w:r>
      <w:r>
        <w:rPr>
          <w:rFonts w:hint="eastAsia" w:ascii="仿宋_GB2312" w:hAnsi="仿宋_GB2312" w:eastAsia="仿宋_GB2312" w:cs="仿宋_GB2312"/>
          <w:b w:val="0"/>
          <w:bCs w:val="0"/>
          <w:kern w:val="2"/>
          <w:sz w:val="32"/>
          <w:szCs w:val="32"/>
          <w:lang w:val="en-US" w:eastAsia="zh-CN" w:bidi="ar-SA"/>
        </w:rPr>
        <w:t xml:space="preserve"> 分别为：综合一科、综合二科、秘书一科、秘书二科、秘书三科、秘书四科、信息与政务公开科、目标督查科、财务科、规范性文件审查办公室、区长热线电话办公室、外事办公室、区政府总值班室、区大健康办公室、流动人口和出租房屋管理科。为切实履行各项职责，充分发挥参谋助手作用，高效服务，力促发展，保障区政府的各项工作高效有序运转。</w:t>
      </w:r>
    </w:p>
    <w:p>
      <w:pPr>
        <w:numPr>
          <w:ilvl w:val="0"/>
          <w:numId w:val="1"/>
        </w:numPr>
        <w:spacing w:line="240" w:lineRule="auto"/>
        <w:ind w:firstLine="0" w:firstLineChars="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预算收支情况</w:t>
      </w:r>
    </w:p>
    <w:p>
      <w:pPr>
        <w:numPr>
          <w:ilvl w:val="0"/>
          <w:numId w:val="0"/>
        </w:numPr>
        <w:spacing w:line="240" w:lineRule="auto"/>
        <w:ind w:left="0" w:leftChars="0" w:firstLine="640" w:firstLineChars="200"/>
        <w:jc w:val="left"/>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本项目年初预算安排65万元，实际收入65万元，已使用65万元，结余0万元，资金使用率100%。</w:t>
      </w:r>
    </w:p>
    <w:p>
      <w:pPr>
        <w:numPr>
          <w:ilvl w:val="0"/>
          <w:numId w:val="0"/>
        </w:numPr>
        <w:spacing w:line="240" w:lineRule="auto"/>
        <w:ind w:leftChars="0"/>
        <w:jc w:val="left"/>
        <w:rPr>
          <w:rFonts w:hint="eastAsia" w:ascii="黑体" w:hAnsi="黑体" w:eastAsia="黑体"/>
          <w:sz w:val="32"/>
          <w:szCs w:val="32"/>
        </w:rPr>
      </w:pPr>
      <w:r>
        <w:rPr>
          <w:rFonts w:hint="eastAsia" w:ascii="黑体" w:hAnsi="黑体" w:eastAsia="黑体"/>
          <w:sz w:val="32"/>
          <w:szCs w:val="32"/>
          <w:lang w:eastAsia="zh-CN"/>
        </w:rPr>
        <w:t>二、</w:t>
      </w:r>
      <w:r>
        <w:rPr>
          <w:rFonts w:hint="eastAsia" w:ascii="黑体" w:hAnsi="黑体" w:eastAsia="黑体"/>
          <w:sz w:val="32"/>
          <w:szCs w:val="32"/>
        </w:rPr>
        <w:t>评价结论</w:t>
      </w:r>
    </w:p>
    <w:p>
      <w:pPr>
        <w:numPr>
          <w:ilvl w:val="0"/>
          <w:numId w:val="0"/>
        </w:numPr>
        <w:spacing w:line="240" w:lineRule="auto"/>
        <w:ind w:left="0" w:leftChars="0" w:firstLine="640" w:firstLineChars="200"/>
        <w:jc w:val="left"/>
        <w:rPr>
          <w:rFonts w:hint="default" w:ascii="仿宋_GB2312" w:hAnsi="仿宋_GB2312" w:eastAsia="仿宋_GB2312" w:cs="仿宋_GB2312"/>
          <w:b w:val="0"/>
          <w:bCs w:val="0"/>
          <w:kern w:val="2"/>
          <w:sz w:val="32"/>
          <w:szCs w:val="32"/>
          <w:lang w:val="en" w:eastAsia="zh-CN" w:bidi="ar-SA"/>
        </w:rPr>
      </w:pPr>
      <w:r>
        <w:rPr>
          <w:rFonts w:hint="eastAsia" w:ascii="仿宋_GB2312" w:hAnsi="仿宋_GB2312" w:eastAsia="仿宋_GB2312" w:cs="仿宋_GB2312"/>
          <w:b w:val="0"/>
          <w:bCs w:val="0"/>
          <w:kern w:val="2"/>
          <w:sz w:val="32"/>
          <w:szCs w:val="32"/>
          <w:lang w:val="en-US" w:eastAsia="zh-CN" w:bidi="ar-SA"/>
        </w:rPr>
        <w:t>盘龙区政府办公室严格按有关规定进行项目经费预算编制，严格执行预算，规范资金审批和支付程序，提高资金的使用效率；根据2020年度项目支出绩效自评表，对项目的执行情况、产出指标、效益指标、满意度指标进行量化打分，本项目绩效评价得分100分，绩效评价等级为优秀。</w:t>
      </w:r>
    </w:p>
    <w:p>
      <w:pPr>
        <w:spacing w:line="240" w:lineRule="auto"/>
        <w:ind w:firstLine="0" w:firstLineChars="0"/>
        <w:jc w:val="left"/>
        <w:rPr>
          <w:rFonts w:ascii="黑体" w:hAnsi="黑体" w:eastAsia="黑体"/>
          <w:sz w:val="32"/>
          <w:szCs w:val="32"/>
        </w:rPr>
      </w:pPr>
      <w:r>
        <w:rPr>
          <w:rFonts w:hint="eastAsia" w:ascii="黑体" w:hAnsi="黑体" w:eastAsia="黑体"/>
          <w:sz w:val="32"/>
          <w:szCs w:val="32"/>
        </w:rPr>
        <w:t>三、经验、问题和建议</w:t>
      </w:r>
    </w:p>
    <w:p>
      <w:pPr>
        <w:numPr>
          <w:ilvl w:val="0"/>
          <w:numId w:val="0"/>
        </w:numPr>
        <w:spacing w:line="240" w:lineRule="auto"/>
        <w:ind w:firstLine="321" w:firstLineChars="10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1.主要经验及做法</w:t>
      </w:r>
    </w:p>
    <w:p>
      <w:pPr>
        <w:widowControl/>
        <w:shd w:val="clear" w:color="auto" w:fill="FFFFFF"/>
        <w:ind w:firstLine="705"/>
        <w:jc w:val="left"/>
        <w:rPr>
          <w:rFonts w:hint="eastAsia" w:ascii="仿宋_GB2312" w:hAnsi="仿宋_GB2312" w:eastAsia="仿宋_GB2312" w:cs="仿宋_GB2312"/>
          <w:b/>
          <w:bCs/>
          <w:kern w:val="2"/>
          <w:sz w:val="32"/>
          <w:szCs w:val="32"/>
          <w:lang w:val="en-US" w:eastAsia="zh-CN" w:bidi="ar-SA"/>
        </w:rPr>
      </w:pPr>
      <w:r>
        <w:rPr>
          <w:rFonts w:hint="eastAsia" w:ascii="仿宋_GB2312" w:hAnsi="仿宋" w:eastAsia="仿宋_GB2312" w:cs="宋体"/>
          <w:color w:val="333333"/>
          <w:kern w:val="0"/>
          <w:sz w:val="32"/>
          <w:szCs w:val="32"/>
          <w:lang w:eastAsia="zh-CN"/>
        </w:rPr>
        <w:t>区</w:t>
      </w:r>
      <w:r>
        <w:rPr>
          <w:rFonts w:hint="eastAsia" w:ascii="仿宋_GB2312" w:hAnsi="仿宋" w:eastAsia="仿宋_GB2312" w:cs="宋体"/>
          <w:color w:val="333333"/>
          <w:kern w:val="0"/>
          <w:sz w:val="32"/>
          <w:szCs w:val="32"/>
        </w:rPr>
        <w:t>政府办根据《昆明市盘龙区财政局关于开展20</w:t>
      </w:r>
      <w:r>
        <w:rPr>
          <w:rFonts w:hint="eastAsia" w:ascii="仿宋_GB2312" w:hAnsi="仿宋" w:eastAsia="仿宋_GB2312" w:cs="宋体"/>
          <w:color w:val="333333"/>
          <w:kern w:val="0"/>
          <w:sz w:val="32"/>
          <w:szCs w:val="32"/>
          <w:lang w:val="en-US" w:eastAsia="zh-CN"/>
        </w:rPr>
        <w:t>20</w:t>
      </w:r>
      <w:r>
        <w:rPr>
          <w:rFonts w:hint="eastAsia" w:ascii="仿宋_GB2312" w:hAnsi="仿宋" w:eastAsia="仿宋_GB2312" w:cs="宋体"/>
          <w:color w:val="333333"/>
          <w:kern w:val="0"/>
          <w:sz w:val="32"/>
          <w:szCs w:val="32"/>
        </w:rPr>
        <w:t>年度区级预算支出绩效自评工作及下达</w:t>
      </w:r>
      <w:r>
        <w:rPr>
          <w:rFonts w:hint="eastAsia" w:ascii="仿宋_GB2312" w:hAnsi="仿宋" w:eastAsia="仿宋_GB2312" w:cs="宋体"/>
          <w:color w:val="333333"/>
          <w:kern w:val="0"/>
          <w:sz w:val="32"/>
          <w:szCs w:val="32"/>
          <w:lang w:val="en-US" w:eastAsia="zh-CN"/>
        </w:rPr>
        <w:t>2020</w:t>
      </w:r>
      <w:r>
        <w:rPr>
          <w:rFonts w:hint="eastAsia" w:ascii="仿宋_GB2312" w:hAnsi="仿宋" w:eastAsia="仿宋_GB2312" w:cs="宋体"/>
          <w:color w:val="333333"/>
          <w:kern w:val="0"/>
          <w:sz w:val="32"/>
          <w:szCs w:val="32"/>
        </w:rPr>
        <w:t>年部门重点绩效自评项目的通知》精神，成立了自评小组，通过前期调研工作，充分了解评价项目有关情况；通过查看资金使用情况，核实</w:t>
      </w:r>
      <w:r>
        <w:rPr>
          <w:rFonts w:hint="eastAsia" w:ascii="仿宋_GB2312" w:hAnsi="仿宋" w:eastAsia="仿宋_GB2312" w:cs="宋体"/>
          <w:color w:val="333333"/>
          <w:kern w:val="0"/>
          <w:sz w:val="32"/>
          <w:szCs w:val="32"/>
          <w:lang w:val="en-US" w:eastAsia="zh-CN"/>
        </w:rPr>
        <w:t>2020</w:t>
      </w:r>
      <w:r>
        <w:rPr>
          <w:rFonts w:hint="eastAsia" w:ascii="仿宋_GB2312" w:hAnsi="仿宋" w:eastAsia="仿宋_GB2312" w:cs="宋体"/>
          <w:color w:val="333333"/>
          <w:kern w:val="0"/>
          <w:sz w:val="32"/>
          <w:szCs w:val="32"/>
        </w:rPr>
        <w:t>年政府办的各项支出的合法性、合规性；通过分析目标完成情况，查找存在的问题及总结好的经验方法，较好</w:t>
      </w:r>
      <w:r>
        <w:rPr>
          <w:rFonts w:hint="eastAsia" w:ascii="仿宋_GB2312" w:hAnsi="仿宋" w:eastAsia="仿宋_GB2312" w:cs="宋体"/>
          <w:color w:val="333333"/>
          <w:kern w:val="0"/>
          <w:sz w:val="32"/>
          <w:szCs w:val="32"/>
          <w:lang w:eastAsia="zh-CN"/>
        </w:rPr>
        <w:t>地</w:t>
      </w:r>
      <w:r>
        <w:rPr>
          <w:rFonts w:hint="eastAsia" w:ascii="仿宋_GB2312" w:hAnsi="仿宋" w:eastAsia="仿宋_GB2312" w:cs="宋体"/>
          <w:color w:val="333333"/>
          <w:kern w:val="0"/>
          <w:sz w:val="32"/>
          <w:szCs w:val="32"/>
        </w:rPr>
        <w:t>完成了自评工作。</w:t>
      </w:r>
    </w:p>
    <w:p>
      <w:pPr>
        <w:numPr>
          <w:ilvl w:val="0"/>
          <w:numId w:val="0"/>
        </w:numPr>
        <w:spacing w:line="240" w:lineRule="auto"/>
        <w:ind w:firstLine="321" w:firstLineChars="10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2.存在的问题</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right="0" w:firstLine="640" w:firstLineChars="20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一是预算绩效管理工作机制有待进一步强化。我单位预算绩效管理工作保障制度有待进一步完善；</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right="0" w:firstLine="640" w:firstLineChars="20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二是预算绩效评目标制定工作有待进一步健全。在实际预算执行过程中，应注重对预算绩效运行情况实施全目标、全过程、全方位的监控，从而有效跟踪年度目标任务执行情况及完成情况。</w:t>
      </w:r>
    </w:p>
    <w:p>
      <w:pPr>
        <w:numPr>
          <w:ilvl w:val="0"/>
          <w:numId w:val="0"/>
        </w:numPr>
        <w:spacing w:line="240" w:lineRule="auto"/>
        <w:ind w:firstLine="321" w:firstLineChars="100"/>
        <w:jc w:val="left"/>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3.改进措施及建议</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（1）细化预算编制工作。进一步加强单位内部机构各科室的预算管理意识，严格按照预算编制的相关制度和要求进行预算编制；</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（2）加强财务管理。加强单位财务管理，健全单位财务管理制度体系，规范单位财务行为，杜绝超支现象的发生；</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color w:val="FF0000"/>
          <w:spacing w:val="-20"/>
          <w:sz w:val="32"/>
          <w:szCs w:val="32"/>
        </w:rPr>
      </w:pPr>
      <w:r>
        <w:rPr>
          <w:rFonts w:hint="eastAsia" w:ascii="仿宋_GB2312" w:hAnsi="仿宋" w:eastAsia="仿宋_GB2312" w:cs="宋体"/>
          <w:color w:val="333333"/>
          <w:kern w:val="0"/>
          <w:sz w:val="32"/>
          <w:szCs w:val="32"/>
          <w:lang w:val="en-US" w:eastAsia="zh-CN" w:bidi="ar-SA"/>
        </w:rPr>
        <w:t>（3）加强绩效管理培训，提高绩效工作水平。</w:t>
      </w: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240" w:lineRule="auto"/>
        <w:ind w:firstLine="0" w:firstLineChars="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jc w:val="left"/>
        <w:rPr>
          <w:rFonts w:ascii="楷体" w:hAnsi="楷体" w:eastAsia="楷体"/>
          <w:szCs w:val="32"/>
        </w:rPr>
      </w:pPr>
    </w:p>
    <w:p>
      <w:pPr>
        <w:jc w:val="center"/>
        <w:rPr>
          <w:rFonts w:hint="eastAsia" w:ascii="黑体" w:hAnsi="黑体" w:eastAsia="黑体" w:cs="黑体"/>
          <w:bCs/>
          <w:sz w:val="44"/>
          <w:szCs w:val="44"/>
          <w:lang w:eastAsia="zh-CN"/>
        </w:rPr>
      </w:pPr>
      <w:r>
        <w:rPr>
          <w:rFonts w:hint="eastAsia" w:ascii="黑体" w:hAnsi="黑体" w:eastAsia="黑体" w:cs="黑体"/>
          <w:bCs/>
          <w:sz w:val="44"/>
          <w:szCs w:val="44"/>
          <w:lang w:eastAsia="zh-CN"/>
        </w:rPr>
        <w:t>正文：昆明市盘龙区人民政府办公室业务经费项目支出绩效自评报告</w:t>
      </w:r>
    </w:p>
    <w:p>
      <w:pPr>
        <w:spacing w:line="440" w:lineRule="exact"/>
        <w:ind w:firstLine="720" w:firstLineChars="200"/>
        <w:jc w:val="center"/>
        <w:rPr>
          <w:rFonts w:ascii="黑体" w:hAnsi="黑体" w:eastAsia="黑体"/>
          <w:sz w:val="36"/>
          <w:szCs w:val="36"/>
        </w:rPr>
      </w:pPr>
    </w:p>
    <w:p>
      <w:pPr>
        <w:topLinePunct/>
        <w:spacing w:line="440" w:lineRule="exact"/>
        <w:ind w:firstLine="800" w:firstLineChars="250"/>
        <w:rPr>
          <w:rFonts w:ascii="黑体" w:eastAsia="黑体"/>
          <w:sz w:val="32"/>
          <w:szCs w:val="32"/>
        </w:rPr>
      </w:pPr>
    </w:p>
    <w:p>
      <w:pPr>
        <w:topLinePunct/>
        <w:spacing w:line="240" w:lineRule="auto"/>
        <w:ind w:firstLine="0" w:firstLineChars="0"/>
        <w:rPr>
          <w:rFonts w:ascii="黑体" w:eastAsia="黑体"/>
          <w:sz w:val="32"/>
          <w:szCs w:val="32"/>
        </w:rPr>
      </w:pPr>
      <w:r>
        <w:rPr>
          <w:rFonts w:hint="eastAsia" w:ascii="黑体" w:eastAsia="黑体"/>
          <w:sz w:val="32"/>
          <w:szCs w:val="32"/>
        </w:rPr>
        <w:t>一、项目基本情况</w:t>
      </w:r>
    </w:p>
    <w:p>
      <w:pPr>
        <w:topLinePunct/>
        <w:spacing w:line="240" w:lineRule="auto"/>
        <w:ind w:firstLine="0" w:firstLineChars="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（一）项目概况</w:t>
      </w:r>
    </w:p>
    <w:p>
      <w:pPr>
        <w:topLinePunct/>
        <w:spacing w:line="240" w:lineRule="auto"/>
        <w:ind w:firstLine="0" w:firstLine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1.立项背景及目的</w:t>
      </w:r>
    </w:p>
    <w:p>
      <w:pPr>
        <w:widowControl/>
        <w:shd w:val="clear" w:color="auto" w:fill="FFFFFF"/>
        <w:ind w:firstLine="705"/>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根据中共昆明市盘龙区委办公室 昆明市盘龙区人民政府办公室《关于印发〈昆明市盘龙区人民政府办公室职能配置、内设机构和人员编制规定〉的通知》（盘办通〔2019〕74号）文件精神，盘龙区政府办公室是盘龙区人民政府的运转中心，承担着服务决策、服务落实、服务发展的需求，承担办文、办会、办事各项业务。共设置内设机构15个</w:t>
      </w:r>
      <w:r>
        <w:rPr>
          <w:rFonts w:hint="default" w:ascii="仿宋_GB2312" w:hAnsi="仿宋_GB2312" w:eastAsia="仿宋_GB2312" w:cs="仿宋_GB2312"/>
          <w:b w:val="0"/>
          <w:bCs w:val="0"/>
          <w:kern w:val="2"/>
          <w:sz w:val="32"/>
          <w:szCs w:val="32"/>
          <w:lang w:val="en" w:eastAsia="zh-CN" w:bidi="ar-SA"/>
        </w:rPr>
        <w:t>,</w:t>
      </w:r>
      <w:r>
        <w:rPr>
          <w:rFonts w:hint="eastAsia" w:ascii="仿宋_GB2312" w:hAnsi="仿宋_GB2312" w:eastAsia="仿宋_GB2312" w:cs="仿宋_GB2312"/>
          <w:b w:val="0"/>
          <w:bCs w:val="0"/>
          <w:kern w:val="2"/>
          <w:sz w:val="32"/>
          <w:szCs w:val="32"/>
          <w:lang w:val="en-US" w:eastAsia="zh-CN" w:bidi="ar-SA"/>
        </w:rPr>
        <w:t xml:space="preserve"> 分别为：综合一科、综合二科、秘书一科、秘书二科、秘书三科、秘书四科、信息与政务公开科、目标督查科、财务科、规范性文件审查办公室、区长热线电话办公室、外事办公室、区政府总值班室、区大健康办公室、流动人口和出租房屋管理科。</w:t>
      </w:r>
    </w:p>
    <w:p>
      <w:pPr>
        <w:widowControl/>
        <w:shd w:val="clear" w:color="auto" w:fill="FFFFFF"/>
        <w:ind w:firstLine="705"/>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为切实履行各项职责，充分发挥参谋助手作用，高效服务，力促发展，保障区政府的各项工作高效有序运转。</w:t>
      </w:r>
      <w:r>
        <w:rPr>
          <w:rFonts w:hint="eastAsia" w:ascii="仿宋_GB2312" w:hAnsi="仿宋" w:eastAsia="仿宋_GB2312" w:cs="宋体"/>
          <w:color w:val="333333"/>
          <w:kern w:val="0"/>
          <w:sz w:val="32"/>
          <w:szCs w:val="32"/>
        </w:rPr>
        <w:t>全</w:t>
      </w:r>
      <w:r>
        <w:rPr>
          <w:rFonts w:hint="eastAsia" w:ascii="仿宋_GB2312" w:hAnsi="仿宋_GB2312" w:eastAsia="仿宋_GB2312" w:cs="仿宋_GB2312"/>
          <w:b w:val="0"/>
          <w:bCs w:val="0"/>
          <w:kern w:val="2"/>
          <w:sz w:val="32"/>
          <w:szCs w:val="32"/>
          <w:lang w:val="en-US" w:eastAsia="zh-CN" w:bidi="ar-SA"/>
        </w:rPr>
        <w:t>力加强公文处理规范化建设，做到件件有登记、件件有办理、件件有落实，对报送的公文坚持统一审核把关，严格按照公文内容、性质、紧急程度和报送程序及时办理，切实提高办文质量。需申请业务经费65万元，用于承办上级政府文件、指示在我区贯彻落实的工作，以及上级党委、政府和区委、区人大、区政协转由区政府办理的事项，高质量高效率提供信息服务，充分发挥参谋助手作用。</w:t>
      </w:r>
    </w:p>
    <w:p>
      <w:pPr>
        <w:topLinePunct/>
        <w:spacing w:line="240" w:lineRule="auto"/>
        <w:ind w:firstLine="0" w:firstLine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2.项目实施情况</w:t>
      </w:r>
    </w:p>
    <w:p>
      <w:pPr>
        <w:topLinePunct/>
        <w:spacing w:line="240" w:lineRule="auto"/>
        <w:ind w:firstLine="640" w:firstLineChars="200"/>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项目已按照年初设定目标全部完成。</w:t>
      </w:r>
    </w:p>
    <w:p>
      <w:pPr>
        <w:topLinePunct/>
        <w:spacing w:line="240" w:lineRule="auto"/>
        <w:ind w:firstLine="0" w:firstLine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3.资金来源及使用情况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288" w:lineRule="atLeast"/>
        <w:ind w:left="0" w:right="0" w:firstLine="640" w:firstLineChars="200"/>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2020年区政府办年初预算项目1个，财政安排项目资金65万元，实际支出65万元。项目经费收入和支出较往年都有所下降，主要因为受疫情影响，减少了一些不必要的开支，同时项目经费使用更加合理、规范，实现了开源节流。</w:t>
      </w:r>
    </w:p>
    <w:p>
      <w:pPr>
        <w:topLinePunct/>
        <w:spacing w:line="240" w:lineRule="auto"/>
        <w:ind w:firstLine="0" w:firstLine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4.组织及管理情况。</w:t>
      </w:r>
    </w:p>
    <w:p>
      <w:pPr>
        <w:spacing w:line="580" w:lineRule="exact"/>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区政府办公室按照</w:t>
      </w:r>
      <w:r>
        <w:rPr>
          <w:rFonts w:hint="eastAsia" w:ascii="仿宋_GB2312" w:eastAsia="仿宋_GB2312"/>
          <w:sz w:val="32"/>
          <w:szCs w:val="32"/>
        </w:rPr>
        <w:t>《昆明市盘龙区人民政府办公室关于转发</w:t>
      </w:r>
      <w:r>
        <w:rPr>
          <w:rFonts w:hint="eastAsia" w:ascii="仿宋_GB2312" w:hAnsi="仿宋_GB2312" w:eastAsia="仿宋_GB2312"/>
          <w:sz w:val="32"/>
          <w:szCs w:val="32"/>
        </w:rPr>
        <w:t>&lt;</w:t>
      </w:r>
      <w:r>
        <w:rPr>
          <w:rFonts w:hint="eastAsia" w:ascii="仿宋_GB2312" w:eastAsia="仿宋_GB2312"/>
          <w:sz w:val="32"/>
          <w:szCs w:val="32"/>
        </w:rPr>
        <w:t>昆明市预算绩效管理暂行办法</w:t>
      </w:r>
      <w:r>
        <w:rPr>
          <w:rFonts w:hint="eastAsia" w:ascii="仿宋_GB2312" w:hAnsi="仿宋_GB2312" w:eastAsia="仿宋_GB2312"/>
          <w:sz w:val="32"/>
          <w:szCs w:val="32"/>
        </w:rPr>
        <w:t>&gt;</w:t>
      </w:r>
      <w:r>
        <w:rPr>
          <w:rFonts w:hint="eastAsia" w:ascii="仿宋_GB2312" w:eastAsia="仿宋_GB2312"/>
          <w:sz w:val="32"/>
          <w:szCs w:val="32"/>
        </w:rPr>
        <w:t>的通知》</w:t>
      </w:r>
      <w:r>
        <w:rPr>
          <w:rFonts w:hint="eastAsia" w:ascii="仿宋_GB2312" w:eastAsia="仿宋_GB2312"/>
          <w:sz w:val="32"/>
          <w:szCs w:val="32"/>
          <w:lang w:eastAsia="zh-CN"/>
        </w:rPr>
        <w:t>和</w:t>
      </w:r>
      <w:r>
        <w:rPr>
          <w:rFonts w:hint="eastAsia" w:ascii="仿宋_GB2312" w:hAnsi="仿宋_GB2312" w:eastAsia="仿宋_GB2312" w:cs="仿宋_GB2312"/>
          <w:b w:val="0"/>
          <w:bCs w:val="0"/>
          <w:kern w:val="2"/>
          <w:sz w:val="32"/>
          <w:szCs w:val="32"/>
          <w:lang w:val="en-US" w:eastAsia="zh-CN" w:bidi="ar-SA"/>
        </w:rPr>
        <w:t>《盘龙区区级部门预算绩效自评管理暂行办法》规定，根据部门职能职责、年度工作计划，科学编制项目经费绩效指标，积极开展预算资金绩效评价跟踪。</w:t>
      </w:r>
    </w:p>
    <w:p>
      <w:pPr>
        <w:spacing w:line="580" w:lineRule="exact"/>
        <w:ind w:firstLine="640" w:firstLineChars="200"/>
        <w:rPr>
          <w:rFonts w:hint="default" w:ascii="仿宋_GB2312" w:hAnsi="仿宋_GB2312" w:eastAsia="仿宋_GB2312" w:cs="仿宋_GB2312"/>
          <w:b w:val="0"/>
          <w:bCs w:val="0"/>
          <w:kern w:val="2"/>
          <w:sz w:val="32"/>
          <w:szCs w:val="32"/>
          <w:lang w:val="en" w:eastAsia="zh-CN" w:bidi="ar-SA"/>
        </w:rPr>
      </w:pPr>
      <w:r>
        <w:rPr>
          <w:rFonts w:hint="eastAsia" w:ascii="仿宋_GB2312" w:hAnsi="仿宋_GB2312" w:eastAsia="仿宋_GB2312" w:cs="仿宋_GB2312"/>
          <w:b w:val="0"/>
          <w:bCs w:val="0"/>
          <w:kern w:val="2"/>
          <w:sz w:val="32"/>
          <w:szCs w:val="32"/>
          <w:lang w:val="en-US" w:eastAsia="zh-CN" w:bidi="ar-SA"/>
        </w:rPr>
        <w:t>区政府办公室项目业务经费主要用于日常办文办会所需的软硬件设施、材料费、两会材料印制费、政府办文书档案整理费用、日常办公经费，业务培训费等，在使用过程中严格执行财务管理制度，每一笔经济业务都按照程序进行审批，实行通过分管领导及负责人对项目支出签字审批，每一笔项目经费的开支在核定的支出限额和范围内实行据实凭票报账制，及时进行账务处理和会计核算，并进行严格监督检查，做到专款专用，不存在违规使用情况。对于重大的业务和重大资金支出事项，实行集体研究决策决定。对项目实施进度按季度进行跟踪督促，确保项目顺利完成。</w:t>
      </w:r>
    </w:p>
    <w:p>
      <w:pPr>
        <w:spacing w:line="240" w:lineRule="auto"/>
        <w:ind w:firstLine="0" w:firstLine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（二）绩效目标</w:t>
      </w:r>
    </w:p>
    <w:p>
      <w:pPr>
        <w:spacing w:line="240" w:lineRule="auto"/>
        <w:ind w:firstLine="0" w:firstLine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1.总目标</w:t>
      </w:r>
    </w:p>
    <w:p>
      <w:pPr>
        <w:spacing w:line="240" w:lineRule="auto"/>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紧紧围绕区委、区政府中心工作，切实履行各项职责，高效服务，力促发展，保障了区政府各项工作高效有序运转。全力加强公文处理规范化建设，做到件件有登记、件件有办理、件件有落实，对报送的公文坚持统一审核把关，严格按照公文内容、性质、紧急程度和报送程序及时办理，切实提高办文质量。围绕区政府各阶段的中心工作，开展调查研究，提出改进工作和解决问题的建议，为区政府领导决策与部署工作提供参考。确保区政府总体工作正常开展，区委、区政府及上级机关交办事项办理到位；区政府办公室高效、正常运转。</w:t>
      </w:r>
    </w:p>
    <w:p>
      <w:pPr>
        <w:numPr>
          <w:ilvl w:val="0"/>
          <w:numId w:val="0"/>
        </w:numPr>
        <w:spacing w:line="240" w:lineRule="auto"/>
        <w:ind w:leftChars="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2.年度目标</w:t>
      </w:r>
    </w:p>
    <w:p>
      <w:pPr>
        <w:numPr>
          <w:ilvl w:val="0"/>
          <w:numId w:val="0"/>
        </w:numPr>
        <w:spacing w:line="240" w:lineRule="auto"/>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2020年区政府办公室在区委、区政府的坚强领导下，紧紧围绕区委、区政府中心工作，切实履行各项职责，高效服务，发挥参谋助手作用；按照中央、省、市、区委区政府重大决策部署以及区政府领导安排工作贯彻落实情况的督查、调研、检查；督办上级领导批示和上级机关交办的事项，负责区政府重要会议的安排、组织和会务工作；做好区政府和区政府办文件的起草、上报、下发工作；提升信息公开质量和效率；完成区政府交办的其他任务。</w:t>
      </w:r>
    </w:p>
    <w:p>
      <w:pPr>
        <w:topLinePunct/>
        <w:spacing w:line="240" w:lineRule="auto"/>
        <w:ind w:firstLine="0" w:firstLineChars="0"/>
        <w:rPr>
          <w:rFonts w:ascii="黑体" w:hAnsi="黑体" w:eastAsia="黑体"/>
          <w:sz w:val="32"/>
          <w:szCs w:val="32"/>
        </w:rPr>
      </w:pPr>
      <w:r>
        <w:rPr>
          <w:rFonts w:hint="eastAsia" w:ascii="黑体" w:hAnsi="黑体" w:eastAsia="黑体"/>
          <w:sz w:val="32"/>
          <w:szCs w:val="32"/>
        </w:rPr>
        <w:t>二、绩效评价工作情况</w:t>
      </w:r>
    </w:p>
    <w:p>
      <w:pPr>
        <w:numPr>
          <w:ilvl w:val="0"/>
          <w:numId w:val="0"/>
        </w:numPr>
        <w:spacing w:line="240" w:lineRule="auto"/>
        <w:ind w:left="0" w:leftChars="0" w:firstLine="0" w:firstLineChars="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（一）绩效评价目的</w:t>
      </w:r>
      <w:bookmarkStart w:id="1" w:name="_GoBack"/>
      <w:bookmarkEnd w:id="1"/>
    </w:p>
    <w:p>
      <w:pPr>
        <w:numPr>
          <w:ilvl w:val="0"/>
          <w:numId w:val="0"/>
        </w:numPr>
        <w:spacing w:line="240" w:lineRule="auto"/>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通过对预算支出项目绩效目标的设置、资金使用情况、项目绩效表现情况进行自我评价，了解资金使用是否达到预期目标、资金管理是否规范、资金使用是否有效，检验资金支出效率和效果，分析存在的问题和原因，及时总结经验，改进管理措施，切实提高我单位的项目管理水平、财政资金使用效益和工作效率，并将评价结果作为改进本部门预算管理和安排以后年度预算的重要依据。</w:t>
      </w:r>
    </w:p>
    <w:p>
      <w:pPr>
        <w:numPr>
          <w:ilvl w:val="0"/>
          <w:numId w:val="0"/>
        </w:numPr>
        <w:spacing w:line="240" w:lineRule="auto"/>
        <w:ind w:left="0" w:leftChars="0" w:firstLine="0" w:firstLineChars="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（二）绩效评价工作方案制定过程</w:t>
      </w:r>
    </w:p>
    <w:p>
      <w:pPr>
        <w:numPr>
          <w:ilvl w:val="0"/>
          <w:numId w:val="0"/>
        </w:numPr>
        <w:spacing w:line="240" w:lineRule="auto"/>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1.前期调研</w:t>
      </w:r>
    </w:p>
    <w:p>
      <w:pPr>
        <w:widowControl/>
        <w:shd w:val="clear" w:color="auto" w:fill="FFFFFF"/>
        <w:ind w:firstLine="555"/>
        <w:jc w:val="left"/>
        <w:outlineLvl w:val="2"/>
        <w:rPr>
          <w:rFonts w:hint="eastAsia" w:ascii="仿宋_GB2312" w:hAnsi="仿宋_GB2312" w:eastAsia="仿宋_GB2312" w:cs="仿宋_GB2312"/>
          <w:b w:val="0"/>
          <w:bCs w:val="0"/>
          <w:kern w:val="2"/>
          <w:sz w:val="32"/>
          <w:szCs w:val="32"/>
          <w:lang w:val="en-US" w:eastAsia="zh-CN" w:bidi="ar-SA"/>
        </w:rPr>
      </w:pPr>
      <w:r>
        <w:rPr>
          <w:rFonts w:hint="eastAsia" w:ascii="仿宋_GB2312" w:hAnsi="仿宋" w:eastAsia="仿宋_GB2312" w:cs="宋体"/>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pPr>
        <w:numPr>
          <w:ilvl w:val="0"/>
          <w:numId w:val="0"/>
        </w:numPr>
        <w:spacing w:line="240" w:lineRule="auto"/>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2.研究文件</w:t>
      </w:r>
    </w:p>
    <w:p>
      <w:pPr>
        <w:widowControl/>
        <w:shd w:val="clear" w:color="auto" w:fill="FFFFFF"/>
        <w:ind w:firstLine="555"/>
        <w:jc w:val="left"/>
        <w:outlineLvl w:val="2"/>
        <w:rPr>
          <w:rFonts w:hint="eastAsia" w:ascii="仿宋_GB2312" w:hAnsi="仿宋_GB2312" w:eastAsia="仿宋_GB2312" w:cs="仿宋_GB2312"/>
          <w:b w:val="0"/>
          <w:bCs w:val="0"/>
          <w:kern w:val="2"/>
          <w:sz w:val="32"/>
          <w:szCs w:val="32"/>
          <w:lang w:val="en-US" w:eastAsia="zh-CN" w:bidi="ar-SA"/>
        </w:rPr>
      </w:pPr>
      <w:r>
        <w:rPr>
          <w:rFonts w:hint="eastAsia" w:ascii="仿宋_GB2312" w:hAnsi="仿宋" w:eastAsia="仿宋_GB2312" w:cs="宋体"/>
          <w:color w:val="333333"/>
          <w:kern w:val="0"/>
          <w:sz w:val="32"/>
          <w:szCs w:val="32"/>
        </w:rPr>
        <w:t>评价组对《盘龙区区级部门预算绩效自评管理暂行办法》《昆明市盘龙区财政局关于开展20</w:t>
      </w:r>
      <w:r>
        <w:rPr>
          <w:rFonts w:hint="eastAsia" w:ascii="仿宋_GB2312" w:hAnsi="仿宋" w:eastAsia="仿宋_GB2312" w:cs="宋体"/>
          <w:color w:val="333333"/>
          <w:kern w:val="0"/>
          <w:sz w:val="32"/>
          <w:szCs w:val="32"/>
          <w:lang w:val="en-US" w:eastAsia="zh-CN"/>
        </w:rPr>
        <w:t>20</w:t>
      </w:r>
      <w:r>
        <w:rPr>
          <w:rFonts w:hint="eastAsia" w:ascii="仿宋_GB2312" w:hAnsi="仿宋" w:eastAsia="仿宋_GB2312" w:cs="宋体"/>
          <w:color w:val="333333"/>
          <w:kern w:val="0"/>
          <w:sz w:val="32"/>
          <w:szCs w:val="32"/>
        </w:rPr>
        <w:t>年度区级预算支出绩效自评工作的通知》（盘财绩〔202</w:t>
      </w:r>
      <w:r>
        <w:rPr>
          <w:rFonts w:hint="eastAsia" w:ascii="仿宋_GB2312" w:hAnsi="仿宋" w:eastAsia="仿宋_GB2312" w:cs="宋体"/>
          <w:color w:val="333333"/>
          <w:kern w:val="0"/>
          <w:sz w:val="32"/>
          <w:szCs w:val="32"/>
          <w:lang w:val="en-US" w:eastAsia="zh-CN"/>
        </w:rPr>
        <w:t>1</w:t>
      </w:r>
      <w:r>
        <w:rPr>
          <w:rFonts w:hint="eastAsia" w:ascii="仿宋_GB2312" w:hAnsi="仿宋" w:eastAsia="仿宋_GB2312" w:cs="宋体"/>
          <w:color w:val="333333"/>
          <w:kern w:val="0"/>
          <w:sz w:val="32"/>
          <w:szCs w:val="32"/>
        </w:rPr>
        <w:t>〕</w:t>
      </w:r>
      <w:r>
        <w:rPr>
          <w:rFonts w:hint="eastAsia" w:ascii="仿宋_GB2312" w:hAnsi="仿宋" w:eastAsia="仿宋_GB2312" w:cs="宋体"/>
          <w:color w:val="333333"/>
          <w:kern w:val="0"/>
          <w:sz w:val="32"/>
          <w:szCs w:val="32"/>
          <w:lang w:val="en-US" w:eastAsia="zh-CN"/>
        </w:rPr>
        <w:t>2</w:t>
      </w:r>
      <w:r>
        <w:rPr>
          <w:rFonts w:hint="eastAsia" w:ascii="仿宋_GB2312" w:hAnsi="仿宋" w:eastAsia="仿宋_GB2312" w:cs="宋体"/>
          <w:color w:val="333333"/>
          <w:kern w:val="0"/>
          <w:sz w:val="32"/>
          <w:szCs w:val="32"/>
        </w:rPr>
        <w:t>号）及《昆明市盘龙区财政局关于开展</w:t>
      </w:r>
      <w:r>
        <w:rPr>
          <w:rFonts w:hint="eastAsia" w:ascii="仿宋_GB2312" w:hAnsi="仿宋" w:eastAsia="仿宋_GB2312" w:cs="宋体"/>
          <w:color w:val="333333"/>
          <w:kern w:val="0"/>
          <w:sz w:val="32"/>
          <w:szCs w:val="32"/>
          <w:lang w:val="en-US" w:eastAsia="zh-CN"/>
        </w:rPr>
        <w:t>2020</w:t>
      </w:r>
      <w:r>
        <w:rPr>
          <w:rFonts w:hint="eastAsia" w:ascii="仿宋_GB2312" w:hAnsi="仿宋" w:eastAsia="仿宋_GB2312" w:cs="宋体"/>
          <w:color w:val="333333"/>
          <w:kern w:val="0"/>
          <w:sz w:val="32"/>
          <w:szCs w:val="32"/>
        </w:rPr>
        <w:t>年度区级预算支出绩效自评工作及下达</w:t>
      </w:r>
      <w:r>
        <w:rPr>
          <w:rFonts w:hint="eastAsia" w:ascii="仿宋_GB2312" w:hAnsi="仿宋" w:eastAsia="仿宋_GB2312" w:cs="宋体"/>
          <w:color w:val="333333"/>
          <w:kern w:val="0"/>
          <w:sz w:val="32"/>
          <w:szCs w:val="32"/>
          <w:lang w:val="en-US" w:eastAsia="zh-CN"/>
        </w:rPr>
        <w:t>2020</w:t>
      </w:r>
      <w:r>
        <w:rPr>
          <w:rFonts w:hint="eastAsia" w:ascii="仿宋_GB2312" w:hAnsi="仿宋" w:eastAsia="仿宋_GB2312" w:cs="宋体"/>
          <w:color w:val="333333"/>
          <w:kern w:val="0"/>
          <w:sz w:val="32"/>
          <w:szCs w:val="32"/>
        </w:rPr>
        <w:t>年部门重点绩效自评项目的通知》进行了认真研究</w:t>
      </w:r>
      <w:r>
        <w:rPr>
          <w:rFonts w:hint="eastAsia" w:ascii="仿宋_GB2312" w:hAnsi="仿宋" w:eastAsia="仿宋_GB2312" w:cs="宋体"/>
          <w:color w:val="333333"/>
          <w:kern w:val="0"/>
          <w:sz w:val="32"/>
          <w:szCs w:val="32"/>
          <w:lang w:eastAsia="zh-CN"/>
        </w:rPr>
        <w:t>，</w:t>
      </w:r>
      <w:r>
        <w:rPr>
          <w:rFonts w:hint="eastAsia" w:ascii="仿宋_GB2312" w:hAnsi="仿宋" w:eastAsia="仿宋_GB2312" w:cs="宋体"/>
          <w:color w:val="333333"/>
          <w:kern w:val="0"/>
          <w:sz w:val="32"/>
          <w:szCs w:val="32"/>
        </w:rPr>
        <w:t>吃透文件精神，以确保绩效评价工作符合区财政局的相关要求。</w:t>
      </w:r>
    </w:p>
    <w:p>
      <w:pPr>
        <w:numPr>
          <w:ilvl w:val="0"/>
          <w:numId w:val="0"/>
        </w:numPr>
        <w:spacing w:line="240" w:lineRule="auto"/>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3.绩效评价指标体系及工作方案的设计</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评价组参照《盘龙区区级部门预算绩效自评管理暂行办法》的项目支出共性指标</w:t>
      </w:r>
      <w:r>
        <w:rPr>
          <w:rFonts w:hint="eastAsia" w:ascii="仿宋_GB2312" w:hAnsi="仿宋" w:eastAsia="仿宋_GB2312" w:cs="宋体"/>
          <w:color w:val="333333"/>
          <w:kern w:val="0"/>
          <w:sz w:val="32"/>
          <w:szCs w:val="32"/>
          <w:lang w:eastAsia="zh-CN"/>
        </w:rPr>
        <w:t>，</w:t>
      </w:r>
      <w:r>
        <w:rPr>
          <w:rFonts w:hint="eastAsia" w:ascii="仿宋_GB2312" w:hAnsi="仿宋" w:eastAsia="仿宋_GB2312" w:cs="宋体"/>
          <w:color w:val="333333"/>
          <w:kern w:val="0"/>
          <w:sz w:val="32"/>
          <w:szCs w:val="32"/>
        </w:rPr>
        <w:t>结合项目资金使用部门的职能职责和项目资金的具体用途</w:t>
      </w:r>
      <w:r>
        <w:rPr>
          <w:rFonts w:hint="eastAsia" w:ascii="仿宋_GB2312" w:hAnsi="仿宋" w:eastAsia="仿宋_GB2312" w:cs="宋体"/>
          <w:color w:val="333333"/>
          <w:kern w:val="0"/>
          <w:sz w:val="32"/>
          <w:szCs w:val="32"/>
          <w:lang w:eastAsia="zh-CN"/>
        </w:rPr>
        <w:t>，</w:t>
      </w:r>
      <w:r>
        <w:rPr>
          <w:rFonts w:hint="eastAsia" w:ascii="仿宋_GB2312" w:hAnsi="仿宋" w:eastAsia="仿宋_GB2312" w:cs="宋体"/>
          <w:color w:val="333333"/>
          <w:kern w:val="0"/>
          <w:sz w:val="32"/>
          <w:szCs w:val="32"/>
        </w:rPr>
        <w:t>设计该项目支出的绩效评价指标体系和评价工作方案，以确保方案可行，绩效评价指标符合项目实际，具有准确性和可操作性。</w:t>
      </w:r>
    </w:p>
    <w:p>
      <w:pPr>
        <w:widowControl/>
        <w:shd w:val="clear" w:color="auto" w:fill="FFFFFF"/>
        <w:ind w:firstLine="555"/>
        <w:jc w:val="left"/>
        <w:outlineLvl w:val="2"/>
        <w:rPr>
          <w:rFonts w:hint="eastAsia" w:ascii="仿宋_GB2312" w:hAnsi="仿宋_GB2312" w:eastAsia="仿宋_GB2312" w:cs="仿宋_GB2312"/>
          <w:b w:val="0"/>
          <w:bCs w:val="0"/>
          <w:kern w:val="2"/>
          <w:sz w:val="32"/>
          <w:szCs w:val="32"/>
          <w:lang w:val="en-US" w:eastAsia="zh-CN" w:bidi="ar-SA"/>
        </w:rPr>
      </w:pPr>
      <w:r>
        <w:rPr>
          <w:rFonts w:hint="eastAsia" w:ascii="仿宋_GB2312" w:hAnsi="仿宋" w:eastAsia="仿宋_GB2312" w:cs="宋体"/>
          <w:color w:val="333333"/>
          <w:kern w:val="0"/>
          <w:sz w:val="32"/>
          <w:szCs w:val="32"/>
          <w:lang w:eastAsia="zh-CN"/>
        </w:rPr>
        <w:t>此次项目绩效指标共分三级，其中包括</w:t>
      </w:r>
      <w:r>
        <w:rPr>
          <w:rFonts w:hint="eastAsia" w:ascii="仿宋_GB2312" w:hAnsi="仿宋" w:eastAsia="仿宋_GB2312" w:cs="宋体"/>
          <w:color w:val="333333"/>
          <w:kern w:val="0"/>
          <w:sz w:val="32"/>
          <w:szCs w:val="32"/>
          <w:lang w:val="en-US" w:eastAsia="zh-CN"/>
        </w:rPr>
        <w:t>3个一级指标，4个二级指标，4个三级指标。</w:t>
      </w:r>
    </w:p>
    <w:p>
      <w:pPr>
        <w:widowControl/>
        <w:shd w:val="clear" w:color="auto" w:fill="FFFFFF"/>
        <w:ind w:firstLine="0"/>
        <w:jc w:val="left"/>
        <w:outlineLvl w:val="2"/>
        <w:rPr>
          <w:rFonts w:hint="eastAsia" w:ascii="仿宋_GB2312" w:hAnsi="仿宋" w:eastAsia="仿宋_GB2312" w:cs="宋体"/>
          <w:b/>
          <w:bCs/>
          <w:color w:val="333333"/>
          <w:kern w:val="0"/>
          <w:sz w:val="32"/>
          <w:szCs w:val="32"/>
        </w:rPr>
      </w:pPr>
      <w:r>
        <w:rPr>
          <w:rFonts w:hint="eastAsia" w:ascii="仿宋_GB2312" w:hAnsi="仿宋" w:eastAsia="仿宋_GB2312" w:cs="宋体"/>
          <w:b/>
          <w:bCs/>
          <w:color w:val="333333"/>
          <w:kern w:val="0"/>
          <w:sz w:val="32"/>
          <w:szCs w:val="32"/>
        </w:rPr>
        <w:t>（三）绩效评价原则、评价方法</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1.绩效评价原则。</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评价工作组秉承科学规范、客观公正、定性定量的原则，采取计划标准、历史标准相结合的方式开展绩效评价。</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2.绩效评价方法</w:t>
      </w:r>
    </w:p>
    <w:p>
      <w:pPr>
        <w:widowControl/>
        <w:shd w:val="clear" w:color="auto" w:fill="FFFFFF"/>
        <w:ind w:firstLine="555"/>
        <w:jc w:val="left"/>
        <w:outlineLvl w:val="2"/>
        <w:rPr>
          <w:rFonts w:hint="default"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eastAsia="zh-CN"/>
        </w:rPr>
        <w:t>本次自评采用查阅资料、实地查看、问卷调查等方法，区政府办公室预算项目绩效评价按项目指标体系，从项目产出指标、效益指标以及满意度指标</w:t>
      </w:r>
      <w:r>
        <w:rPr>
          <w:rFonts w:hint="eastAsia" w:ascii="仿宋_GB2312" w:hAnsi="仿宋" w:eastAsia="仿宋_GB2312" w:cs="宋体"/>
          <w:color w:val="333333"/>
          <w:kern w:val="0"/>
          <w:sz w:val="32"/>
          <w:szCs w:val="32"/>
          <w:lang w:val="en-US" w:eastAsia="zh-CN"/>
        </w:rPr>
        <w:t>3个环节进行自我评价。评价结果分为优、良、中、差四级。综合得分</w:t>
      </w:r>
      <w:r>
        <w:rPr>
          <w:rFonts w:hint="default" w:ascii="Arial" w:hAnsi="Arial" w:eastAsia="仿宋_GB2312" w:cs="Arial"/>
          <w:color w:val="333333"/>
          <w:kern w:val="0"/>
          <w:sz w:val="32"/>
          <w:szCs w:val="32"/>
          <w:lang w:val="en-US" w:eastAsia="zh-CN"/>
        </w:rPr>
        <w:t>≥</w:t>
      </w:r>
      <w:r>
        <w:rPr>
          <w:rFonts w:hint="eastAsia" w:ascii="仿宋_GB2312" w:hAnsi="仿宋" w:eastAsia="仿宋_GB2312" w:cs="宋体"/>
          <w:color w:val="333333"/>
          <w:kern w:val="0"/>
          <w:sz w:val="32"/>
          <w:szCs w:val="32"/>
          <w:lang w:val="en-US" w:eastAsia="zh-CN"/>
        </w:rPr>
        <w:t>90分为优，80</w:t>
      </w:r>
      <w:r>
        <w:rPr>
          <w:rFonts w:hint="default" w:ascii="Arial" w:hAnsi="Arial" w:eastAsia="仿宋_GB2312" w:cs="Arial"/>
          <w:color w:val="333333"/>
          <w:kern w:val="0"/>
          <w:sz w:val="32"/>
          <w:szCs w:val="32"/>
          <w:lang w:val="en-US" w:eastAsia="zh-CN"/>
        </w:rPr>
        <w:t>≤</w:t>
      </w:r>
      <w:r>
        <w:rPr>
          <w:rFonts w:hint="eastAsia" w:ascii="仿宋_GB2312" w:hAnsi="仿宋" w:eastAsia="仿宋_GB2312" w:cs="宋体"/>
          <w:color w:val="333333"/>
          <w:kern w:val="0"/>
          <w:sz w:val="32"/>
          <w:szCs w:val="32"/>
          <w:lang w:val="en-US" w:eastAsia="zh-CN"/>
        </w:rPr>
        <w:t>综合得分</w:t>
      </w:r>
      <w:r>
        <w:rPr>
          <w:rFonts w:hint="default" w:ascii="Arial" w:hAnsi="Arial" w:eastAsia="仿宋_GB2312" w:cs="Arial"/>
          <w:color w:val="333333"/>
          <w:kern w:val="0"/>
          <w:sz w:val="32"/>
          <w:szCs w:val="32"/>
          <w:lang w:val="en-US" w:eastAsia="zh-CN"/>
        </w:rPr>
        <w:t>≤</w:t>
      </w:r>
      <w:r>
        <w:rPr>
          <w:rFonts w:hint="eastAsia" w:ascii="Arial" w:hAnsi="Arial" w:eastAsia="仿宋_GB2312" w:cs="Arial"/>
          <w:color w:val="333333"/>
          <w:kern w:val="0"/>
          <w:sz w:val="32"/>
          <w:szCs w:val="32"/>
          <w:lang w:val="en-US" w:eastAsia="zh-CN"/>
        </w:rPr>
        <w:t>90</w:t>
      </w:r>
      <w:r>
        <w:rPr>
          <w:rFonts w:hint="eastAsia" w:ascii="仿宋_GB2312" w:hAnsi="仿宋" w:eastAsia="仿宋_GB2312" w:cs="宋体"/>
          <w:color w:val="333333"/>
          <w:kern w:val="0"/>
          <w:sz w:val="32"/>
          <w:szCs w:val="32"/>
          <w:lang w:val="en-US" w:eastAsia="zh-CN"/>
        </w:rPr>
        <w:t>分为良，60</w:t>
      </w:r>
      <w:r>
        <w:rPr>
          <w:rFonts w:hint="default" w:ascii="Arial" w:hAnsi="Arial" w:eastAsia="仿宋_GB2312" w:cs="Arial"/>
          <w:color w:val="333333"/>
          <w:kern w:val="0"/>
          <w:sz w:val="32"/>
          <w:szCs w:val="32"/>
          <w:lang w:val="en-US" w:eastAsia="zh-CN"/>
        </w:rPr>
        <w:t>≤</w:t>
      </w:r>
      <w:r>
        <w:rPr>
          <w:rFonts w:hint="eastAsia" w:ascii="仿宋_GB2312" w:hAnsi="仿宋" w:eastAsia="仿宋_GB2312" w:cs="宋体"/>
          <w:color w:val="333333"/>
          <w:kern w:val="0"/>
          <w:sz w:val="32"/>
          <w:szCs w:val="32"/>
          <w:lang w:val="en-US" w:eastAsia="zh-CN"/>
        </w:rPr>
        <w:t>综合得分</w:t>
      </w:r>
      <w:r>
        <w:rPr>
          <w:rFonts w:hint="default" w:ascii="Arial" w:hAnsi="Arial" w:eastAsia="仿宋_GB2312" w:cs="Arial"/>
          <w:color w:val="333333"/>
          <w:kern w:val="0"/>
          <w:sz w:val="32"/>
          <w:szCs w:val="32"/>
          <w:lang w:val="en-US" w:eastAsia="zh-CN"/>
        </w:rPr>
        <w:t>≤</w:t>
      </w:r>
      <w:r>
        <w:rPr>
          <w:rFonts w:hint="eastAsia" w:ascii="Arial" w:hAnsi="Arial" w:eastAsia="仿宋_GB2312" w:cs="Arial"/>
          <w:color w:val="333333"/>
          <w:kern w:val="0"/>
          <w:sz w:val="32"/>
          <w:szCs w:val="32"/>
          <w:lang w:val="en-US" w:eastAsia="zh-CN"/>
        </w:rPr>
        <w:t>80</w:t>
      </w:r>
      <w:r>
        <w:rPr>
          <w:rFonts w:hint="eastAsia" w:ascii="仿宋_GB2312" w:hAnsi="仿宋" w:eastAsia="仿宋_GB2312" w:cs="宋体"/>
          <w:color w:val="333333"/>
          <w:kern w:val="0"/>
          <w:sz w:val="32"/>
          <w:szCs w:val="32"/>
          <w:lang w:val="en-US" w:eastAsia="zh-CN"/>
        </w:rPr>
        <w:t>分为中，综合得分</w:t>
      </w:r>
      <w:r>
        <w:rPr>
          <w:rFonts w:hint="default" w:ascii="Arial" w:hAnsi="Arial" w:eastAsia="仿宋_GB2312" w:cs="Arial"/>
          <w:color w:val="333333"/>
          <w:kern w:val="0"/>
          <w:sz w:val="32"/>
          <w:szCs w:val="32"/>
          <w:lang w:val="en-US" w:eastAsia="zh-CN"/>
        </w:rPr>
        <w:t>≤</w:t>
      </w:r>
      <w:r>
        <w:rPr>
          <w:rFonts w:hint="eastAsia" w:ascii="Arial" w:hAnsi="Arial" w:eastAsia="仿宋_GB2312" w:cs="Arial"/>
          <w:color w:val="333333"/>
          <w:kern w:val="0"/>
          <w:sz w:val="32"/>
          <w:szCs w:val="32"/>
          <w:lang w:val="en-US" w:eastAsia="zh-CN"/>
        </w:rPr>
        <w:t>60</w:t>
      </w:r>
      <w:r>
        <w:rPr>
          <w:rFonts w:hint="eastAsia" w:ascii="仿宋_GB2312" w:hAnsi="仿宋" w:eastAsia="仿宋_GB2312" w:cs="宋体"/>
          <w:color w:val="333333"/>
          <w:kern w:val="0"/>
          <w:sz w:val="32"/>
          <w:szCs w:val="32"/>
          <w:lang w:val="en-US" w:eastAsia="zh-CN"/>
        </w:rPr>
        <w:t>分为差。</w:t>
      </w:r>
    </w:p>
    <w:p>
      <w:pPr>
        <w:widowControl/>
        <w:shd w:val="clear" w:color="auto" w:fill="FFFFFF"/>
        <w:ind w:firstLine="0"/>
        <w:jc w:val="left"/>
        <w:outlineLvl w:val="2"/>
        <w:rPr>
          <w:rFonts w:hint="eastAsia" w:ascii="仿宋_GB2312" w:hAnsi="仿宋" w:eastAsia="仿宋_GB2312" w:cs="宋体"/>
          <w:b/>
          <w:bCs/>
          <w:color w:val="333333"/>
          <w:kern w:val="0"/>
          <w:sz w:val="32"/>
          <w:szCs w:val="32"/>
        </w:rPr>
      </w:pPr>
      <w:r>
        <w:rPr>
          <w:rFonts w:hint="eastAsia" w:ascii="仿宋_GB2312" w:hAnsi="仿宋" w:eastAsia="仿宋_GB2312" w:cs="宋体"/>
          <w:b/>
          <w:bCs/>
          <w:color w:val="333333"/>
          <w:kern w:val="0"/>
          <w:sz w:val="32"/>
          <w:szCs w:val="32"/>
        </w:rPr>
        <w:t>（四）绩效评价实施过程</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1.数据填报和采集</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评价组严格按照昆明市盘龙区财政局关于印发《盘龙区区级部门预算绩效自评管理暂行办法》的要求，结合本单位项目支出财务资料和</w:t>
      </w:r>
      <w:r>
        <w:rPr>
          <w:rFonts w:hint="eastAsia" w:ascii="仿宋_GB2312" w:hAnsi="仿宋" w:eastAsia="仿宋_GB2312" w:cs="宋体"/>
          <w:color w:val="333333"/>
          <w:kern w:val="0"/>
          <w:sz w:val="32"/>
          <w:szCs w:val="32"/>
          <w:lang w:val="en-US" w:eastAsia="zh-CN"/>
        </w:rPr>
        <w:t>2020</w:t>
      </w:r>
      <w:r>
        <w:rPr>
          <w:rFonts w:hint="eastAsia" w:ascii="仿宋_GB2312" w:hAnsi="仿宋" w:eastAsia="仿宋_GB2312" w:cs="宋体"/>
          <w:color w:val="333333"/>
          <w:kern w:val="0"/>
          <w:sz w:val="32"/>
          <w:szCs w:val="32"/>
        </w:rPr>
        <w:t>年决算资料进行相关数据采集和填报。</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w:t>
      </w:r>
      <w:r>
        <w:rPr>
          <w:rFonts w:hint="eastAsia" w:ascii="仿宋_GB2312" w:hAnsi="仿宋" w:eastAsia="仿宋_GB2312" w:cs="宋体"/>
          <w:color w:val="333333"/>
          <w:kern w:val="0"/>
          <w:sz w:val="32"/>
          <w:szCs w:val="32"/>
          <w:lang w:val="en-US" w:eastAsia="zh-CN"/>
        </w:rPr>
        <w:t>.</w:t>
      </w:r>
      <w:r>
        <w:rPr>
          <w:rFonts w:hint="eastAsia" w:ascii="仿宋_GB2312" w:hAnsi="仿宋" w:eastAsia="仿宋_GB2312" w:cs="宋体"/>
          <w:color w:val="333333"/>
          <w:kern w:val="0"/>
          <w:sz w:val="32"/>
          <w:szCs w:val="32"/>
        </w:rPr>
        <w:t>社会调查</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根据本项目的具体情况，本单位项目组成员针对本项目设计调查问卷，对本项目受益对象随机发放并收回了10份有效调查问卷，平均得分12分。</w:t>
      </w:r>
      <w:r>
        <w:rPr>
          <w:rFonts w:hint="eastAsia" w:ascii="仿宋_GB2312" w:hAnsi="仿宋" w:eastAsia="仿宋_GB2312" w:cs="宋体"/>
          <w:color w:val="333333"/>
          <w:kern w:val="0"/>
          <w:sz w:val="32"/>
          <w:szCs w:val="32"/>
        </w:rPr>
        <w:br w:type="textWrapping"/>
      </w:r>
      <w:r>
        <w:rPr>
          <w:rFonts w:hint="eastAsia" w:ascii="宋体" w:hAnsi="宋体" w:cs="宋体"/>
          <w:color w:val="333333"/>
          <w:kern w:val="0"/>
          <w:sz w:val="32"/>
          <w:szCs w:val="32"/>
        </w:rPr>
        <w:t> </w:t>
      </w:r>
      <w:r>
        <w:rPr>
          <w:rFonts w:hint="eastAsia" w:ascii="仿宋_GB2312" w:hAnsi="仿宋" w:eastAsia="仿宋_GB2312" w:cs="宋体"/>
          <w:color w:val="333333"/>
          <w:kern w:val="0"/>
          <w:sz w:val="32"/>
          <w:szCs w:val="32"/>
        </w:rPr>
        <w:t xml:space="preserve"> 3</w:t>
      </w:r>
      <w:r>
        <w:rPr>
          <w:rFonts w:hint="eastAsia" w:ascii="仿宋_GB2312" w:hAnsi="仿宋" w:eastAsia="仿宋_GB2312" w:cs="宋体"/>
          <w:color w:val="333333"/>
          <w:kern w:val="0"/>
          <w:sz w:val="32"/>
          <w:szCs w:val="32"/>
          <w:lang w:val="en-US" w:eastAsia="zh-CN"/>
        </w:rPr>
        <w:t>.</w:t>
      </w:r>
      <w:r>
        <w:rPr>
          <w:rFonts w:hint="eastAsia" w:ascii="仿宋_GB2312" w:hAnsi="仿宋" w:eastAsia="仿宋_GB2312" w:cs="宋体"/>
          <w:color w:val="333333"/>
          <w:kern w:val="0"/>
          <w:sz w:val="32"/>
          <w:szCs w:val="32"/>
        </w:rPr>
        <w:t>数据分析和撰写报告</w:t>
      </w:r>
      <w:r>
        <w:rPr>
          <w:rFonts w:hint="eastAsia" w:ascii="仿宋_GB2312" w:hAnsi="仿宋" w:eastAsia="仿宋_GB2312" w:cs="宋体"/>
          <w:color w:val="333333"/>
          <w:kern w:val="0"/>
          <w:sz w:val="32"/>
          <w:szCs w:val="32"/>
        </w:rPr>
        <w:br w:type="textWrapping"/>
      </w:r>
      <w:r>
        <w:rPr>
          <w:rFonts w:hint="eastAsia" w:ascii="宋体" w:hAnsi="宋体" w:cs="宋体"/>
          <w:color w:val="333333"/>
          <w:kern w:val="0"/>
          <w:sz w:val="32"/>
          <w:szCs w:val="32"/>
        </w:rPr>
        <w:t> </w:t>
      </w:r>
      <w:r>
        <w:rPr>
          <w:rFonts w:hint="eastAsia" w:ascii="仿宋_GB2312" w:hAnsi="仿宋" w:eastAsia="仿宋_GB2312" w:cs="宋体"/>
          <w:color w:val="333333"/>
          <w:kern w:val="0"/>
          <w:sz w:val="32"/>
          <w:szCs w:val="32"/>
        </w:rPr>
        <w:t xml:space="preserve"> </w:t>
      </w:r>
      <w:r>
        <w:rPr>
          <w:rFonts w:hint="eastAsia" w:ascii="宋体" w:hAnsi="宋体" w:cs="宋体"/>
          <w:color w:val="333333"/>
          <w:kern w:val="0"/>
          <w:sz w:val="32"/>
          <w:szCs w:val="32"/>
        </w:rPr>
        <w:t> </w:t>
      </w:r>
      <w:r>
        <w:rPr>
          <w:rFonts w:hint="eastAsia" w:ascii="仿宋_GB2312" w:hAnsi="仿宋" w:eastAsia="仿宋_GB2312" w:cs="宋体"/>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p>
    <w:p>
      <w:pPr>
        <w:widowControl/>
        <w:numPr>
          <w:ilvl w:val="0"/>
          <w:numId w:val="2"/>
        </w:numPr>
        <w:shd w:val="clear" w:color="auto" w:fill="FFFFFF"/>
        <w:ind w:firstLine="0"/>
        <w:jc w:val="left"/>
        <w:outlineLvl w:val="2"/>
        <w:rPr>
          <w:rFonts w:hint="eastAsia" w:ascii="仿宋_GB2312" w:hAnsi="仿宋" w:eastAsia="仿宋_GB2312" w:cs="宋体"/>
          <w:b/>
          <w:bCs/>
          <w:color w:val="333333"/>
          <w:kern w:val="0"/>
          <w:sz w:val="32"/>
          <w:szCs w:val="32"/>
        </w:rPr>
      </w:pPr>
      <w:r>
        <w:rPr>
          <w:rFonts w:hint="eastAsia" w:ascii="仿宋_GB2312" w:hAnsi="仿宋" w:eastAsia="仿宋_GB2312" w:cs="宋体"/>
          <w:b/>
          <w:bCs/>
          <w:color w:val="333333"/>
          <w:kern w:val="0"/>
          <w:sz w:val="32"/>
          <w:szCs w:val="32"/>
        </w:rPr>
        <w:t>本次绩效评价的局限性</w:t>
      </w:r>
    </w:p>
    <w:p>
      <w:pPr>
        <w:widowControl/>
        <w:shd w:val="clear" w:color="auto" w:fill="FFFFFF"/>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w:t>
      </w:r>
      <w:r>
        <w:rPr>
          <w:rFonts w:hint="eastAsia" w:ascii="仿宋_GB2312" w:hAnsi="仿宋" w:eastAsia="仿宋_GB2312" w:cs="宋体"/>
          <w:color w:val="333333"/>
          <w:kern w:val="0"/>
          <w:sz w:val="32"/>
          <w:szCs w:val="32"/>
          <w:lang w:eastAsia="zh-CN"/>
        </w:rPr>
        <w:t>实际为单位</w:t>
      </w:r>
      <w:r>
        <w:rPr>
          <w:rFonts w:hint="eastAsia" w:ascii="仿宋_GB2312" w:hAnsi="仿宋" w:eastAsia="仿宋_GB2312" w:cs="宋体"/>
          <w:color w:val="333333"/>
          <w:kern w:val="0"/>
          <w:sz w:val="32"/>
          <w:szCs w:val="32"/>
        </w:rPr>
        <w:t>经费类项目，故以本单位实际开展日常工作情况为绩效效果进行考评</w:t>
      </w:r>
      <w:r>
        <w:rPr>
          <w:rFonts w:hint="eastAsia" w:ascii="仿宋_GB2312" w:hAnsi="仿宋" w:eastAsia="仿宋_GB2312" w:cs="宋体"/>
          <w:color w:val="333333"/>
          <w:kern w:val="0"/>
          <w:sz w:val="32"/>
          <w:szCs w:val="32"/>
          <w:lang w:eastAsia="zh-CN"/>
        </w:rPr>
        <w:t>，</w:t>
      </w:r>
      <w:r>
        <w:rPr>
          <w:rFonts w:hint="eastAsia" w:ascii="仿宋_GB2312" w:hAnsi="仿宋" w:eastAsia="仿宋_GB2312" w:cs="宋体"/>
          <w:color w:val="333333"/>
          <w:kern w:val="0"/>
          <w:sz w:val="32"/>
          <w:szCs w:val="32"/>
        </w:rPr>
        <w:t>且资金管理由本单位进行统一管理。</w:t>
      </w:r>
    </w:p>
    <w:p>
      <w:pPr>
        <w:topLinePunct/>
        <w:spacing w:line="240" w:lineRule="auto"/>
        <w:ind w:firstLine="0" w:firstLineChars="0"/>
        <w:rPr>
          <w:rFonts w:ascii="黑体" w:hAnsi="黑体" w:eastAsia="黑体"/>
          <w:sz w:val="32"/>
          <w:szCs w:val="32"/>
        </w:rPr>
      </w:pPr>
      <w:r>
        <w:rPr>
          <w:rFonts w:hint="eastAsia" w:ascii="黑体" w:hAnsi="黑体" w:eastAsia="黑体"/>
          <w:sz w:val="32"/>
          <w:szCs w:val="32"/>
        </w:rPr>
        <w:t>三、评价结论和绩效分析</w:t>
      </w:r>
    </w:p>
    <w:p>
      <w:pPr>
        <w:widowControl/>
        <w:shd w:val="clear" w:color="auto" w:fill="FFFFFF"/>
        <w:ind w:firstLine="0"/>
        <w:jc w:val="left"/>
        <w:outlineLvl w:val="2"/>
        <w:rPr>
          <w:rFonts w:hint="eastAsia" w:ascii="仿宋_GB2312" w:hAnsi="仿宋" w:eastAsia="仿宋_GB2312" w:cs="宋体"/>
          <w:b/>
          <w:bCs/>
          <w:color w:val="333333"/>
          <w:kern w:val="0"/>
          <w:sz w:val="32"/>
          <w:szCs w:val="32"/>
          <w:lang w:eastAsia="zh-CN"/>
        </w:rPr>
      </w:pPr>
      <w:r>
        <w:rPr>
          <w:rFonts w:hint="eastAsia" w:ascii="仿宋_GB2312" w:hAnsi="仿宋" w:eastAsia="仿宋_GB2312" w:cs="宋体"/>
          <w:b/>
          <w:bCs/>
          <w:color w:val="333333"/>
          <w:kern w:val="0"/>
          <w:sz w:val="32"/>
          <w:szCs w:val="32"/>
          <w:lang w:eastAsia="zh-CN"/>
        </w:rPr>
        <w:t>（一）评价结论</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w:t>
      </w:r>
      <w:r>
        <w:rPr>
          <w:rFonts w:hint="eastAsia" w:ascii="仿宋_GB2312" w:hAnsi="仿宋" w:eastAsia="仿宋_GB2312" w:cs="宋体"/>
          <w:color w:val="333333"/>
          <w:kern w:val="0"/>
          <w:sz w:val="32"/>
          <w:szCs w:val="32"/>
          <w:lang w:val="en-US" w:eastAsia="zh-CN"/>
        </w:rPr>
        <w:t>.</w:t>
      </w:r>
      <w:r>
        <w:rPr>
          <w:rFonts w:hint="eastAsia" w:ascii="仿宋_GB2312" w:hAnsi="仿宋" w:eastAsia="仿宋_GB2312" w:cs="宋体"/>
          <w:color w:val="333333"/>
          <w:kern w:val="0"/>
          <w:sz w:val="32"/>
          <w:szCs w:val="32"/>
        </w:rPr>
        <w:t xml:space="preserve">评价结果 </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widowControl/>
        <w:shd w:val="clear" w:color="auto" w:fill="FFFFFF"/>
        <w:ind w:firstLine="555"/>
        <w:jc w:val="left"/>
        <w:outlineLvl w:val="2"/>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rPr>
        <w:t>综上，根据《盘龙区区级部门预算绩效自评管理暂行办法》，</w:t>
      </w:r>
      <w:r>
        <w:rPr>
          <w:rFonts w:hint="eastAsia" w:ascii="仿宋_GB2312" w:hAnsi="仿宋" w:eastAsia="仿宋_GB2312" w:cs="宋体"/>
          <w:color w:val="333333"/>
          <w:kern w:val="0"/>
          <w:sz w:val="32"/>
          <w:szCs w:val="32"/>
          <w:lang w:val="en-US" w:eastAsia="zh-CN"/>
        </w:rPr>
        <w:t>2020年我办</w:t>
      </w:r>
      <w:r>
        <w:rPr>
          <w:rFonts w:hint="eastAsia" w:ascii="仿宋_GB2312" w:hAnsi="仿宋" w:eastAsia="仿宋_GB2312" w:cs="宋体"/>
          <w:color w:val="333333"/>
          <w:kern w:val="0"/>
          <w:sz w:val="32"/>
          <w:szCs w:val="32"/>
          <w:lang w:eastAsia="zh-CN"/>
        </w:rPr>
        <w:t>较好地实现了支出安排、资金使用和绩效管理，夯实了区政府各项事业稳健发展，各项事务顺利开展的基础，确保了更好发挥参谋助手作用。</w:t>
      </w:r>
      <w:r>
        <w:rPr>
          <w:rFonts w:hint="eastAsia" w:ascii="仿宋_GB2312" w:hAnsi="仿宋" w:eastAsia="仿宋_GB2312" w:cs="宋体"/>
          <w:color w:val="333333"/>
          <w:kern w:val="0"/>
          <w:sz w:val="32"/>
          <w:szCs w:val="32"/>
          <w:lang w:val="en-US" w:eastAsia="zh-CN"/>
        </w:rPr>
        <w:t>部门整体支出绩效评价</w:t>
      </w:r>
      <w:r>
        <w:rPr>
          <w:rFonts w:hint="eastAsia" w:ascii="仿宋_GB2312" w:hAnsi="仿宋" w:eastAsia="仿宋_GB2312" w:cs="宋体"/>
          <w:color w:val="333333"/>
          <w:kern w:val="0"/>
          <w:sz w:val="32"/>
          <w:szCs w:val="32"/>
        </w:rPr>
        <w:t>得分为</w:t>
      </w:r>
      <w:r>
        <w:rPr>
          <w:rFonts w:hint="eastAsia" w:ascii="仿宋_GB2312" w:hAnsi="仿宋" w:eastAsia="仿宋_GB2312" w:cs="宋体"/>
          <w:color w:val="333333"/>
          <w:kern w:val="0"/>
          <w:sz w:val="32"/>
          <w:szCs w:val="32"/>
          <w:lang w:val="en-US" w:eastAsia="zh-CN"/>
        </w:rPr>
        <w:t>100</w:t>
      </w:r>
      <w:r>
        <w:rPr>
          <w:rFonts w:hint="eastAsia" w:ascii="仿宋_GB2312" w:hAnsi="仿宋" w:eastAsia="仿宋_GB2312" w:cs="宋体"/>
          <w:color w:val="333333"/>
          <w:kern w:val="0"/>
          <w:sz w:val="32"/>
          <w:szCs w:val="32"/>
        </w:rPr>
        <w:t>分，自评结果为优</w:t>
      </w:r>
      <w:r>
        <w:rPr>
          <w:rFonts w:hint="eastAsia" w:ascii="仿宋_GB2312" w:hAnsi="仿宋" w:eastAsia="仿宋_GB2312" w:cs="宋体"/>
          <w:color w:val="333333"/>
          <w:kern w:val="0"/>
          <w:sz w:val="32"/>
          <w:szCs w:val="32"/>
          <w:lang w:eastAsia="zh-CN"/>
        </w:rPr>
        <w:t>。</w:t>
      </w:r>
    </w:p>
    <w:p>
      <w:pPr>
        <w:widowControl/>
        <w:shd w:val="clear" w:color="auto" w:fill="FFFFFF"/>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w:t>
      </w:r>
      <w:r>
        <w:rPr>
          <w:rFonts w:hint="eastAsia" w:ascii="仿宋_GB2312" w:hAnsi="仿宋" w:eastAsia="仿宋_GB2312" w:cs="宋体"/>
          <w:color w:val="333333"/>
          <w:kern w:val="0"/>
          <w:sz w:val="32"/>
          <w:szCs w:val="32"/>
          <w:lang w:val="en-US" w:eastAsia="zh-CN"/>
        </w:rPr>
        <w:t>.</w:t>
      </w:r>
      <w:r>
        <w:rPr>
          <w:rFonts w:hint="eastAsia" w:ascii="仿宋_GB2312" w:hAnsi="仿宋" w:eastAsia="仿宋_GB2312" w:cs="宋体"/>
          <w:color w:val="333333"/>
          <w:kern w:val="0"/>
          <w:sz w:val="32"/>
          <w:szCs w:val="32"/>
        </w:rPr>
        <w:t>主要绩效</w:t>
      </w:r>
    </w:p>
    <w:p>
      <w:pPr>
        <w:widowControl/>
        <w:shd w:val="clear" w:color="auto" w:fill="FFFFFF"/>
        <w:ind w:firstLine="555"/>
        <w:jc w:val="left"/>
        <w:outlineLvl w:val="2"/>
        <w:rPr>
          <w:rFonts w:hint="eastAsia" w:ascii="仿宋_GB2312" w:hAnsi="仿宋" w:eastAsia="仿宋_GB2312" w:cs="宋体"/>
          <w:color w:val="333333"/>
          <w:kern w:val="0"/>
          <w:sz w:val="32"/>
          <w:szCs w:val="32"/>
          <w:lang w:eastAsia="zh-CN"/>
        </w:rPr>
      </w:pPr>
      <w:r>
        <w:rPr>
          <w:rFonts w:hint="eastAsia" w:ascii="仿宋_GB2312" w:hAnsi="仿宋" w:eastAsia="仿宋_GB2312" w:cs="宋体"/>
          <w:color w:val="333333"/>
          <w:kern w:val="0"/>
          <w:sz w:val="32"/>
          <w:szCs w:val="32"/>
          <w:lang w:eastAsia="zh-CN"/>
        </w:rPr>
        <w:t>2020年区政府办公室在区委、区政府的坚强领导下，紧紧围绕区委、区政府中心工作，切实履行各项职责，高效服务，力促发展，保障了区政府各项工作高效有序运转。一是围绕中心，服务发展，发挥参谋助手作用。全年共起草以盘政、盘政办等上报、下发的请示、报告、通知等文件500余份，专题会议纪要480余期，起草各类汇报材料、讲话稿1200余份。处理省、市、区各类文件34010份，回复各类报告、请示、情况17898份。二是发挥综合协调作用，充分发挥承上启下、协调左右、连接内外的枢纽作用，坚持政务与事务相衔接、重大活动与日常任务相协调、重点工作与常规工作相兼顾，确保各项工作衔接紧密、运转高效。</w:t>
      </w:r>
    </w:p>
    <w:p>
      <w:pPr>
        <w:widowControl/>
        <w:shd w:val="clear" w:color="auto" w:fill="FFFFFF"/>
        <w:jc w:val="left"/>
        <w:outlineLvl w:val="2"/>
        <w:rPr>
          <w:rFonts w:hint="eastAsia" w:ascii="仿宋_GB2312" w:hAnsi="仿宋" w:eastAsia="仿宋_GB2312" w:cs="宋体"/>
          <w:b/>
          <w:bCs/>
          <w:color w:val="333333"/>
          <w:kern w:val="0"/>
          <w:sz w:val="32"/>
          <w:szCs w:val="32"/>
          <w:lang w:eastAsia="zh-CN"/>
        </w:rPr>
      </w:pPr>
      <w:r>
        <w:rPr>
          <w:rFonts w:hint="eastAsia" w:ascii="仿宋_GB2312" w:hAnsi="仿宋" w:eastAsia="仿宋_GB2312" w:cs="宋体"/>
          <w:b/>
          <w:bCs/>
          <w:color w:val="333333"/>
          <w:kern w:val="0"/>
          <w:sz w:val="32"/>
          <w:szCs w:val="32"/>
          <w:lang w:eastAsia="zh-CN"/>
        </w:rPr>
        <w:t>（二）具体绩效分析</w:t>
      </w:r>
    </w:p>
    <w:p>
      <w:pPr>
        <w:widowControl/>
        <w:shd w:val="clear" w:color="auto" w:fill="FFFFFF"/>
        <w:ind w:firstLine="555"/>
        <w:jc w:val="left"/>
        <w:outlineLvl w:val="2"/>
        <w:rPr>
          <w:rFonts w:hint="eastAsia"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2020年</w:t>
      </w:r>
      <w:r>
        <w:rPr>
          <w:rFonts w:hint="eastAsia" w:ascii="仿宋_GB2312" w:hAnsi="仿宋" w:eastAsia="仿宋_GB2312" w:cs="宋体"/>
          <w:color w:val="333333"/>
          <w:kern w:val="0"/>
          <w:sz w:val="32"/>
          <w:szCs w:val="32"/>
          <w:lang w:eastAsia="zh-CN"/>
        </w:rPr>
        <w:t>区政府办业务经费，项目绩效自评得分共计</w:t>
      </w:r>
      <w:r>
        <w:rPr>
          <w:rFonts w:hint="eastAsia" w:ascii="仿宋_GB2312" w:hAnsi="仿宋" w:eastAsia="仿宋_GB2312" w:cs="宋体"/>
          <w:color w:val="333333"/>
          <w:kern w:val="0"/>
          <w:sz w:val="32"/>
          <w:szCs w:val="32"/>
          <w:lang w:val="en-US" w:eastAsia="zh-CN"/>
        </w:rPr>
        <w:t>100分，自评评定等级为优。</w:t>
      </w:r>
    </w:p>
    <w:p>
      <w:pPr>
        <w:widowControl/>
        <w:shd w:val="clear" w:color="auto" w:fill="FFFFFF"/>
        <w:ind w:firstLine="555"/>
        <w:jc w:val="left"/>
        <w:outlineLvl w:val="2"/>
        <w:rPr>
          <w:rFonts w:hint="default" w:ascii="仿宋_GB2312" w:hAnsi="仿宋" w:eastAsia="仿宋_GB2312" w:cs="宋体"/>
          <w:color w:val="333333"/>
          <w:kern w:val="0"/>
          <w:sz w:val="32"/>
          <w:szCs w:val="32"/>
          <w:lang w:val="en-US" w:eastAsia="zh-CN"/>
        </w:rPr>
      </w:pPr>
      <w:r>
        <w:rPr>
          <w:rFonts w:hint="eastAsia" w:ascii="仿宋_GB2312" w:hAnsi="仿宋" w:eastAsia="仿宋_GB2312" w:cs="宋体"/>
          <w:color w:val="333333"/>
          <w:kern w:val="0"/>
          <w:sz w:val="32"/>
          <w:szCs w:val="32"/>
          <w:lang w:val="en-US" w:eastAsia="zh-CN"/>
        </w:rPr>
        <w:t>具体详见附件昆明市盘龙区人民政府办公室业务经费项目支出绩效自评表。</w:t>
      </w:r>
    </w:p>
    <w:p>
      <w:pPr>
        <w:topLinePunct/>
        <w:spacing w:line="240" w:lineRule="auto"/>
        <w:ind w:firstLine="0" w:firstLineChars="0"/>
        <w:rPr>
          <w:rFonts w:hint="eastAsia" w:ascii="黑体" w:hAnsi="黑体" w:eastAsia="黑体"/>
          <w:sz w:val="32"/>
          <w:szCs w:val="32"/>
        </w:rPr>
      </w:pPr>
      <w:r>
        <w:rPr>
          <w:rFonts w:hint="eastAsia" w:ascii="黑体" w:hAnsi="黑体" w:eastAsia="黑体"/>
          <w:sz w:val="32"/>
          <w:szCs w:val="32"/>
        </w:rPr>
        <w:t>四、成本效益分析</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288" w:lineRule="atLeast"/>
        <w:ind w:left="0" w:right="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2020年区政府办业务经费，财政安排项目资金65万元，实际支出65万元。主要用于日常办文办会所需的软硬件设施、材料费、两会材料印制费、政府办文书档案整理费用、日常办公经费，业务培训费等；在项目和资金管理中，严格按照预算管理、财务收支管理、政府采购管理、资产管理、合同管理等制度，严格执行内控工作；严格执行《</w:t>
      </w:r>
      <w:r>
        <w:rPr>
          <w:rFonts w:hint="eastAsia" w:ascii="仿宋_GB2312" w:hAnsi="仿宋" w:eastAsia="仿宋_GB2312"/>
          <w:kern w:val="0"/>
          <w:sz w:val="32"/>
          <w:szCs w:val="32"/>
        </w:rPr>
        <w:t>盘龙区人民政府办公室财务管理制度</w:t>
      </w:r>
      <w:r>
        <w:rPr>
          <w:rFonts w:hint="eastAsia" w:ascii="仿宋_GB2312" w:hAnsi="仿宋_GB2312" w:eastAsia="仿宋_GB2312" w:cs="仿宋_GB2312"/>
          <w:b w:val="0"/>
          <w:bCs w:val="0"/>
          <w:kern w:val="2"/>
          <w:sz w:val="32"/>
          <w:szCs w:val="32"/>
          <w:lang w:val="en-US" w:eastAsia="zh-CN" w:bidi="ar-SA"/>
        </w:rPr>
        <w:t>》和《</w:t>
      </w:r>
      <w:r>
        <w:rPr>
          <w:rFonts w:hint="eastAsia" w:ascii="仿宋_GB2312" w:hAnsi="仿宋" w:eastAsia="仿宋_GB2312"/>
          <w:kern w:val="0"/>
          <w:sz w:val="32"/>
          <w:szCs w:val="32"/>
        </w:rPr>
        <w:t>盘龙区人民政府办公室行政办公会议议事规则</w:t>
      </w:r>
      <w:r>
        <w:rPr>
          <w:rFonts w:hint="eastAsia" w:ascii="仿宋_GB2312" w:hAnsi="仿宋" w:eastAsia="仿宋_GB2312"/>
          <w:kern w:val="0"/>
          <w:sz w:val="32"/>
          <w:szCs w:val="32"/>
          <w:lang w:eastAsia="zh-CN"/>
        </w:rPr>
        <w:t>》，强化资金管理和审批，</w:t>
      </w:r>
      <w:r>
        <w:rPr>
          <w:rFonts w:hint="eastAsia" w:ascii="仿宋_GB2312" w:hAnsi="仿宋_GB2312" w:eastAsia="仿宋_GB2312" w:cs="仿宋_GB2312"/>
          <w:b w:val="0"/>
          <w:bCs w:val="0"/>
          <w:kern w:val="2"/>
          <w:sz w:val="32"/>
          <w:szCs w:val="32"/>
          <w:lang w:val="en-US" w:eastAsia="zh-CN" w:bidi="ar-SA"/>
        </w:rPr>
        <w:t>对于重大的业务和重大资金支出事项，实行集体研究决策决定，提高资金使用率，先审批后支付，未发现超支、挪用、截留、挤占、虚列支出等情况。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288" w:lineRule="atLeast"/>
        <w:ind w:left="0" w:right="0" w:firstLine="640" w:firstLineChars="200"/>
        <w:rPr>
          <w:rFonts w:hint="eastAsia" w:ascii="仿宋_GB2312" w:hAnsi="仿宋" w:eastAsia="仿宋_GB2312"/>
        </w:rPr>
      </w:pPr>
      <w:r>
        <w:rPr>
          <w:rFonts w:hint="eastAsia" w:ascii="仿宋_GB2312" w:hAnsi="仿宋_GB2312" w:eastAsia="仿宋_GB2312" w:cs="仿宋_GB2312"/>
          <w:b w:val="0"/>
          <w:bCs w:val="0"/>
          <w:kern w:val="2"/>
          <w:sz w:val="32"/>
          <w:szCs w:val="32"/>
          <w:lang w:val="en-US" w:eastAsia="zh-CN" w:bidi="ar-SA"/>
        </w:rPr>
        <w:t>2020年区政府办项目经费收入和支出较往年都有所下降，主要因为受疫情影响，减少了一些不必要的开支，同时项目经费使用更加合理、规范，实现了开源节流。</w:t>
      </w:r>
    </w:p>
    <w:p>
      <w:pPr>
        <w:topLinePunct/>
        <w:spacing w:line="240" w:lineRule="auto"/>
        <w:ind w:firstLine="0" w:firstLineChars="0"/>
        <w:rPr>
          <w:rFonts w:ascii="黑体" w:hAnsi="黑体" w:eastAsia="黑体"/>
          <w:sz w:val="32"/>
          <w:szCs w:val="32"/>
        </w:rPr>
      </w:pPr>
      <w:r>
        <w:rPr>
          <w:rFonts w:hint="eastAsia" w:ascii="黑体" w:hAnsi="黑体" w:eastAsia="黑体"/>
          <w:sz w:val="32"/>
          <w:szCs w:val="32"/>
        </w:rPr>
        <w:t>五、主要经验及做法、存在的问题和建议</w:t>
      </w:r>
    </w:p>
    <w:p>
      <w:pPr>
        <w:topLinePunct/>
        <w:spacing w:line="240" w:lineRule="auto"/>
        <w:ind w:firstLine="0" w:firstLineChars="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（一）主要经验及做法</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640" w:firstLineChars="20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2020年区政府办严格按照年初预算在规定的时间节点，结合工作实际需要合理安排使用各项经费，既保证了经费科学合理使用，同时又控制住了不必要的经费支出，确保了2020年政府办围绕全区中心工作，认真履职，统筹兼顾，推动政府各项工作良好运行。</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640" w:firstLineChars="20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1.细化预算编制工作，认真做好预算的编制。进一步加强预算绩效管理意识，严格按照预算编制的相关制度和要求进行预算编制，优先保障固定性的、相对刚性的费用支出项目，进一步提高预算编制的科学性、严谨性和可控性。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640" w:firstLineChars="200"/>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2.加强财务管理，严格财务审核。在费用报账支付时，按照预算编制时的金额和用途进行资金使用审核、列报支付、财务核算，杜绝超支现象的发生。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18" w:lineRule="atLeast"/>
        <w:ind w:left="0" w:right="0" w:firstLine="640" w:firstLineChars="200"/>
        <w:rPr>
          <w:rFonts w:hint="eastAsia" w:ascii="楷体" w:hAnsi="楷体" w:eastAsia="楷体"/>
          <w:szCs w:val="32"/>
        </w:rPr>
      </w:pPr>
      <w:r>
        <w:rPr>
          <w:rFonts w:hint="eastAsia" w:ascii="仿宋_GB2312" w:hAnsi="仿宋" w:eastAsia="仿宋_GB2312" w:cs="宋体"/>
          <w:color w:val="333333"/>
          <w:kern w:val="0"/>
          <w:sz w:val="32"/>
          <w:szCs w:val="32"/>
          <w:lang w:val="en-US" w:eastAsia="zh-CN" w:bidi="ar-SA"/>
        </w:rPr>
        <w:t>3.加强绩效评价结果的应用，促进预算项目规范有序开展。将绩效评价结果及时通报承担的科局室，对于评价结果较好的项目予以支持，激励其更好地开展工作；对评价发现问题、达不到绩效目标或评价结果较差的项目予以纠正，充分发挥财政资金使用效益。 </w:t>
      </w:r>
    </w:p>
    <w:p>
      <w:pPr>
        <w:topLinePunct/>
        <w:spacing w:line="240" w:lineRule="auto"/>
        <w:ind w:firstLine="0" w:firstLineChars="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（二）存在的问题</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right="0" w:firstLine="640" w:firstLineChars="200"/>
        <w:jc w:val="both"/>
        <w:rPr>
          <w:rFonts w:hint="eastAsia" w:ascii="楷体" w:hAnsi="楷体" w:eastAsia="楷体"/>
          <w:szCs w:val="32"/>
        </w:rPr>
      </w:pPr>
      <w:r>
        <w:rPr>
          <w:rFonts w:hint="eastAsia" w:ascii="仿宋_GB2312" w:hAnsi="仿宋" w:eastAsia="仿宋_GB2312" w:cs="宋体"/>
          <w:color w:val="333333"/>
          <w:kern w:val="0"/>
          <w:sz w:val="32"/>
          <w:szCs w:val="32"/>
          <w:lang w:val="en-US" w:eastAsia="zh-CN" w:bidi="ar-SA"/>
        </w:rPr>
        <w:t>一是预算绩效管理工作机制有待进一步强化。本部门预算绩效管理工作保障制度有待进一步完善；二是预算绩效评目标制定工作有待进一步健全。在实际预算执行过程中，应注重对预算绩效运行情况实施全目标、全过程、全方位的监控，从而有效跟踪年度目标任务执行情况及完成情况。</w:t>
      </w:r>
    </w:p>
    <w:p>
      <w:pPr>
        <w:topLinePunct/>
        <w:spacing w:line="240" w:lineRule="auto"/>
        <w:ind w:firstLine="0" w:firstLineChars="0"/>
        <w:rPr>
          <w:rFonts w:hint="eastAsia" w:ascii="仿宋_GB2312" w:hAnsi="仿宋" w:eastAsia="仿宋_GB2312" w:cs="宋体"/>
          <w:b/>
          <w:bCs/>
          <w:color w:val="333333"/>
          <w:kern w:val="0"/>
          <w:sz w:val="32"/>
          <w:szCs w:val="32"/>
          <w:lang w:val="en-US" w:eastAsia="zh-CN" w:bidi="ar-SA"/>
        </w:rPr>
      </w:pPr>
      <w:r>
        <w:rPr>
          <w:rFonts w:hint="eastAsia" w:ascii="仿宋_GB2312" w:hAnsi="仿宋" w:eastAsia="仿宋_GB2312" w:cs="宋体"/>
          <w:b/>
          <w:bCs/>
          <w:color w:val="333333"/>
          <w:kern w:val="0"/>
          <w:sz w:val="32"/>
          <w:szCs w:val="32"/>
          <w:lang w:val="en-US" w:eastAsia="zh-CN" w:bidi="ar-SA"/>
        </w:rPr>
        <w:t>（三）建议和改进措施</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1.细化预算编制工作。进一步加强单位内部机构各科室的预算管理意识，严格按照预算编制的相关制度和要求进行预算编制；</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rFonts w:hint="eastAsia" w:ascii="仿宋_GB2312" w:hAnsi="仿宋" w:eastAsia="仿宋_GB2312" w:cs="宋体"/>
          <w:color w:val="333333"/>
          <w:kern w:val="0"/>
          <w:sz w:val="32"/>
          <w:szCs w:val="32"/>
          <w:lang w:val="en-US" w:eastAsia="zh-CN" w:bidi="ar-SA"/>
        </w:rPr>
      </w:pPr>
      <w:r>
        <w:rPr>
          <w:rFonts w:hint="eastAsia" w:ascii="仿宋_GB2312" w:hAnsi="仿宋" w:eastAsia="仿宋_GB2312" w:cs="宋体"/>
          <w:color w:val="333333"/>
          <w:kern w:val="0"/>
          <w:sz w:val="32"/>
          <w:szCs w:val="32"/>
          <w:lang w:val="en-US" w:eastAsia="zh-CN" w:bidi="ar-SA"/>
        </w:rPr>
        <w:t>2.加强财务管理。加强单位财务管理，健全单位财务管理制度体系，规范单位财务行为，杜绝超支现象的发生；</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60" w:beforeAutospacing="0" w:after="60" w:afterAutospacing="0" w:line="420" w:lineRule="atLeast"/>
        <w:ind w:left="0" w:right="0" w:firstLine="420"/>
        <w:jc w:val="both"/>
        <w:rPr>
          <w:color w:val="FF0000"/>
          <w:spacing w:val="-20"/>
          <w:sz w:val="32"/>
          <w:szCs w:val="32"/>
        </w:rPr>
      </w:pPr>
      <w:r>
        <w:rPr>
          <w:rFonts w:hint="eastAsia" w:ascii="仿宋_GB2312" w:hAnsi="仿宋" w:eastAsia="仿宋_GB2312" w:cs="宋体"/>
          <w:color w:val="333333"/>
          <w:kern w:val="0"/>
          <w:sz w:val="32"/>
          <w:szCs w:val="32"/>
          <w:lang w:val="en-US" w:eastAsia="zh-CN" w:bidi="ar-SA"/>
        </w:rPr>
        <w:t>3.加强绩效管理培训，提高绩效工作水平。</w:t>
      </w:r>
    </w:p>
    <w:p>
      <w:pPr>
        <w:spacing w:line="600" w:lineRule="exact"/>
        <w:rPr>
          <w:color w:val="FF0000"/>
          <w:spacing w:val="-20"/>
          <w:sz w:val="32"/>
          <w:szCs w:val="32"/>
        </w:rPr>
      </w:pPr>
    </w:p>
    <w:sectPr>
      <w:footerReference r:id="rId4" w:type="default"/>
      <w:footerReference r:id="rId5" w:type="even"/>
      <w:pgSz w:w="11906" w:h="16838"/>
      <w:pgMar w:top="1701" w:right="1474" w:bottom="1191" w:left="1588" w:header="851" w:footer="567"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3073" o:spid="_x0000_s3073"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pPr>
    <w:r>
      <w:rPr>
        <w:sz w:val="18"/>
      </w:rPr>
      <w:pict>
        <v:shape id="_x0000_s3074" o:spid="_x0000_s3074"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81012653"/>
                  <w:docPartObj>
                    <w:docPartGallery w:val="autotext"/>
                  </w:docPartObj>
                </w:sdtPr>
                <w:sdtContent>
                  <w:p>
                    <w:pPr>
                      <w:pStyle w:val="4"/>
                      <w:wordWrap w:val="0"/>
                      <w:jc w:val="right"/>
                    </w:pPr>
                    <w:r>
                      <w:rPr>
                        <w:rFonts w:hint="eastAsia"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hint="eastAsia" w:ascii="Times New Roman" w:hAnsi="Times New Roman" w:cs="Times New Roman"/>
                        <w:sz w:val="28"/>
                        <w:szCs w:val="28"/>
                      </w:rPr>
                      <w:t xml:space="preserve"> —  </w:t>
                    </w:r>
                  </w:p>
                </w:sdtContent>
              </w:sdt>
              <w:p/>
            </w:txbxContent>
          </v:textbox>
        </v:shape>
      </w:pict>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012656"/>
      <w:docPartObj>
        <w:docPartGallery w:val="autotext"/>
      </w:docPartObj>
    </w:sdtPr>
    <w:sdtEndPr>
      <w:rPr>
        <w:rFonts w:ascii="Times New Roman" w:hAnsi="Times New Roman" w:cs="Times New Roman"/>
        <w:sz w:val="28"/>
        <w:szCs w:val="28"/>
      </w:rPr>
    </w:sdtEndPr>
    <w:sdtContent>
      <w:p>
        <w:pPr>
          <w:pStyle w:val="4"/>
          <w:ind w:firstLine="180" w:firstLineChars="100"/>
        </w:pPr>
        <w:r>
          <w:rPr>
            <w:rFonts w:hint="eastAsia"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r>
          <w:rPr>
            <w:rFonts w:hint="eastAsia" w:ascii="Times New Roman" w:hAnsi="Times New Roman" w:cs="Times New Roman"/>
            <w:sz w:val="28"/>
            <w:szCs w:val="28"/>
          </w:rPr>
          <w:t xml:space="preserve"> —</w:t>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2CBD80"/>
    <w:multiLevelType w:val="singleLevel"/>
    <w:tmpl w:val="CF2CBD80"/>
    <w:lvl w:ilvl="0" w:tentative="0">
      <w:start w:val="5"/>
      <w:numFmt w:val="chineseCounting"/>
      <w:suff w:val="nothing"/>
      <w:lvlText w:val="（%1）"/>
      <w:lvlJc w:val="left"/>
      <w:rPr>
        <w:rFonts w:hint="eastAsia"/>
      </w:rPr>
    </w:lvl>
  </w:abstractNum>
  <w:abstractNum w:abstractNumId="1">
    <w:nsid w:val="DEFF414A"/>
    <w:multiLevelType w:val="singleLevel"/>
    <w:tmpl w:val="DEFF414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C0EE1"/>
    <w:rsid w:val="00077425"/>
    <w:rsid w:val="000D395C"/>
    <w:rsid w:val="00124902"/>
    <w:rsid w:val="00127946"/>
    <w:rsid w:val="002358EB"/>
    <w:rsid w:val="002740C7"/>
    <w:rsid w:val="002B77B0"/>
    <w:rsid w:val="003609EB"/>
    <w:rsid w:val="003E1D46"/>
    <w:rsid w:val="004D35C0"/>
    <w:rsid w:val="00503DFD"/>
    <w:rsid w:val="00610139"/>
    <w:rsid w:val="006278E2"/>
    <w:rsid w:val="0065213B"/>
    <w:rsid w:val="006637AE"/>
    <w:rsid w:val="0068624E"/>
    <w:rsid w:val="007400F9"/>
    <w:rsid w:val="007646BF"/>
    <w:rsid w:val="00840BEA"/>
    <w:rsid w:val="009036C0"/>
    <w:rsid w:val="00920A45"/>
    <w:rsid w:val="009424DC"/>
    <w:rsid w:val="00997BC9"/>
    <w:rsid w:val="00BC0EE1"/>
    <w:rsid w:val="00BD73E9"/>
    <w:rsid w:val="00C66CAA"/>
    <w:rsid w:val="00C66DFE"/>
    <w:rsid w:val="00D25D14"/>
    <w:rsid w:val="00D623AB"/>
    <w:rsid w:val="00D7796E"/>
    <w:rsid w:val="00D803A4"/>
    <w:rsid w:val="00D80529"/>
    <w:rsid w:val="00D87DC5"/>
    <w:rsid w:val="00DD716B"/>
    <w:rsid w:val="00DE2861"/>
    <w:rsid w:val="00DF45BE"/>
    <w:rsid w:val="00E15F00"/>
    <w:rsid w:val="00E241EB"/>
    <w:rsid w:val="00E931D2"/>
    <w:rsid w:val="00EC0467"/>
    <w:rsid w:val="00EF6DEF"/>
    <w:rsid w:val="00F22963"/>
    <w:rsid w:val="04FA4824"/>
    <w:rsid w:val="3BFFA7A6"/>
    <w:rsid w:val="56CA2FFA"/>
    <w:rsid w:val="65D36A40"/>
    <w:rsid w:val="71BC749B"/>
    <w:rsid w:val="72420D2C"/>
    <w:rsid w:val="77ED339E"/>
    <w:rsid w:val="7D4A3312"/>
    <w:rsid w:val="DEF463D9"/>
    <w:rsid w:val="F7BFC88A"/>
    <w:rsid w:val="F7E634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FF0000"/>
    </o:shapedefaults>
    <o:shapelayout v:ext="edit">
      <o:idmap v:ext="edit" data="2"/>
      <o:rules v:ext="edit">
        <o:r id="V:Rule1" type="connector" idref="#_x0000_s2052"/>
        <o:r id="V:Rule2" type="connector" idref="#_x0000_s2057"/>
        <o:r id="V:Rule3" type="connector" idref="#_x0000_s2058"/>
        <o:r id="V:Rule4" type="connector" idref="#_x0000_s2059"/>
        <o:r id="V:Rule5" type="connector" idref="#_x0000_s206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left" w:pos="426"/>
        <w:tab w:val="right" w:leader="dot" w:pos="8296"/>
      </w:tabs>
    </w:pPr>
    <w:rPr>
      <w:rFonts w:ascii="Calibri" w:hAnsi="Calibri" w:eastAsia="宋体" w:cs="Calibri"/>
      <w:szCs w:val="21"/>
    </w:rPr>
  </w:style>
  <w:style w:type="paragraph" w:styleId="7">
    <w:name w:val="Subtitle"/>
    <w:next w:val="1"/>
    <w:qFormat/>
    <w:uiPriority w:val="0"/>
    <w:pPr>
      <w:wordWrap w:val="0"/>
      <w:jc w:val="center"/>
    </w:pPr>
    <w:rPr>
      <w:rFonts w:ascii="Times New Roman" w:hAnsi="Times New Roman" w:eastAsia="宋体" w:cs="Times New Roman"/>
      <w:sz w:val="24"/>
      <w:lang w:val="en-US" w:eastAsia="zh-CN" w:bidi="ar-SA"/>
    </w:rPr>
  </w:style>
  <w:style w:type="paragraph" w:styleId="8">
    <w:name w:val="Normal (Web)"/>
    <w:basedOn w:val="1"/>
    <w:next w:val="7"/>
    <w:unhideWhenUsed/>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2">
    <w:name w:val="Hyperlink"/>
    <w:basedOn w:val="11"/>
    <w:qFormat/>
    <w:uiPriority w:val="99"/>
    <w:rPr>
      <w:color w:val="0000FF"/>
      <w:u w:val="single"/>
    </w:rPr>
  </w:style>
  <w:style w:type="character" w:customStyle="1" w:styleId="13">
    <w:name w:val="页眉 Char"/>
    <w:basedOn w:val="11"/>
    <w:link w:val="5"/>
    <w:semiHidden/>
    <w:qFormat/>
    <w:uiPriority w:val="99"/>
    <w:rPr>
      <w:sz w:val="18"/>
      <w:szCs w:val="18"/>
    </w:rPr>
  </w:style>
  <w:style w:type="character" w:customStyle="1" w:styleId="14">
    <w:name w:val="页脚 Char"/>
    <w:basedOn w:val="11"/>
    <w:link w:val="4"/>
    <w:qFormat/>
    <w:uiPriority w:val="99"/>
    <w:rPr>
      <w:sz w:val="18"/>
      <w:szCs w:val="18"/>
    </w:rPr>
  </w:style>
  <w:style w:type="character" w:customStyle="1" w:styleId="15">
    <w:name w:val="批注框文本 Char"/>
    <w:basedOn w:val="11"/>
    <w:link w:val="3"/>
    <w:semiHidden/>
    <w:qFormat/>
    <w:uiPriority w:val="99"/>
    <w:rPr>
      <w:sz w:val="18"/>
      <w:szCs w:val="18"/>
    </w:rPr>
  </w:style>
  <w:style w:type="paragraph" w:customStyle="1" w:styleId="16">
    <w:name w:val="正文 A"/>
    <w:qFormat/>
    <w:uiPriority w:val="99"/>
    <w:pPr>
      <w:spacing w:after="200" w:line="276" w:lineRule="auto"/>
    </w:pPr>
    <w:rPr>
      <w:rFonts w:ascii="Calibri" w:hAnsi="Calibri" w:eastAsia="宋体" w:cs="Calibri"/>
      <w:color w:val="000000"/>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textRotate="1"/>
    <customShpInfo spid="_x0000_s3074" textRotate="1"/>
    <customShpInfo spid="_x0000_s2057"/>
    <customShpInfo spid="_x0000_s2058"/>
    <customShpInfo spid="_x0000_s2059"/>
    <customShpInfo spid="_x0000_s2060"/>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41</Words>
  <Characters>236</Characters>
  <Lines>1</Lines>
  <Paragraphs>1</Paragraphs>
  <TotalTime>3</TotalTime>
  <ScaleCrop>false</ScaleCrop>
  <LinksUpToDate>false</LinksUpToDate>
  <CharactersWithSpaces>276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2020-01-04T01:56:00Z</dcterms:created>
  <dc:creator>fhfhn</dc:creator>
  <cp:lastModifiedBy>lenovo</cp:lastModifiedBy>
  <cp:lastPrinted>2021-09-23T02:00:00Z</cp:lastPrinted>
  <dcterms:modified xsi:type="dcterms:W3CDTF">2021-09-27T06:05:26Z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