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方正小标宋_GBK" w:hAnsi="Calibri" w:eastAsia="方正小标宋_GBK" w:cs="Times New Roman"/>
          <w:sz w:val="28"/>
          <w:szCs w:val="28"/>
        </w:rPr>
      </w:pPr>
      <w:r>
        <w:rPr>
          <w:rFonts w:hint="eastAsia" w:ascii="方正小标宋_GBK" w:hAnsi="Calibri" w:eastAsia="方正小标宋_GBK" w:cs="Times New Roman"/>
          <w:sz w:val="28"/>
          <w:szCs w:val="28"/>
        </w:rPr>
        <w:t>附件4：部门整体支出绩效评价报告（范本）</w:t>
      </w:r>
    </w:p>
    <w:p>
      <w:pPr>
        <w:spacing w:before="120" w:after="120" w:line="480" w:lineRule="auto"/>
        <w:jc w:val="center"/>
        <w:rPr>
          <w:rFonts w:ascii="Times New Roman" w:hAnsi="Times New Roman" w:eastAsia="黑体" w:cs="Times New Roman"/>
          <w:b/>
          <w:bCs/>
          <w:sz w:val="52"/>
          <w:szCs w:val="52"/>
        </w:rPr>
      </w:pPr>
    </w:p>
    <w:p>
      <w:pPr>
        <w:jc w:val="center"/>
        <w:rPr>
          <w:rFonts w:ascii="黑体" w:hAnsi="黑体" w:eastAsia="黑体" w:cs="Times New Roman"/>
          <w:bCs/>
          <w:sz w:val="52"/>
          <w:szCs w:val="52"/>
        </w:rPr>
      </w:pPr>
      <w:r>
        <w:rPr>
          <w:rFonts w:hint="eastAsia" w:ascii="黑体" w:hAnsi="黑体" w:eastAsia="黑体" w:cs="黑体"/>
          <w:bCs/>
          <w:sz w:val="52"/>
          <w:szCs w:val="52"/>
        </w:rPr>
        <w:t>盘龙区城乡居民社会养老保险局</w:t>
      </w:r>
      <w:r>
        <w:rPr>
          <w:rFonts w:hint="eastAsia" w:ascii="黑体" w:hAnsi="黑体" w:eastAsia="黑体" w:cs="黑体"/>
          <w:bCs/>
          <w:sz w:val="52"/>
          <w:szCs w:val="52"/>
          <w:lang w:val="en-US" w:eastAsia="zh-CN"/>
        </w:rPr>
        <w:t>2020</w:t>
      </w:r>
      <w:r>
        <w:rPr>
          <w:rFonts w:hint="eastAsia" w:ascii="黑体" w:hAnsi="黑体" w:eastAsia="黑体" w:cs="Times New Roman"/>
          <w:bCs/>
          <w:sz w:val="52"/>
          <w:szCs w:val="52"/>
        </w:rPr>
        <w:t>年</w:t>
      </w: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9525" t="5715" r="9525" b="13335"/>
                <wp:wrapNone/>
                <wp:docPr id="8" name="直接箭头连接符 8"/>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YyeaXXAAAACQEAAA8AAAAAAAAAAQAgAAAAIgAAAGRycy9kb3ducmV2LnhtbFBLAQIU&#10;ABQAAAAIAIdO4kB9r6bk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val="en-US" w:eastAsia="zh-CN"/>
        </w:rPr>
        <w:t>2020</w:t>
      </w:r>
      <w:r>
        <w:rPr>
          <w:rFonts w:hint="eastAsia" w:ascii="Times New Roman" w:hAnsi="Times New Roman" w:eastAsia="黑体" w:cs="黑体"/>
          <w:b/>
          <w:bCs/>
          <w:sz w:val="28"/>
          <w:szCs w:val="28"/>
        </w:rPr>
        <w:t>年部门整体支出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9525" t="5715" r="9525" b="13335"/>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K/Q9w2AAAAAkBAAAPAAAAAAAAAAEAIAAAACIAAABkcnMvZG93bnJldi54bWxQSwEC&#10;FAAUAAAACACHTuJARfaEGPQBAAC+AwAADgAAAAAAAAABACAAAAAn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部门名称：昆明市盘龙区城乡居民社会养老保险局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9525" t="5715" r="9525" b="13335"/>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gSfgjXAAAACQEAAA8AAAAAAAAAAQAgAAAAIgAAAGRycy9kb3ducmV2LnhtbFBLAQIU&#10;ABQAAAAIAIdO4kBryvdA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评价机构：昆明市盘龙区城乡居民社会养老保险局</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r>
        <w:rPr>
          <w:rFonts w:ascii="Times New Roman" w:hAnsi="Times New Roman" w:eastAsia="黑体" w:cs="Times New Roman"/>
          <w:b/>
          <w:bCs/>
          <w:sz w:val="28"/>
          <w:szCs w:val="28"/>
        </w:rPr>
        <w:t>20</w:t>
      </w:r>
      <w:r>
        <w:rPr>
          <w:rFonts w:hint="eastAsia" w:ascii="Times New Roman" w:hAnsi="Times New Roman" w:eastAsia="黑体" w:cs="Times New Roman"/>
          <w:b/>
          <w:bCs/>
          <w:sz w:val="28"/>
          <w:szCs w:val="28"/>
        </w:rPr>
        <w:t>2</w:t>
      </w:r>
      <w:r>
        <w:rPr>
          <w:rFonts w:hint="eastAsia" w:ascii="Times New Roman" w:hAnsi="Times New Roman" w:eastAsia="黑体" w:cs="Times New Roman"/>
          <w:b/>
          <w:bCs/>
          <w:sz w:val="28"/>
          <w:szCs w:val="28"/>
          <w:lang w:val="en-US" w:eastAsia="zh-CN"/>
        </w:rPr>
        <w:t>1</w:t>
      </w:r>
      <w:r>
        <w:rPr>
          <w:rFonts w:hint="eastAsia" w:ascii="Times New Roman" w:hAnsi="Times New Roman" w:eastAsia="黑体" w:cs="黑体"/>
          <w:b/>
          <w:bCs/>
          <w:sz w:val="28"/>
          <w:szCs w:val="28"/>
        </w:rPr>
        <w:t>年</w:t>
      </w:r>
      <w:r>
        <w:rPr>
          <w:rFonts w:hint="eastAsia" w:ascii="Times New Roman" w:hAnsi="Times New Roman" w:eastAsia="黑体" w:cs="Times New Roman"/>
          <w:b/>
          <w:bCs/>
          <w:sz w:val="28"/>
          <w:szCs w:val="28"/>
        </w:rPr>
        <w:t>0</w:t>
      </w:r>
      <w:r>
        <w:rPr>
          <w:rFonts w:hint="eastAsia" w:ascii="Times New Roman" w:hAnsi="Times New Roman" w:eastAsia="黑体" w:cs="Times New Roman"/>
          <w:b/>
          <w:bCs/>
          <w:sz w:val="28"/>
          <w:szCs w:val="28"/>
          <w:lang w:val="en-US" w:eastAsia="zh-CN"/>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cs="Times New Roman"/>
          <w:b/>
          <w:bCs/>
          <w:sz w:val="28"/>
          <w:szCs w:val="28"/>
        </w:rPr>
      </w:pPr>
    </w:p>
    <w:p>
      <w:pPr>
        <w:widowControl/>
        <w:jc w:val="left"/>
        <w:rPr>
          <w:rFonts w:ascii="Times New Roman" w:hAnsi="Times New Roman" w:eastAsia="仿宋_GB2312" w:cs="Times New Roman"/>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4"/>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eastAsia="zh-CN"/>
              </w:rPr>
              <w:t>施镜美</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1621" w:type="dxa"/>
            <w:vAlign w:val="top"/>
          </w:tcPr>
          <w:p>
            <w:pPr>
              <w:rPr>
                <w:rFonts w:ascii="Times New Roman" w:hAnsi="Times New Roman" w:eastAsia="黑体" w:cs="黑体"/>
                <w:color w:val="000000"/>
                <w:sz w:val="24"/>
                <w:szCs w:val="24"/>
                <w:u w:color="000000"/>
                <w:lang w:val="zh-TW" w:eastAsia="zh-TW"/>
              </w:rPr>
            </w:pPr>
          </w:p>
        </w:tc>
        <w:tc>
          <w:tcPr>
            <w:tcW w:w="1621" w:type="dxa"/>
          </w:tcPr>
          <w:p>
            <w:pP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刘荣</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1621" w:type="dxa"/>
            <w:vAlign w:val="top"/>
          </w:tcPr>
          <w:p>
            <w:pPr>
              <w:spacing w:line="360" w:lineRule="auto"/>
              <w:rPr>
                <w:rFonts w:ascii="Times New Roman" w:hAnsi="Times New Roman" w:eastAsia="黑体" w:cs="黑体"/>
                <w:color w:val="000000"/>
                <w:sz w:val="24"/>
                <w:szCs w:val="24"/>
                <w:u w:color="000000"/>
                <w:lang w:val="zh-TW" w:eastAsia="zh-TW"/>
              </w:rPr>
            </w:pP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陈蕾</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hint="eastAsia" w:ascii="Times New Roman" w:hAnsi="Times New Roman" w:eastAsia="黑体" w:cs="黑体"/>
                <w:color w:val="000000"/>
                <w:kern w:val="2"/>
                <w:sz w:val="24"/>
                <w:szCs w:val="24"/>
                <w:u w:color="000000"/>
                <w:lang w:val="en-US" w:eastAsia="zh-CN" w:bidi="ar-SA"/>
              </w:rPr>
            </w:pPr>
            <w:r>
              <w:rPr>
                <w:rFonts w:hint="eastAsia" w:ascii="Times New Roman" w:hAnsi="Times New Roman" w:eastAsia="黑体" w:cs="黑体"/>
                <w:color w:val="000000"/>
                <w:kern w:val="2"/>
                <w:sz w:val="24"/>
                <w:szCs w:val="24"/>
                <w:u w:color="000000"/>
                <w:lang w:val="en-US" w:eastAsia="zh-CN" w:bidi="ar-SA"/>
              </w:rPr>
              <w:t>刘娜</w:t>
            </w:r>
          </w:p>
        </w:tc>
        <w:tc>
          <w:tcPr>
            <w:tcW w:w="1620" w:type="dxa"/>
            <w:vAlign w:val="top"/>
          </w:tcPr>
          <w:p>
            <w:pPr>
              <w:spacing w:line="360" w:lineRule="auto"/>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稽核科科长</w:t>
            </w:r>
          </w:p>
        </w:tc>
        <w:tc>
          <w:tcPr>
            <w:tcW w:w="1621" w:type="dxa"/>
            <w:vAlign w:val="top"/>
          </w:tcPr>
          <w:p>
            <w:pPr>
              <w:spacing w:line="360" w:lineRule="auto"/>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稽核科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王红云</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洪玉莲</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spacing w:line="360" w:lineRule="auto"/>
        <w:ind w:firstLine="566" w:firstLineChars="236"/>
        <w:rPr>
          <w:rFonts w:ascii="Times New Roman" w:hAnsi="Times New Roman" w:eastAsia="PMingLiU" w:cs="Times New Roman"/>
          <w:color w:val="000000"/>
          <w:sz w:val="24"/>
          <w:szCs w:val="24"/>
          <w:u w:color="000000"/>
          <w:lang w:val="zh-TW" w:eastAsia="zh-TW"/>
        </w:rPr>
      </w:pPr>
    </w:p>
    <w:p>
      <w:pPr>
        <w:spacing w:line="360" w:lineRule="auto"/>
        <w:rPr>
          <w:rFonts w:ascii="Times New Roman" w:hAnsi="Times New Roman" w:eastAsia="宋体" w:cs="Times New Roman"/>
          <w:color w:val="000000"/>
          <w:sz w:val="24"/>
          <w:szCs w:val="24"/>
          <w:u w:color="000000"/>
          <w:lang w:val="zh-TW"/>
        </w:rPr>
        <w:sectPr>
          <w:pgSz w:w="11906" w:h="16838"/>
          <w:pgMar w:top="1440" w:right="1800" w:bottom="1440" w:left="1800" w:header="851" w:footer="992" w:gutter="0"/>
          <w:cols w:space="425" w:num="1"/>
          <w:docGrid w:type="lines" w:linePitch="312" w:charSpace="0"/>
        </w:sectPr>
      </w:pPr>
    </w:p>
    <w:p>
      <w:pPr>
        <w:keepNext/>
        <w:keepLines/>
        <w:widowControl/>
        <w:spacing w:before="480" w:line="276" w:lineRule="auto"/>
        <w:jc w:val="center"/>
        <w:rPr>
          <w:rFonts w:ascii="方正小标宋_GBK" w:hAnsi="Times New Roman" w:eastAsia="方正小标宋_GBK" w:cs="Times New Roman"/>
          <w:bCs/>
          <w:kern w:val="0"/>
          <w:sz w:val="28"/>
          <w:szCs w:val="28"/>
          <w:lang w:val="zh-CN" w:eastAsia="zh-CN"/>
        </w:rPr>
      </w:pPr>
      <w:r>
        <w:rPr>
          <w:rFonts w:hint="eastAsia" w:ascii="方正小标宋_GBK" w:hAnsi="Times New Roman" w:eastAsia="方正小标宋_GBK" w:cs="宋体"/>
          <w:bCs/>
          <w:kern w:val="0"/>
          <w:sz w:val="28"/>
          <w:szCs w:val="28"/>
          <w:lang w:val="zh-CN" w:eastAsia="zh-CN"/>
        </w:rPr>
        <w:t>目录</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一、摘要</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二、部门概况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（一）部门机构设置、编制</w:t>
      </w:r>
      <w:r>
        <w:rPr>
          <w:rFonts w:hint="eastAsia" w:ascii="黑体" w:hAnsi="黑体" w:eastAsia="黑体" w:cs="Times New Roman"/>
          <w:sz w:val="22"/>
          <w:szCs w:val="32"/>
        </w:rPr>
        <w:tab/>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（二）部门职能</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（三）部门工作完成情况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（四）部门管理制度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（五）部门资金来源及使用情况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（六）政府采购情况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（七）固定资产情况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三、绩效目标</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四、评价思路和过程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（一）评价思路</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（二）评价目的</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（三）评价依据</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（四）评价对象及评价时段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五、评价结论和绩效分析</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（一）评价结论</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（二）具体绩效分析</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六、主要经验做法</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七、存在的问题</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00" w:lineRule="exact"/>
        <w:ind w:firstLine="440" w:firstLineChars="200"/>
        <w:jc w:val="left"/>
        <w:rPr>
          <w:rFonts w:ascii="黑体" w:hAnsi="黑体" w:eastAsia="黑体" w:cs="Times New Roman"/>
          <w:szCs w:val="32"/>
        </w:rPr>
      </w:pPr>
      <w:r>
        <w:rPr>
          <w:rFonts w:hint="eastAsia" w:ascii="黑体" w:hAnsi="黑体" w:eastAsia="黑体" w:cs="Times New Roman"/>
          <w:sz w:val="22"/>
          <w:szCs w:val="32"/>
        </w:rPr>
        <w:t>八、改进措施及建议</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00" w:lineRule="exact"/>
        <w:ind w:firstLine="420" w:firstLineChars="200"/>
        <w:jc w:val="left"/>
        <w:rPr>
          <w:rFonts w:ascii="黑体" w:hAnsi="黑体" w:eastAsia="黑体" w:cs="Times New Roman"/>
          <w:szCs w:val="32"/>
        </w:rPr>
      </w:pPr>
    </w:p>
    <w:p>
      <w:pPr>
        <w:spacing w:line="400" w:lineRule="exact"/>
        <w:ind w:firstLine="440" w:firstLineChars="200"/>
        <w:jc w:val="left"/>
        <w:rPr>
          <w:rFonts w:ascii="黑体" w:hAnsi="黑体" w:eastAsia="黑体" w:cs="Times New Roman"/>
          <w:sz w:val="22"/>
        </w:rPr>
      </w:pPr>
      <w:r>
        <w:rPr>
          <w:rFonts w:hint="eastAsia" w:ascii="黑体" w:hAnsi="黑体" w:eastAsia="黑体" w:cs="Times New Roman"/>
          <w:sz w:val="22"/>
        </w:rPr>
        <w:t>附件1部门整体支出绩效评价共性指标体系框架表。</w:t>
      </w:r>
      <w:r>
        <w:rPr>
          <w:rFonts w:hint="eastAsia" w:ascii="黑体" w:hAnsi="黑体" w:eastAsia="黑体" w:cs="Times New Roman"/>
          <w:sz w:val="22"/>
        </w:rPr>
        <w:tab/>
      </w:r>
      <w:r>
        <w:rPr>
          <w:rFonts w:hint="eastAsia" w:ascii="黑体" w:hAnsi="黑体" w:eastAsia="黑体" w:cs="Times New Roman"/>
          <w:sz w:val="22"/>
        </w:rPr>
        <w:t xml:space="preserve"> </w:t>
      </w:r>
    </w:p>
    <w:p>
      <w:pPr>
        <w:spacing w:line="400" w:lineRule="exact"/>
        <w:ind w:firstLine="440" w:firstLineChars="200"/>
        <w:jc w:val="left"/>
        <w:rPr>
          <w:rFonts w:ascii="黑体" w:hAnsi="黑体" w:eastAsia="黑体" w:cs="Times New Roman"/>
          <w:sz w:val="22"/>
        </w:rPr>
      </w:pPr>
      <w:r>
        <w:rPr>
          <w:rFonts w:hint="eastAsia" w:ascii="黑体" w:hAnsi="黑体" w:eastAsia="黑体" w:cs="Times New Roman"/>
          <w:sz w:val="22"/>
        </w:rPr>
        <w:t xml:space="preserve">附件2 </w:t>
      </w:r>
      <w:r>
        <w:rPr>
          <w:rFonts w:hint="eastAsia" w:ascii="黑体" w:hAnsi="黑体" w:eastAsia="黑体" w:cs="Times New Roman"/>
          <w:sz w:val="22"/>
          <w:lang w:val="en-US" w:eastAsia="zh-CN"/>
        </w:rPr>
        <w:t>2020</w:t>
      </w:r>
      <w:r>
        <w:rPr>
          <w:rFonts w:hint="eastAsia" w:ascii="黑体" w:hAnsi="黑体" w:eastAsia="黑体" w:cs="Times New Roman"/>
          <w:sz w:val="22"/>
        </w:rPr>
        <w:t>年决算表（单位：元）</w:t>
      </w:r>
    </w:p>
    <w:p>
      <w:pPr>
        <w:spacing w:line="600" w:lineRule="exact"/>
        <w:ind w:firstLine="420" w:firstLineChars="200"/>
        <w:jc w:val="center"/>
        <w:rPr>
          <w:rFonts w:ascii="方正小标宋_GBK" w:hAnsi="黑体" w:eastAsia="方正小标宋_GBK" w:cs="Times New Roman"/>
          <w:szCs w:val="32"/>
        </w:rPr>
      </w:pPr>
    </w:p>
    <w:p>
      <w:pPr>
        <w:spacing w:line="600" w:lineRule="exact"/>
        <w:ind w:firstLine="420" w:firstLineChars="200"/>
        <w:jc w:val="center"/>
        <w:rPr>
          <w:rFonts w:ascii="方正小标宋_GBK" w:hAnsi="黑体" w:eastAsia="方正小标宋_GBK" w:cs="Times New Roman"/>
          <w:szCs w:val="32"/>
        </w:rPr>
      </w:pPr>
    </w:p>
    <w:p>
      <w:pPr>
        <w:spacing w:line="600" w:lineRule="exact"/>
        <w:ind w:firstLine="420" w:firstLineChars="200"/>
        <w:jc w:val="center"/>
        <w:rPr>
          <w:rFonts w:ascii="方正小标宋_GBK" w:hAnsi="黑体" w:eastAsia="方正小标宋_GBK" w:cs="Times New Roman"/>
          <w:szCs w:val="32"/>
        </w:rPr>
      </w:pPr>
    </w:p>
    <w:p>
      <w:pPr>
        <w:spacing w:line="600" w:lineRule="exact"/>
        <w:ind w:firstLine="420" w:firstLineChars="200"/>
        <w:jc w:val="center"/>
        <w:rPr>
          <w:rFonts w:ascii="方正小标宋_GBK" w:hAnsi="黑体" w:eastAsia="方正小标宋_GBK" w:cs="Times New Roman"/>
          <w:szCs w:val="32"/>
        </w:rPr>
      </w:pPr>
    </w:p>
    <w:p>
      <w:pPr>
        <w:spacing w:line="600" w:lineRule="exact"/>
        <w:ind w:firstLine="420" w:firstLineChars="200"/>
        <w:jc w:val="center"/>
        <w:rPr>
          <w:rFonts w:ascii="方正小标宋_GBK" w:hAnsi="黑体" w:eastAsia="方正小标宋_GBK" w:cs="Times New Roman"/>
          <w:szCs w:val="32"/>
        </w:rPr>
      </w:pPr>
    </w:p>
    <w:p>
      <w:pPr>
        <w:spacing w:line="520" w:lineRule="exact"/>
        <w:ind w:firstLine="880" w:firstLineChars="200"/>
        <w:jc w:val="center"/>
        <w:rPr>
          <w:rFonts w:ascii="方正小标宋_GBK" w:hAnsi="Calibri" w:eastAsia="方正小标宋_GBK" w:cs="Times New Roman"/>
          <w:sz w:val="44"/>
          <w:szCs w:val="28"/>
        </w:rPr>
      </w:pPr>
      <w:r>
        <w:rPr>
          <w:rFonts w:hint="eastAsia" w:ascii="方正小标宋_GBK" w:hAnsi="Calibri" w:eastAsia="方正小标宋_GBK" w:cs="Times New Roman"/>
          <w:sz w:val="44"/>
          <w:szCs w:val="28"/>
        </w:rPr>
        <w:t>盘龙区城乡居民社会养老保险局</w:t>
      </w:r>
    </w:p>
    <w:p>
      <w:pPr>
        <w:spacing w:line="520" w:lineRule="exact"/>
        <w:ind w:firstLine="880" w:firstLineChars="200"/>
        <w:jc w:val="center"/>
        <w:rPr>
          <w:rFonts w:ascii="方正小标宋_GBK" w:hAnsi="Calibri" w:eastAsia="方正小标宋_GBK" w:cs="Times New Roman"/>
          <w:sz w:val="44"/>
          <w:szCs w:val="28"/>
        </w:rPr>
      </w:pPr>
      <w:r>
        <w:rPr>
          <w:rFonts w:hint="eastAsia" w:ascii="方正小标宋_GBK" w:hAnsi="Calibri" w:eastAsia="方正小标宋_GBK" w:cs="Times New Roman"/>
          <w:sz w:val="44"/>
          <w:szCs w:val="28"/>
          <w:lang w:val="en-US" w:eastAsia="zh-CN"/>
        </w:rPr>
        <w:t>2020</w:t>
      </w:r>
      <w:r>
        <w:rPr>
          <w:rFonts w:hint="eastAsia" w:ascii="方正小标宋_GBK" w:hAnsi="Calibri" w:eastAsia="方正小标宋_GBK" w:cs="Times New Roman"/>
          <w:sz w:val="44"/>
          <w:szCs w:val="28"/>
        </w:rPr>
        <w:t>年部门整体支出绩效自评报告</w:t>
      </w:r>
    </w:p>
    <w:p>
      <w:pPr>
        <w:spacing w:line="520" w:lineRule="exact"/>
        <w:ind w:firstLine="560" w:firstLineChars="200"/>
        <w:jc w:val="center"/>
        <w:rPr>
          <w:rFonts w:hint="eastAsia" w:ascii="方正小标宋_GBK" w:hAnsi="黑体" w:eastAsia="方正小标宋_GBK" w:cs="Times New Roman"/>
          <w:sz w:val="28"/>
          <w:szCs w:val="32"/>
        </w:rPr>
      </w:pPr>
    </w:p>
    <w:p>
      <w:pPr>
        <w:spacing w:line="52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摘要</w:t>
      </w:r>
    </w:p>
    <w:p>
      <w:pPr>
        <w:pStyle w:val="8"/>
        <w:numPr>
          <w:ilvl w:val="0"/>
          <w:numId w:val="1"/>
        </w:numPr>
        <w:spacing w:line="520" w:lineRule="exact"/>
        <w:ind w:firstLineChars="0"/>
        <w:jc w:val="left"/>
        <w:rPr>
          <w:rFonts w:ascii="黑体" w:hAnsi="黑体" w:eastAsia="黑体" w:cs="Times New Roman"/>
          <w:sz w:val="32"/>
          <w:szCs w:val="32"/>
        </w:rPr>
      </w:pPr>
      <w:r>
        <w:rPr>
          <w:rFonts w:hint="eastAsia" w:ascii="黑体" w:hAnsi="黑体" w:eastAsia="黑体" w:cs="Times New Roman"/>
          <w:sz w:val="32"/>
          <w:szCs w:val="32"/>
        </w:rPr>
        <w:t>部门概况</w:t>
      </w:r>
    </w:p>
    <w:p>
      <w:pPr>
        <w:spacing w:line="520" w:lineRule="exact"/>
        <w:ind w:firstLine="640" w:firstLineChars="200"/>
        <w:jc w:val="left"/>
        <w:rPr>
          <w:rFonts w:ascii="黑体" w:hAnsi="黑体" w:eastAsia="黑体" w:cs="Times New Roman"/>
          <w:sz w:val="32"/>
          <w:szCs w:val="32"/>
        </w:rPr>
      </w:pPr>
      <w:r>
        <w:rPr>
          <w:rFonts w:hint="eastAsia" w:ascii="仿宋_GB2312" w:hAnsi="黑体" w:eastAsia="仿宋_GB2312" w:cs="Times New Roman"/>
          <w:sz w:val="32"/>
          <w:szCs w:val="32"/>
        </w:rPr>
        <w:t>盘龙区城乡居民社会养老保险局主要职责：认真贯彻执行国家、省、市城乡居民基本保险方针、政策、法规；负责全区城乡居民基本养老保险工作；制定全区城乡居民基本养老保险发展规划，并组织实施；开展城乡居民基本养老保险政策宣传，对街道城乡居民基本养老保险工作进行指导、培训、检查；拟定城乡居民基本养老保险费用筹集办法、待遇项目、给付条件和给付标准；及时将保险费的支付、积存等报告上级部门，定期向保险对象公布养老保险费收入与保险金支出等情况；负责城乡居民业务档案管理，妥善保管各种资料，建立健全登记收发、领用制度，做到账实相符；保障城乡居民的基本生活、维护社会稳定促进社会保险事业的发展。</w:t>
      </w:r>
    </w:p>
    <w:p>
      <w:pPr>
        <w:spacing w:line="520" w:lineRule="exact"/>
        <w:ind w:firstLine="800" w:firstLineChars="250"/>
        <w:jc w:val="left"/>
        <w:rPr>
          <w:rFonts w:ascii="仿宋_GB2312" w:hAnsi="黑体" w:eastAsia="仿宋_GB2312" w:cs="Times New Roman"/>
          <w:sz w:val="32"/>
          <w:szCs w:val="32"/>
        </w:rPr>
      </w:pPr>
      <w:r>
        <w:rPr>
          <w:rFonts w:hint="eastAsia" w:ascii="仿宋_GB2312" w:hAnsi="黑体" w:eastAsia="仿宋_GB2312" w:cs="Times New Roman"/>
          <w:sz w:val="32"/>
          <w:szCs w:val="32"/>
        </w:rPr>
        <w:t>20</w:t>
      </w:r>
      <w:r>
        <w:rPr>
          <w:rFonts w:hint="eastAsia" w:ascii="仿宋_GB2312" w:hAnsi="黑体" w:eastAsia="仿宋_GB2312" w:cs="Times New Roman"/>
          <w:sz w:val="32"/>
          <w:szCs w:val="32"/>
          <w:lang w:val="en-US" w:eastAsia="zh-CN"/>
        </w:rPr>
        <w:t>20</w:t>
      </w:r>
      <w:r>
        <w:rPr>
          <w:rFonts w:hint="eastAsia" w:ascii="仿宋_GB2312" w:hAnsi="黑体" w:eastAsia="仿宋_GB2312" w:cs="Times New Roman"/>
          <w:sz w:val="32"/>
          <w:szCs w:val="32"/>
        </w:rPr>
        <w:t>年度重点工作：100%完成市居保局下达的城乡居民基本养老保险参保续费目标任务；按照《盘龙区人民政府&lt;关于印发盘龙区松华坝饮用水源保护区扶持补助办法（试行）的通知&gt;》（盘政通〔2017〕1号）文件，对符合水源保护区补助条件并自愿参保城乡居民基本养老保险的居民，每人每年给予200元的参保缴费补助；按照昆财社基〔2019〕年67号文对低保特困人员开展城乡居民基本养老保险代缴工作；推进被征地人员基本养老保险制度改革工作。</w:t>
      </w:r>
    </w:p>
    <w:p>
      <w:pPr>
        <w:spacing w:line="520" w:lineRule="exact"/>
        <w:ind w:left="560"/>
        <w:jc w:val="left"/>
        <w:rPr>
          <w:rFonts w:ascii="黑体" w:hAnsi="黑体" w:eastAsia="黑体" w:cs="Times New Roman"/>
          <w:sz w:val="32"/>
          <w:szCs w:val="32"/>
        </w:rPr>
      </w:pPr>
      <w:r>
        <w:rPr>
          <w:rFonts w:hint="eastAsia" w:ascii="黑体" w:hAnsi="黑体" w:eastAsia="黑体" w:cs="Times New Roman"/>
          <w:sz w:val="32"/>
          <w:szCs w:val="32"/>
        </w:rPr>
        <w:t>二</w:t>
      </w:r>
      <w:r>
        <w:rPr>
          <w:rFonts w:ascii="黑体" w:hAnsi="黑体" w:eastAsia="黑体" w:cs="Times New Roman"/>
          <w:sz w:val="32"/>
          <w:szCs w:val="32"/>
        </w:rPr>
        <w:t>、</w:t>
      </w:r>
      <w:r>
        <w:rPr>
          <w:rFonts w:hint="eastAsia" w:ascii="黑体" w:hAnsi="黑体" w:eastAsia="黑体" w:cs="Times New Roman"/>
          <w:sz w:val="32"/>
          <w:szCs w:val="32"/>
        </w:rPr>
        <w:t>评价结论及绩效分析</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根据部门整体支出绩效评价指标确定的内容，经评价组综合评价，盘龙区城乡居民社会养老保险局</w:t>
      </w:r>
      <w:r>
        <w:rPr>
          <w:rFonts w:hint="eastAsia" w:ascii="仿宋_GB2312" w:hAnsi="黑体" w:eastAsia="仿宋_GB2312" w:cs="Times New Roman"/>
          <w:sz w:val="32"/>
          <w:szCs w:val="32"/>
          <w:lang w:val="en-US" w:eastAsia="zh-CN"/>
        </w:rPr>
        <w:t>2020</w:t>
      </w:r>
      <w:r>
        <w:rPr>
          <w:rFonts w:hint="eastAsia" w:ascii="仿宋_GB2312" w:hAnsi="黑体" w:eastAsia="仿宋_GB2312" w:cs="Times New Roman"/>
          <w:sz w:val="32"/>
          <w:szCs w:val="32"/>
        </w:rPr>
        <w:t>年度整体支出绩效评为 “优”，主要体现在以下几方面：</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（一）切实落实水源区缴费补助</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按照《盘龙区人民政府&lt;关于印发盘龙区松华坝饮用水源保护区扶持补助办法（试行）的通知&gt;》（盘政通〔2017〕1号）文件，自2016年1月1日起，符合城乡居民基本养老保险参保条件并自愿参保缴费</w:t>
      </w:r>
      <w:r>
        <w:rPr>
          <w:rFonts w:hint="eastAsia" w:ascii="仿宋_GB2312" w:hAnsi="黑体" w:eastAsia="仿宋_GB2312" w:cs="Times New Roman"/>
          <w:sz w:val="32"/>
          <w:szCs w:val="32"/>
          <w:lang w:eastAsia="zh-CN"/>
        </w:rPr>
        <w:t>的</w:t>
      </w:r>
      <w:r>
        <w:rPr>
          <w:rFonts w:hint="eastAsia" w:ascii="仿宋_GB2312" w:hAnsi="黑体" w:eastAsia="仿宋_GB2312" w:cs="Times New Roman"/>
          <w:sz w:val="32"/>
          <w:szCs w:val="32"/>
        </w:rPr>
        <w:t>松华坝</w:t>
      </w:r>
      <w:r>
        <w:rPr>
          <w:rFonts w:hint="eastAsia" w:ascii="仿宋_GB2312" w:hAnsi="黑体" w:eastAsia="仿宋_GB2312" w:cs="Times New Roman"/>
          <w:sz w:val="32"/>
          <w:szCs w:val="32"/>
          <w:lang w:eastAsia="zh-CN"/>
        </w:rPr>
        <w:t>水源区</w:t>
      </w:r>
      <w:r>
        <w:rPr>
          <w:rFonts w:hint="eastAsia" w:ascii="仿宋_GB2312" w:hAnsi="黑体" w:eastAsia="仿宋_GB2312" w:cs="Times New Roman"/>
          <w:sz w:val="32"/>
          <w:szCs w:val="32"/>
        </w:rPr>
        <w:t>居民，每人每年享受200元的参保缴费补助。</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lang w:val="en-US" w:eastAsia="zh-CN"/>
        </w:rPr>
        <w:t>2020</w:t>
      </w:r>
      <w:r>
        <w:rPr>
          <w:rFonts w:hint="eastAsia" w:ascii="仿宋_GB2312" w:hAnsi="黑体" w:eastAsia="仿宋_GB2312" w:cs="Times New Roman"/>
          <w:sz w:val="32"/>
          <w:szCs w:val="32"/>
        </w:rPr>
        <w:t>年，松华坝水源区城乡基本养老保险财政</w:t>
      </w:r>
      <w:r>
        <w:rPr>
          <w:rFonts w:hint="eastAsia" w:ascii="仿宋_GB2312" w:hAnsi="黑体" w:eastAsia="仿宋_GB2312" w:cs="Times New Roman"/>
          <w:sz w:val="32"/>
          <w:szCs w:val="32"/>
          <w:lang w:eastAsia="zh-CN"/>
        </w:rPr>
        <w:t>代缴</w:t>
      </w:r>
      <w:r>
        <w:rPr>
          <w:rFonts w:hint="eastAsia" w:ascii="仿宋_GB2312" w:hAnsi="黑体" w:eastAsia="仿宋_GB2312" w:cs="Times New Roman"/>
          <w:sz w:val="32"/>
          <w:szCs w:val="32"/>
        </w:rPr>
        <w:t>人数</w:t>
      </w:r>
      <w:r>
        <w:rPr>
          <w:rFonts w:hint="eastAsia" w:ascii="仿宋_GB2312" w:hAnsi="黑体" w:eastAsia="仿宋_GB2312" w:cs="Times New Roman"/>
          <w:sz w:val="32"/>
          <w:szCs w:val="32"/>
          <w:lang w:val="en-US" w:eastAsia="zh-CN"/>
        </w:rPr>
        <w:t>38304</w:t>
      </w:r>
      <w:r>
        <w:rPr>
          <w:rFonts w:hint="eastAsia" w:ascii="仿宋_GB2312" w:hAnsi="黑体" w:eastAsia="仿宋_GB2312" w:cs="Times New Roman"/>
          <w:sz w:val="32"/>
          <w:szCs w:val="32"/>
        </w:rPr>
        <w:t>人，支出</w:t>
      </w:r>
      <w:r>
        <w:rPr>
          <w:rFonts w:hint="eastAsia" w:ascii="仿宋_GB2312" w:hAnsi="黑体" w:eastAsia="仿宋_GB2312" w:cs="Times New Roman"/>
          <w:sz w:val="32"/>
          <w:szCs w:val="32"/>
          <w:lang w:eastAsia="zh-CN"/>
        </w:rPr>
        <w:t>代缴</w:t>
      </w:r>
      <w:r>
        <w:rPr>
          <w:rFonts w:hint="eastAsia" w:ascii="仿宋_GB2312" w:hAnsi="黑体" w:eastAsia="仿宋_GB2312" w:cs="Times New Roman"/>
          <w:sz w:val="32"/>
          <w:szCs w:val="32"/>
        </w:rPr>
        <w:t>资金</w:t>
      </w:r>
      <w:r>
        <w:rPr>
          <w:rFonts w:hint="eastAsia" w:ascii="仿宋_GB2312" w:hAnsi="黑体" w:eastAsia="仿宋_GB2312" w:cs="Times New Roman"/>
          <w:sz w:val="32"/>
          <w:szCs w:val="32"/>
          <w:lang w:val="en-US" w:eastAsia="zh-CN"/>
        </w:rPr>
        <w:t>7137000</w:t>
      </w:r>
      <w:r>
        <w:rPr>
          <w:rFonts w:hint="eastAsia" w:ascii="仿宋_GB2312" w:hAnsi="黑体" w:eastAsia="仿宋_GB2312" w:cs="Times New Roman"/>
          <w:sz w:val="32"/>
          <w:szCs w:val="32"/>
        </w:rPr>
        <w:t>元。</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（二）推进低保对象、特困人员参保及代缴补助工作</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根据昆明市盘龙区人力资源和社会保障局、昆明市盘龙区民政局、昆明市盘龙区残疾人联合会、昆明市盘龙区财政局《盘龙区贫困及残疾人员城乡居民基本养老保险缴费补助办法（试行）》（盘</w:t>
      </w:r>
      <w:r>
        <w:rPr>
          <w:rFonts w:ascii="仿宋_GB2312" w:hAnsi="黑体" w:eastAsia="仿宋_GB2312" w:cs="Times New Roman"/>
          <w:sz w:val="32"/>
          <w:szCs w:val="32"/>
        </w:rPr>
        <w:t>人社</w:t>
      </w:r>
      <w:r>
        <w:rPr>
          <w:rFonts w:hint="eastAsia" w:ascii="仿宋_GB2312" w:hAnsi="黑体" w:eastAsia="仿宋_GB2312" w:cs="Times New Roman"/>
          <w:sz w:val="32"/>
          <w:szCs w:val="32"/>
        </w:rPr>
        <w:t>〔20</w:t>
      </w:r>
      <w:r>
        <w:rPr>
          <w:rFonts w:ascii="仿宋_GB2312" w:hAnsi="黑体" w:eastAsia="仿宋_GB2312" w:cs="Times New Roman"/>
          <w:sz w:val="32"/>
          <w:szCs w:val="32"/>
        </w:rPr>
        <w:t>19</w:t>
      </w:r>
      <w:r>
        <w:rPr>
          <w:rFonts w:hint="eastAsia" w:ascii="仿宋_GB2312" w:hAnsi="黑体" w:eastAsia="仿宋_GB2312" w:cs="Times New Roman"/>
          <w:sz w:val="32"/>
          <w:szCs w:val="32"/>
        </w:rPr>
        <w:t>〕</w:t>
      </w:r>
      <w:r>
        <w:rPr>
          <w:rFonts w:ascii="仿宋_GB2312" w:hAnsi="黑体" w:eastAsia="仿宋_GB2312" w:cs="Times New Roman"/>
          <w:sz w:val="32"/>
          <w:szCs w:val="32"/>
        </w:rPr>
        <w:t>128</w:t>
      </w:r>
      <w:r>
        <w:rPr>
          <w:rFonts w:hint="eastAsia" w:ascii="仿宋_GB2312" w:hAnsi="黑体" w:eastAsia="仿宋_GB2312" w:cs="Times New Roman"/>
          <w:sz w:val="32"/>
          <w:szCs w:val="32"/>
        </w:rPr>
        <w:t>号），盘龙区</w:t>
      </w:r>
      <w:r>
        <w:rPr>
          <w:rFonts w:ascii="仿宋_GB2312" w:hAnsi="黑体" w:eastAsia="仿宋_GB2312" w:cs="Times New Roman"/>
          <w:sz w:val="32"/>
          <w:szCs w:val="32"/>
        </w:rPr>
        <w:t>在</w:t>
      </w:r>
      <w:r>
        <w:rPr>
          <w:rFonts w:hint="eastAsia" w:ascii="仿宋_GB2312" w:hAnsi="黑体" w:eastAsia="仿宋_GB2312" w:cs="Times New Roman"/>
          <w:sz w:val="32"/>
          <w:szCs w:val="32"/>
        </w:rPr>
        <w:t>市级要求</w:t>
      </w:r>
      <w:r>
        <w:rPr>
          <w:rFonts w:ascii="仿宋_GB2312" w:hAnsi="黑体" w:eastAsia="仿宋_GB2312" w:cs="Times New Roman"/>
          <w:sz w:val="32"/>
          <w:szCs w:val="32"/>
        </w:rPr>
        <w:t>的每人</w:t>
      </w:r>
      <w:r>
        <w:rPr>
          <w:rFonts w:hint="eastAsia" w:ascii="仿宋_GB2312" w:hAnsi="黑体" w:eastAsia="仿宋_GB2312" w:cs="Times New Roman"/>
          <w:sz w:val="32"/>
          <w:szCs w:val="32"/>
        </w:rPr>
        <w:t>每年代缴100元</w:t>
      </w:r>
      <w:r>
        <w:rPr>
          <w:rFonts w:ascii="仿宋_GB2312" w:hAnsi="黑体" w:eastAsia="仿宋_GB2312" w:cs="Times New Roman"/>
          <w:sz w:val="32"/>
          <w:szCs w:val="32"/>
        </w:rPr>
        <w:t>的</w:t>
      </w:r>
      <w:r>
        <w:rPr>
          <w:rFonts w:hint="eastAsia" w:ascii="仿宋_GB2312" w:hAnsi="黑体" w:eastAsia="仿宋_GB2312" w:cs="Times New Roman"/>
          <w:sz w:val="32"/>
          <w:szCs w:val="32"/>
        </w:rPr>
        <w:t>基础上</w:t>
      </w:r>
      <w:r>
        <w:rPr>
          <w:rFonts w:ascii="仿宋_GB2312" w:hAnsi="黑体" w:eastAsia="仿宋_GB2312" w:cs="Times New Roman"/>
          <w:sz w:val="32"/>
          <w:szCs w:val="32"/>
        </w:rPr>
        <w:t>，</w:t>
      </w:r>
      <w:r>
        <w:rPr>
          <w:rFonts w:hint="eastAsia" w:ascii="仿宋_GB2312" w:hAnsi="黑体" w:eastAsia="仿宋_GB2312" w:cs="Times New Roman"/>
          <w:sz w:val="32"/>
          <w:szCs w:val="32"/>
        </w:rPr>
        <w:t>每人再提高100元（每人每年</w:t>
      </w:r>
      <w:r>
        <w:rPr>
          <w:rFonts w:ascii="仿宋_GB2312" w:hAnsi="黑体" w:eastAsia="仿宋_GB2312" w:cs="Times New Roman"/>
          <w:sz w:val="32"/>
          <w:szCs w:val="32"/>
        </w:rPr>
        <w:t>财政代缴养老金共计</w:t>
      </w:r>
      <w:r>
        <w:rPr>
          <w:rFonts w:hint="eastAsia" w:ascii="仿宋_GB2312" w:hAnsi="黑体" w:eastAsia="仿宋_GB2312" w:cs="Times New Roman"/>
          <w:sz w:val="32"/>
          <w:szCs w:val="32"/>
        </w:rPr>
        <w:t>不超过200元）。</w:t>
      </w:r>
    </w:p>
    <w:p>
      <w:pPr>
        <w:spacing w:line="520" w:lineRule="exact"/>
        <w:ind w:firstLine="640" w:firstLineChars="200"/>
        <w:jc w:val="left"/>
        <w:rPr>
          <w:rFonts w:ascii="仿宋_GB2312" w:hAnsi="黑体" w:eastAsia="仿宋_GB2312" w:cs="Times New Roman"/>
          <w:sz w:val="32"/>
          <w:szCs w:val="32"/>
        </w:rPr>
      </w:pPr>
      <w:r>
        <w:rPr>
          <w:rFonts w:ascii="仿宋_GB2312" w:hAnsi="黑体" w:eastAsia="仿宋_GB2312" w:cs="Times New Roman"/>
          <w:sz w:val="32"/>
          <w:szCs w:val="32"/>
        </w:rPr>
        <w:t>20</w:t>
      </w:r>
      <w:r>
        <w:rPr>
          <w:rFonts w:hint="eastAsia" w:ascii="仿宋_GB2312" w:hAnsi="黑体" w:eastAsia="仿宋_GB2312" w:cs="Times New Roman"/>
          <w:sz w:val="32"/>
          <w:szCs w:val="32"/>
          <w:lang w:val="en-US" w:eastAsia="zh-CN"/>
        </w:rPr>
        <w:t>20</w:t>
      </w:r>
      <w:r>
        <w:rPr>
          <w:rFonts w:hint="eastAsia" w:ascii="仿宋_GB2312" w:hAnsi="黑体" w:eastAsia="仿宋_GB2312" w:cs="Times New Roman"/>
          <w:sz w:val="32"/>
          <w:szCs w:val="32"/>
        </w:rPr>
        <w:t>年盘龙区符合条件低保、特困人员参加城乡居民社会养老保险</w:t>
      </w:r>
      <w:r>
        <w:rPr>
          <w:rFonts w:hint="eastAsia" w:ascii="仿宋_GB2312" w:hAnsi="黑体" w:eastAsia="仿宋_GB2312" w:cs="Times New Roman"/>
          <w:sz w:val="32"/>
          <w:szCs w:val="32"/>
          <w:lang w:val="en-US" w:eastAsia="zh-CN"/>
        </w:rPr>
        <w:t>2254</w:t>
      </w:r>
      <w:r>
        <w:rPr>
          <w:rFonts w:hint="eastAsia" w:ascii="仿宋_GB2312" w:hAnsi="黑体" w:eastAsia="仿宋_GB2312" w:cs="Times New Roman"/>
          <w:sz w:val="32"/>
          <w:szCs w:val="32"/>
        </w:rPr>
        <w:t>人，市级财政应拨付代缴资金</w:t>
      </w:r>
      <w:r>
        <w:rPr>
          <w:rFonts w:hint="eastAsia" w:ascii="仿宋_GB2312" w:hAnsi="黑体" w:eastAsia="仿宋_GB2312" w:cs="Times New Roman"/>
          <w:sz w:val="32"/>
          <w:szCs w:val="32"/>
          <w:lang w:val="en-US" w:eastAsia="zh-CN"/>
        </w:rPr>
        <w:t>90160</w:t>
      </w:r>
      <w:r>
        <w:rPr>
          <w:rFonts w:hint="eastAsia" w:ascii="仿宋_GB2312" w:hAnsi="黑体" w:eastAsia="仿宋_GB2312" w:cs="Times New Roman"/>
          <w:sz w:val="32"/>
          <w:szCs w:val="32"/>
        </w:rPr>
        <w:t>元，实际拨付代缴资金</w:t>
      </w:r>
      <w:r>
        <w:rPr>
          <w:rFonts w:hint="eastAsia" w:ascii="仿宋_GB2312" w:hAnsi="黑体" w:eastAsia="仿宋_GB2312" w:cs="Times New Roman"/>
          <w:sz w:val="32"/>
          <w:szCs w:val="32"/>
          <w:lang w:val="en-US" w:eastAsia="zh-CN"/>
        </w:rPr>
        <w:t>90160</w:t>
      </w:r>
      <w:r>
        <w:rPr>
          <w:rFonts w:hint="eastAsia" w:ascii="仿宋_GB2312" w:hAnsi="黑体" w:eastAsia="仿宋_GB2312" w:cs="Times New Roman"/>
          <w:sz w:val="32"/>
          <w:szCs w:val="32"/>
        </w:rPr>
        <w:t>元；区级财政应配套</w:t>
      </w:r>
      <w:r>
        <w:rPr>
          <w:rFonts w:hint="eastAsia" w:ascii="仿宋_GB2312" w:hAnsi="黑体" w:eastAsia="仿宋_GB2312" w:cs="Times New Roman"/>
          <w:sz w:val="32"/>
          <w:szCs w:val="32"/>
          <w:lang w:val="en-US" w:eastAsia="zh-CN"/>
        </w:rPr>
        <w:t>135240</w:t>
      </w:r>
      <w:r>
        <w:rPr>
          <w:rFonts w:hint="eastAsia" w:ascii="仿宋_GB2312" w:hAnsi="黑体" w:eastAsia="仿宋_GB2312" w:cs="Times New Roman"/>
          <w:sz w:val="32"/>
          <w:szCs w:val="32"/>
        </w:rPr>
        <w:t>元</w:t>
      </w:r>
      <w:r>
        <w:rPr>
          <w:rFonts w:ascii="仿宋_GB2312" w:hAnsi="黑体" w:eastAsia="仿宋_GB2312" w:cs="Times New Roman"/>
          <w:sz w:val="32"/>
          <w:szCs w:val="32"/>
        </w:rPr>
        <w:t>，实际配套</w:t>
      </w:r>
      <w:r>
        <w:rPr>
          <w:rFonts w:hint="eastAsia" w:ascii="仿宋_GB2312" w:hAnsi="黑体" w:eastAsia="仿宋_GB2312" w:cs="Times New Roman"/>
          <w:sz w:val="32"/>
          <w:szCs w:val="32"/>
        </w:rPr>
        <w:t>资金</w:t>
      </w:r>
      <w:r>
        <w:rPr>
          <w:rFonts w:hint="eastAsia" w:ascii="仿宋_GB2312" w:hAnsi="黑体" w:eastAsia="仿宋_GB2312" w:cs="Times New Roman"/>
          <w:sz w:val="32"/>
          <w:szCs w:val="32"/>
          <w:lang w:val="en-US" w:eastAsia="zh-CN"/>
        </w:rPr>
        <w:t>360640</w:t>
      </w:r>
      <w:r>
        <w:rPr>
          <w:rFonts w:hint="eastAsia" w:ascii="仿宋_GB2312" w:hAnsi="黑体" w:eastAsia="仿宋_GB2312" w:cs="Times New Roman"/>
          <w:sz w:val="32"/>
          <w:szCs w:val="32"/>
        </w:rPr>
        <w:t>元（区级区级多筹集的</w:t>
      </w:r>
      <w:r>
        <w:rPr>
          <w:rFonts w:hint="eastAsia" w:ascii="仿宋_GB2312" w:hAnsi="黑体" w:eastAsia="仿宋_GB2312" w:cs="Times New Roman"/>
          <w:sz w:val="32"/>
          <w:szCs w:val="32"/>
          <w:lang w:val="en-US" w:eastAsia="zh-CN"/>
        </w:rPr>
        <w:t>225400</w:t>
      </w:r>
      <w:r>
        <w:rPr>
          <w:rFonts w:hint="eastAsia" w:ascii="仿宋_GB2312" w:hAnsi="黑体" w:eastAsia="仿宋_GB2312" w:cs="Times New Roman"/>
          <w:sz w:val="32"/>
          <w:szCs w:val="32"/>
        </w:rPr>
        <w:t>元为区级依据盘</w:t>
      </w:r>
      <w:r>
        <w:rPr>
          <w:rFonts w:ascii="仿宋_GB2312" w:hAnsi="黑体" w:eastAsia="仿宋_GB2312" w:cs="Times New Roman"/>
          <w:sz w:val="32"/>
          <w:szCs w:val="32"/>
        </w:rPr>
        <w:t>人社</w:t>
      </w:r>
      <w:r>
        <w:rPr>
          <w:rFonts w:hint="eastAsia" w:ascii="仿宋_GB2312" w:hAnsi="黑体" w:eastAsia="仿宋_GB2312" w:cs="Times New Roman"/>
          <w:sz w:val="32"/>
          <w:szCs w:val="32"/>
        </w:rPr>
        <w:t>〔20</w:t>
      </w:r>
      <w:r>
        <w:rPr>
          <w:rFonts w:ascii="仿宋_GB2312" w:hAnsi="黑体" w:eastAsia="仿宋_GB2312" w:cs="Times New Roman"/>
          <w:sz w:val="32"/>
          <w:szCs w:val="32"/>
        </w:rPr>
        <w:t>19</w:t>
      </w:r>
      <w:r>
        <w:rPr>
          <w:rFonts w:hint="eastAsia" w:ascii="仿宋_GB2312" w:hAnsi="黑体" w:eastAsia="仿宋_GB2312" w:cs="Times New Roman"/>
          <w:sz w:val="32"/>
          <w:szCs w:val="32"/>
        </w:rPr>
        <w:t>〕</w:t>
      </w:r>
      <w:r>
        <w:rPr>
          <w:rFonts w:ascii="仿宋_GB2312" w:hAnsi="黑体" w:eastAsia="仿宋_GB2312" w:cs="Times New Roman"/>
          <w:sz w:val="32"/>
          <w:szCs w:val="32"/>
        </w:rPr>
        <w:t>128</w:t>
      </w:r>
      <w:r>
        <w:rPr>
          <w:rFonts w:hint="eastAsia" w:ascii="仿宋_GB2312" w:hAnsi="黑体" w:eastAsia="仿宋_GB2312" w:cs="Times New Roman"/>
          <w:sz w:val="32"/>
          <w:szCs w:val="32"/>
        </w:rPr>
        <w:t>号文而提高代缴标准的提高部分）。</w:t>
      </w:r>
      <w:r>
        <w:rPr>
          <w:rFonts w:hint="eastAsia" w:ascii="仿宋_GB2312" w:hAnsi="仿宋_GB2312" w:eastAsia="仿宋_GB2312" w:cs="仿宋_GB2312"/>
          <w:sz w:val="32"/>
          <w:szCs w:val="32"/>
        </w:rPr>
        <w:t>市</w:t>
      </w:r>
      <w:r>
        <w:rPr>
          <w:rFonts w:ascii="仿宋_GB2312" w:hAnsi="仿宋_GB2312" w:eastAsia="仿宋_GB2312" w:cs="仿宋_GB2312"/>
          <w:sz w:val="32"/>
          <w:szCs w:val="32"/>
        </w:rPr>
        <w:t>区两级</w:t>
      </w:r>
      <w:r>
        <w:rPr>
          <w:rFonts w:hint="eastAsia" w:ascii="仿宋_GB2312" w:hAnsi="仿宋_GB2312" w:eastAsia="仿宋_GB2312" w:cs="仿宋_GB2312"/>
          <w:sz w:val="32"/>
          <w:szCs w:val="32"/>
          <w:lang w:eastAsia="zh-CN"/>
        </w:rPr>
        <w:t>本年</w:t>
      </w:r>
      <w:r>
        <w:rPr>
          <w:rFonts w:ascii="仿宋_GB2312" w:hAnsi="仿宋_GB2312" w:eastAsia="仿宋_GB2312" w:cs="仿宋_GB2312"/>
          <w:sz w:val="32"/>
          <w:szCs w:val="32"/>
        </w:rPr>
        <w:t>筹集资金</w:t>
      </w:r>
      <w:r>
        <w:rPr>
          <w:rFonts w:hint="eastAsia" w:ascii="仿宋_GB2312" w:hAnsi="仿宋_GB2312" w:eastAsia="仿宋_GB2312" w:cs="仿宋_GB2312"/>
          <w:sz w:val="32"/>
          <w:szCs w:val="32"/>
        </w:rPr>
        <w:t>合计</w:t>
      </w:r>
      <w:r>
        <w:rPr>
          <w:rFonts w:hint="eastAsia" w:ascii="仿宋_GB2312" w:hAnsi="仿宋_GB2312" w:eastAsia="仿宋_GB2312" w:cs="仿宋_GB2312"/>
          <w:sz w:val="32"/>
          <w:szCs w:val="32"/>
          <w:lang w:val="en-US" w:eastAsia="zh-CN"/>
        </w:rPr>
        <w:t>548560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上年结余市级资金</w:t>
      </w:r>
      <w:r>
        <w:rPr>
          <w:rFonts w:hint="eastAsia" w:ascii="仿宋_GB2312" w:hAnsi="仿宋_GB2312" w:eastAsia="仿宋_GB2312" w:cs="仿宋_GB2312"/>
          <w:sz w:val="32"/>
          <w:szCs w:val="32"/>
          <w:lang w:val="en-US" w:eastAsia="zh-CN"/>
        </w:rPr>
        <w:t>8080元，本年</w:t>
      </w:r>
      <w:r>
        <w:rPr>
          <w:rFonts w:hint="eastAsia" w:ascii="仿宋_GB2312" w:hAnsi="仿宋_GB2312" w:eastAsia="仿宋_GB2312" w:cs="仿宋_GB2312"/>
          <w:sz w:val="32"/>
          <w:szCs w:val="32"/>
        </w:rPr>
        <w:t>实际支出</w:t>
      </w:r>
      <w:r>
        <w:rPr>
          <w:rFonts w:hint="eastAsia" w:ascii="仿宋_GB2312" w:hAnsi="仿宋_GB2312" w:eastAsia="仿宋_GB2312" w:cs="仿宋_GB2312"/>
          <w:sz w:val="32"/>
          <w:szCs w:val="32"/>
          <w:lang w:val="en-US" w:eastAsia="zh-CN"/>
        </w:rPr>
        <w:t>450800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，结余共计</w:t>
      </w:r>
      <w:r>
        <w:rPr>
          <w:rFonts w:hint="eastAsia" w:ascii="仿宋_GB2312" w:hAnsi="仿宋_GB2312" w:eastAsia="仿宋_GB2312" w:cs="仿宋_GB2312"/>
          <w:sz w:val="32"/>
          <w:szCs w:val="32"/>
          <w:lang w:val="en-US" w:eastAsia="zh-CN"/>
        </w:rPr>
        <w:t>105840元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市级资金结余</w:t>
      </w:r>
      <w:r>
        <w:rPr>
          <w:rFonts w:hint="eastAsia" w:ascii="仿宋_GB2312" w:hAnsi="仿宋_GB2312" w:eastAsia="仿宋_GB2312" w:cs="仿宋_GB2312"/>
          <w:sz w:val="32"/>
          <w:szCs w:val="32"/>
          <w:lang w:val="en-US" w:eastAsia="zh-CN"/>
        </w:rPr>
        <w:t>97660元，2019年市级资金结余</w:t>
      </w:r>
      <w:r>
        <w:rPr>
          <w:rFonts w:hint="eastAsia" w:ascii="仿宋_GB2312" w:hAnsi="仿宋_GB2312" w:eastAsia="仿宋_GB2312" w:cs="仿宋_GB2312"/>
          <w:sz w:val="32"/>
          <w:szCs w:val="32"/>
        </w:rPr>
        <w:t>808</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ascii="仿宋_GB2312" w:eastAsia="仿宋_GB2312"/>
          <w:color w:val="000000"/>
          <w:sz w:val="32"/>
          <w:szCs w:val="32"/>
        </w:rPr>
        <w:t>将</w:t>
      </w:r>
      <w:r>
        <w:rPr>
          <w:rFonts w:hint="eastAsia" w:ascii="仿宋_GB2312" w:eastAsia="仿宋_GB2312"/>
          <w:color w:val="000000"/>
          <w:sz w:val="32"/>
          <w:szCs w:val="32"/>
        </w:rPr>
        <w:t>结转202</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年市级低保特困代缴资金。</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（三）完成建档立卡人员100%参保</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根据区扶贫办动态调整提供的建档立卡贫困人口数据，认真组织开展人员信息核查和参保。</w:t>
      </w:r>
      <w:r>
        <w:rPr>
          <w:rFonts w:hint="eastAsia" w:ascii="仿宋_GB2312" w:hAnsi="黑体" w:eastAsia="仿宋_GB2312" w:cs="Times New Roman"/>
          <w:sz w:val="32"/>
          <w:szCs w:val="32"/>
          <w:lang w:val="en-US" w:eastAsia="zh-CN"/>
        </w:rPr>
        <w:t>2020</w:t>
      </w:r>
      <w:r>
        <w:rPr>
          <w:rFonts w:hint="eastAsia" w:ascii="仿宋_GB2312" w:hAnsi="黑体" w:eastAsia="仿宋_GB2312" w:cs="Times New Roman"/>
          <w:sz w:val="32"/>
          <w:szCs w:val="32"/>
        </w:rPr>
        <w:t>年，区建档立卡贫困人员符合参保条件</w:t>
      </w:r>
      <w:r>
        <w:rPr>
          <w:rFonts w:hint="eastAsia" w:ascii="仿宋_GB2312" w:hAnsi="黑体" w:eastAsia="仿宋_GB2312" w:cs="Times New Roman"/>
          <w:sz w:val="32"/>
          <w:szCs w:val="32"/>
          <w:lang w:val="en-US" w:eastAsia="zh-CN"/>
        </w:rPr>
        <w:t>2202</w:t>
      </w:r>
      <w:r>
        <w:rPr>
          <w:rFonts w:hint="eastAsia" w:ascii="仿宋_GB2312" w:hAnsi="黑体" w:eastAsia="仿宋_GB2312" w:cs="Times New Roman"/>
          <w:sz w:val="32"/>
          <w:szCs w:val="32"/>
        </w:rPr>
        <w:t>人已100%参保。盘龙区符合</w:t>
      </w:r>
      <w:r>
        <w:rPr>
          <w:rFonts w:hint="eastAsia" w:ascii="仿宋_GB2312" w:hAnsi="黑体" w:eastAsia="仿宋_GB2312" w:cs="Times New Roman"/>
          <w:sz w:val="32"/>
          <w:szCs w:val="32"/>
          <w:lang w:eastAsia="zh-CN"/>
        </w:rPr>
        <w:t>财政</w:t>
      </w:r>
      <w:r>
        <w:rPr>
          <w:rFonts w:hint="eastAsia" w:ascii="仿宋_GB2312" w:hAnsi="黑体" w:eastAsia="仿宋_GB2312" w:cs="Times New Roman"/>
          <w:sz w:val="32"/>
          <w:szCs w:val="32"/>
        </w:rPr>
        <w:t>代缴城乡居民基本养老保险建档立卡人员</w:t>
      </w:r>
      <w:r>
        <w:rPr>
          <w:rFonts w:hint="eastAsia" w:ascii="仿宋_GB2312" w:hAnsi="黑体" w:eastAsia="仿宋_GB2312" w:cs="Times New Roman"/>
          <w:sz w:val="32"/>
          <w:szCs w:val="32"/>
          <w:lang w:val="en-US" w:eastAsia="zh-CN"/>
        </w:rPr>
        <w:t>2202</w:t>
      </w:r>
      <w:r>
        <w:rPr>
          <w:rFonts w:hint="eastAsia" w:ascii="仿宋_GB2312" w:hAnsi="黑体" w:eastAsia="仿宋_GB2312" w:cs="Times New Roman"/>
          <w:sz w:val="32"/>
          <w:szCs w:val="32"/>
        </w:rPr>
        <w:t>人, 筹集区级建档立卡人员参加城乡养保代缴资金</w:t>
      </w:r>
      <w:r>
        <w:rPr>
          <w:rFonts w:hint="eastAsia" w:ascii="仿宋_GB2312" w:hAnsi="黑体" w:eastAsia="仿宋_GB2312" w:cs="Times New Roman"/>
          <w:sz w:val="32"/>
          <w:szCs w:val="32"/>
          <w:lang w:val="en-US" w:eastAsia="zh-CN"/>
        </w:rPr>
        <w:t>440400</w:t>
      </w:r>
      <w:r>
        <w:rPr>
          <w:rFonts w:hint="eastAsia" w:ascii="仿宋_GB2312" w:hAnsi="黑体" w:eastAsia="仿宋_GB2312" w:cs="Times New Roman"/>
          <w:sz w:val="32"/>
          <w:szCs w:val="32"/>
        </w:rPr>
        <w:t>元,实际应代缴资金</w:t>
      </w:r>
      <w:r>
        <w:rPr>
          <w:rFonts w:hint="eastAsia" w:ascii="仿宋_GB2312" w:hAnsi="黑体" w:eastAsia="仿宋_GB2312" w:cs="Times New Roman"/>
          <w:sz w:val="32"/>
          <w:szCs w:val="32"/>
          <w:lang w:val="en-US" w:eastAsia="zh-CN"/>
        </w:rPr>
        <w:t>440400</w:t>
      </w:r>
      <w:r>
        <w:rPr>
          <w:rFonts w:hint="eastAsia" w:ascii="仿宋_GB2312" w:hAnsi="黑体" w:eastAsia="仿宋_GB2312" w:cs="Times New Roman"/>
          <w:sz w:val="32"/>
          <w:szCs w:val="32"/>
        </w:rPr>
        <w:t>元。</w:t>
      </w:r>
    </w:p>
    <w:p>
      <w:pPr>
        <w:spacing w:line="52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三、经验、问题和建议</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（一）经验</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为进一步加强预算绩效管理，强化支出责任，提高财政资金使用效益，我局按照区财政的要求认真组织开展了预算支出绩效自评工作。评价内容主要包括绩效目标的设定情况、资金投入和使用情况、为实现绩效目标制定的制度、采取的措施、绩效目标的实现程度和效果等。</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在接到区财政局关于绩效评价结果的反馈函后，我局积极针对绩效评价中支出的问题，及时制定整改方案、完善管理制度、改进管理措施、增强支出责任、提供管理水平，在规定时间内将整改结果反馈区财政局。</w:t>
      </w:r>
    </w:p>
    <w:p>
      <w:pPr>
        <w:spacing w:line="52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根据绩效自评的结果，我局将需要整改的情况及时反馈给各业务科室，并督促其整改落实。</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（二）存在的问题</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1.城乡居民基本养老保险待遇领取水平较低，参保群众满意度不高。</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2.松华坝水源区城乡居民保险缴费补助的实际支付率有下降。</w:t>
      </w:r>
    </w:p>
    <w:p>
      <w:pPr>
        <w:spacing w:line="52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（三）改进措施及建议</w:t>
      </w:r>
    </w:p>
    <w:p>
      <w:pPr>
        <w:spacing w:line="520" w:lineRule="exact"/>
        <w:ind w:firstLine="640" w:firstLineChars="200"/>
        <w:jc w:val="left"/>
        <w:rPr>
          <w:rFonts w:hint="eastAsia" w:ascii="仿宋_GB2312" w:hAnsi="黑体" w:eastAsia="仿宋_GB2312" w:cs="Times New Roman"/>
          <w:color w:val="auto"/>
          <w:sz w:val="32"/>
          <w:szCs w:val="32"/>
          <w:lang w:val="en-US" w:eastAsia="zh-CN"/>
        </w:rPr>
      </w:pPr>
      <w:r>
        <w:rPr>
          <w:rFonts w:hint="eastAsia" w:ascii="仿宋_GB2312" w:hAnsi="黑体" w:eastAsia="仿宋_GB2312" w:cs="Times New Roman"/>
          <w:sz w:val="32"/>
          <w:szCs w:val="32"/>
          <w:lang w:val="en-US" w:eastAsia="zh-CN"/>
        </w:rPr>
        <w:t>1</w:t>
      </w:r>
      <w:r>
        <w:rPr>
          <w:rFonts w:hint="eastAsia" w:ascii="仿宋_GB2312" w:hAnsi="黑体" w:eastAsia="仿宋_GB2312" w:cs="Times New Roman"/>
          <w:sz w:val="32"/>
          <w:szCs w:val="32"/>
        </w:rPr>
        <w:t>.增加基础经办人员业务培训，提升业务经办水平</w:t>
      </w:r>
      <w:r>
        <w:rPr>
          <w:rFonts w:hint="eastAsia" w:ascii="仿宋_GB2312" w:hAnsi="黑体" w:eastAsia="仿宋_GB2312" w:cs="Times New Roman"/>
          <w:sz w:val="32"/>
          <w:szCs w:val="32"/>
          <w:lang w:eastAsia="zh-CN"/>
        </w:rPr>
        <w:t>。</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2.加大参保缴费</w:t>
      </w:r>
      <w:r>
        <w:rPr>
          <w:rFonts w:hint="eastAsia" w:ascii="仿宋_GB2312" w:hAnsi="黑体" w:eastAsia="仿宋_GB2312" w:cs="Times New Roman"/>
          <w:color w:val="auto"/>
          <w:sz w:val="32"/>
          <w:szCs w:val="32"/>
          <w:lang w:eastAsia="zh-CN"/>
        </w:rPr>
        <w:t>及水源区缴费补贴</w:t>
      </w:r>
      <w:r>
        <w:rPr>
          <w:rFonts w:hint="eastAsia" w:ascii="仿宋_GB2312" w:hAnsi="黑体" w:eastAsia="仿宋_GB2312" w:cs="Times New Roman"/>
          <w:color w:val="auto"/>
          <w:sz w:val="32"/>
          <w:szCs w:val="32"/>
        </w:rPr>
        <w:t>宣传力度，积极与税局、财政对账，保障参保人及时享受缴费补贴、领取养老待遇。</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3.</w:t>
      </w:r>
      <w:r>
        <w:rPr>
          <w:rFonts w:hint="eastAsia" w:ascii="仿宋_GB2312" w:hAnsi="黑体" w:eastAsia="仿宋_GB2312" w:cs="Times New Roman"/>
          <w:color w:val="auto"/>
          <w:sz w:val="32"/>
          <w:szCs w:val="32"/>
        </w:rPr>
        <w:t>积极向上级反映业务经办过程中遇到的困难和问题，寻求政策和技术上的支持。</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4.</w:t>
      </w:r>
      <w:r>
        <w:rPr>
          <w:rFonts w:hint="eastAsia" w:ascii="仿宋_GB2312" w:hAnsi="黑体" w:eastAsia="仿宋_GB2312" w:cs="Times New Roman"/>
          <w:color w:val="auto"/>
          <w:sz w:val="32"/>
          <w:szCs w:val="32"/>
        </w:rPr>
        <w:t>建立城乡居民基本养老保险待遇确定和基础养老金正常调整机制的实施方案，逐步提高城乡居民社会养老保险待遇水平，提高参保群众满意度。</w:t>
      </w: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640" w:firstLineChars="200"/>
        <w:jc w:val="left"/>
        <w:rPr>
          <w:rFonts w:ascii="仿宋_GB2312" w:hAnsi="黑体" w:eastAsia="仿宋_GB2312" w:cs="Times New Roman"/>
          <w:sz w:val="32"/>
          <w:szCs w:val="32"/>
        </w:rPr>
      </w:pPr>
    </w:p>
    <w:p>
      <w:pPr>
        <w:spacing w:line="520" w:lineRule="exact"/>
        <w:ind w:firstLine="880" w:firstLineChars="200"/>
        <w:jc w:val="center"/>
        <w:rPr>
          <w:rFonts w:ascii="方正小标宋_GBK" w:hAnsi="Calibri" w:eastAsia="方正小标宋_GBK" w:cs="Times New Roman"/>
          <w:sz w:val="44"/>
          <w:szCs w:val="28"/>
        </w:rPr>
      </w:pPr>
      <w:r>
        <w:rPr>
          <w:rFonts w:hint="eastAsia" w:ascii="方正小标宋_GBK" w:hAnsi="Calibri" w:eastAsia="方正小标宋_GBK" w:cs="Times New Roman"/>
          <w:sz w:val="44"/>
          <w:szCs w:val="28"/>
        </w:rPr>
        <w:t>盘龙区城乡居民社会养老保险局</w:t>
      </w:r>
    </w:p>
    <w:p>
      <w:pPr>
        <w:spacing w:line="520" w:lineRule="exact"/>
        <w:ind w:firstLine="880" w:firstLineChars="200"/>
        <w:jc w:val="center"/>
        <w:rPr>
          <w:rFonts w:ascii="方正小标宋_GBK" w:hAnsi="Calibri" w:eastAsia="方正小标宋_GBK" w:cs="Times New Roman"/>
          <w:sz w:val="44"/>
          <w:szCs w:val="28"/>
        </w:rPr>
      </w:pPr>
      <w:r>
        <w:rPr>
          <w:rFonts w:hint="eastAsia" w:ascii="方正小标宋_GBK" w:hAnsi="Calibri" w:eastAsia="方正小标宋_GBK" w:cs="Times New Roman"/>
          <w:sz w:val="44"/>
          <w:szCs w:val="28"/>
        </w:rPr>
        <w:t>20</w:t>
      </w:r>
      <w:r>
        <w:rPr>
          <w:rFonts w:hint="eastAsia" w:ascii="方正小标宋_GBK" w:hAnsi="Calibri" w:eastAsia="方正小标宋_GBK" w:cs="Times New Roman"/>
          <w:sz w:val="44"/>
          <w:szCs w:val="28"/>
          <w:lang w:val="en-US" w:eastAsia="zh-CN"/>
        </w:rPr>
        <w:t>20</w:t>
      </w:r>
      <w:r>
        <w:rPr>
          <w:rFonts w:hint="eastAsia" w:ascii="方正小标宋_GBK" w:hAnsi="Calibri" w:eastAsia="方正小标宋_GBK" w:cs="Times New Roman"/>
          <w:sz w:val="44"/>
          <w:szCs w:val="28"/>
        </w:rPr>
        <w:t>年部门整体支出绩效自评报告</w:t>
      </w:r>
    </w:p>
    <w:p>
      <w:pPr>
        <w:topLinePunct/>
        <w:spacing w:line="520" w:lineRule="exact"/>
        <w:ind w:firstLine="525" w:firstLineChars="250"/>
        <w:rPr>
          <w:rFonts w:ascii="黑体" w:hAnsi="Calibri" w:eastAsia="黑体" w:cs="Times New Roman"/>
          <w:szCs w:val="32"/>
        </w:rPr>
      </w:pPr>
    </w:p>
    <w:p>
      <w:pPr>
        <w:pStyle w:val="8"/>
        <w:numPr>
          <w:ilvl w:val="0"/>
          <w:numId w:val="2"/>
        </w:numPr>
        <w:topLinePunct/>
        <w:spacing w:line="520" w:lineRule="exact"/>
        <w:ind w:firstLineChars="0"/>
        <w:rPr>
          <w:rFonts w:ascii="黑体" w:hAnsi="Calibri" w:eastAsia="黑体" w:cs="Times New Roman"/>
          <w:sz w:val="32"/>
          <w:szCs w:val="32"/>
        </w:rPr>
      </w:pPr>
      <w:r>
        <w:rPr>
          <w:rFonts w:hint="eastAsia" w:ascii="黑体" w:hAnsi="Calibri" w:eastAsia="黑体" w:cs="Times New Roman"/>
          <w:sz w:val="32"/>
          <w:szCs w:val="32"/>
        </w:rPr>
        <w:t>部门概况</w:t>
      </w:r>
      <w:bookmarkStart w:id="0" w:name="_GoBack"/>
      <w:bookmarkEnd w:id="0"/>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昆明市盘龙区农村社会保险中心成立于2008年5月，为昆明市盘龙区人力资源和社会保障局所属财政全额拨款事业单位，机构规格为副科级，于2012年2月单位名称变更为：昆明市盘龙区城乡居民社会养老保险局，位于昆明市盘龙区北京路481号四楼。</w:t>
      </w:r>
    </w:p>
    <w:p>
      <w:pPr>
        <w:spacing w:line="56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（一）部门机构设置、编制</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昆明市盘龙区城乡居民社会养老保险局事业编制19名，其中，局长1名（副科级），副局长1名（股级）。20</w:t>
      </w:r>
      <w:r>
        <w:rPr>
          <w:rFonts w:hint="eastAsia" w:ascii="仿宋_GB2312" w:hAnsi="黑体" w:eastAsia="仿宋_GB2312" w:cs="Times New Roman"/>
          <w:sz w:val="32"/>
          <w:szCs w:val="32"/>
          <w:lang w:val="en-US" w:eastAsia="zh-CN"/>
        </w:rPr>
        <w:t>20</w:t>
      </w:r>
      <w:r>
        <w:rPr>
          <w:rFonts w:hint="eastAsia" w:ascii="仿宋_GB2312" w:hAnsi="黑体" w:eastAsia="仿宋_GB2312" w:cs="Times New Roman"/>
          <w:sz w:val="32"/>
          <w:szCs w:val="32"/>
        </w:rPr>
        <w:t>年</w:t>
      </w:r>
      <w:r>
        <w:rPr>
          <w:rFonts w:ascii="仿宋_GB2312" w:hAnsi="黑体" w:eastAsia="仿宋_GB2312" w:cs="Times New Roman"/>
          <w:sz w:val="32"/>
          <w:szCs w:val="32"/>
        </w:rPr>
        <w:t>年末实</w:t>
      </w:r>
      <w:r>
        <w:rPr>
          <w:rFonts w:hint="eastAsia" w:ascii="仿宋_GB2312" w:hAnsi="黑体" w:eastAsia="仿宋_GB2312" w:cs="Times New Roman"/>
          <w:sz w:val="32"/>
          <w:szCs w:val="32"/>
        </w:rPr>
        <w:t>有</w:t>
      </w:r>
      <w:r>
        <w:rPr>
          <w:rFonts w:ascii="仿宋_GB2312" w:hAnsi="黑体" w:eastAsia="仿宋_GB2312" w:cs="Times New Roman"/>
          <w:sz w:val="32"/>
          <w:szCs w:val="32"/>
        </w:rPr>
        <w:t>在职人数</w:t>
      </w:r>
      <w:r>
        <w:rPr>
          <w:rFonts w:hint="eastAsia" w:ascii="仿宋_GB2312" w:hAnsi="黑体" w:eastAsia="仿宋_GB2312" w:cs="Times New Roman"/>
          <w:sz w:val="32"/>
          <w:szCs w:val="32"/>
        </w:rPr>
        <w:t>1</w:t>
      </w:r>
      <w:r>
        <w:rPr>
          <w:rFonts w:hint="eastAsia" w:ascii="仿宋_GB2312" w:hAnsi="黑体" w:eastAsia="仿宋_GB2312" w:cs="Times New Roman"/>
          <w:sz w:val="32"/>
          <w:szCs w:val="32"/>
          <w:lang w:val="en-US" w:eastAsia="zh-CN"/>
        </w:rPr>
        <w:t>2</w:t>
      </w:r>
      <w:r>
        <w:rPr>
          <w:rFonts w:hint="eastAsia" w:ascii="仿宋_GB2312" w:hAnsi="黑体" w:eastAsia="仿宋_GB2312" w:cs="Times New Roman"/>
          <w:sz w:val="32"/>
          <w:szCs w:val="32"/>
        </w:rPr>
        <w:t>人</w:t>
      </w:r>
      <w:r>
        <w:rPr>
          <w:rFonts w:ascii="仿宋_GB2312" w:hAnsi="黑体" w:eastAsia="仿宋_GB2312" w:cs="Times New Roman"/>
          <w:sz w:val="32"/>
          <w:szCs w:val="32"/>
        </w:rPr>
        <w:t>，退休人员</w:t>
      </w:r>
      <w:r>
        <w:rPr>
          <w:rFonts w:hint="eastAsia" w:ascii="仿宋_GB2312" w:hAnsi="黑体" w:eastAsia="仿宋_GB2312" w:cs="Times New Roman"/>
          <w:sz w:val="32"/>
          <w:szCs w:val="32"/>
        </w:rPr>
        <w:t>0人</w:t>
      </w:r>
      <w:r>
        <w:rPr>
          <w:rFonts w:ascii="仿宋_GB2312" w:hAnsi="黑体" w:eastAsia="仿宋_GB2312" w:cs="Times New Roman"/>
          <w:sz w:val="32"/>
          <w:szCs w:val="32"/>
        </w:rPr>
        <w:t>。</w:t>
      </w:r>
      <w:r>
        <w:rPr>
          <w:rFonts w:hint="eastAsia" w:ascii="仿宋_GB2312" w:hAnsi="黑体" w:eastAsia="仿宋_GB2312" w:cs="Times New Roman"/>
          <w:sz w:val="32"/>
          <w:szCs w:val="32"/>
        </w:rPr>
        <w:t>内设办公室、财务科、稽核科和业务科。</w:t>
      </w:r>
    </w:p>
    <w:p>
      <w:pPr>
        <w:spacing w:line="56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（二）部门职能</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1.认真贯彻执行国家、省、市城乡居民社会养老保险方针、政策、法规；负责全区城乡居民社会养老保险工作；</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2.制定全区城乡居民社会养老保险发展规划，并组织实施；开展城乡居民社会养老保险政策宣传，对街道城乡居民社会养老保险工作进行指导、培训、检查；</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3.拟定城乡居民社会养老保险费用筹集办法、待遇项目、给付条件和给付标准；及时将保险费的支付、积存和运营情况报告上级部门，定期向保险对象公布养老保险费收入与保险金支出等情况；</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4.建立健全财务管理制度，做好基金计划、核算、分析工作；基金实行收支两条线管理，专户储存、专款专用；严格遵守财经纪律，加强基金监督和检查，确保基金安全；</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5.负责全区城乡居民社会养老保险的具体业务，办理承保、转保、接续、退保、个人账户管理、养老金发放工作；</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6.编制城乡居民社会养老保险统计报表并及时上报；</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7.负责城乡居民社会养老保险业务档案管理，妥善保管各种资料，建立健全登记收发、领用制度，做到账实相符；</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8.承办区委、区政府及上级交办的其他事项。</w:t>
      </w:r>
    </w:p>
    <w:p>
      <w:pPr>
        <w:spacing w:line="56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（三）部门工作完成情况</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20</w:t>
      </w:r>
      <w:r>
        <w:rPr>
          <w:rFonts w:hint="eastAsia" w:ascii="仿宋_GB2312" w:hAnsi="黑体" w:eastAsia="仿宋_GB2312" w:cs="Times New Roman"/>
          <w:sz w:val="32"/>
          <w:szCs w:val="32"/>
          <w:lang w:val="en-US" w:eastAsia="zh-CN"/>
        </w:rPr>
        <w:t>20</w:t>
      </w:r>
      <w:r>
        <w:rPr>
          <w:rFonts w:hint="eastAsia" w:ascii="仿宋_GB2312" w:hAnsi="黑体" w:eastAsia="仿宋_GB2312" w:cs="Times New Roman"/>
          <w:sz w:val="32"/>
          <w:szCs w:val="32"/>
        </w:rPr>
        <w:t>年，盘龙区城乡居民社会养老保险局在市级保障部门的精心指导下、在区委、区政府、区人社局的正确领导下，按照“全覆盖、保基本、有弹性、可持续”为基本方针，坚持以科学的发展观为指导，以落实各项城乡居民养老保障政策为核心，以建立统筹城乡的社保工作为重点，围绕改善民生、服务群众的方针，切实落实各项城乡居民养老保险政策，立足工作实际，创新思路，采取有效措施，不断提升服务群众、服务基层的水平和能力，努力推动城乡居民基本养老保险工作稳步推进。</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 xml:space="preserve"> 工作中，以本年城乡居民基本养老保险目标任务为中心，突出重点，狠抓城乡居民基本养老保险扩面主题，严格按照省、市城乡居民社会养老保险经办规程的要求开展业务，进一步深化城乡居民养老保险制度改革，不断提升内部管理能力和服务意识，城乡居民基本养老保险覆盖率逐步提高。</w:t>
      </w:r>
    </w:p>
    <w:p>
      <w:pPr>
        <w:spacing w:line="560" w:lineRule="exact"/>
        <w:ind w:firstLine="640" w:firstLineChars="200"/>
        <w:jc w:val="left"/>
        <w:rPr>
          <w:rFonts w:ascii="楷体" w:hAnsi="楷体" w:eastAsia="楷体" w:cs="Times New Roman"/>
          <w:sz w:val="32"/>
          <w:szCs w:val="32"/>
        </w:rPr>
      </w:pPr>
      <w:r>
        <w:rPr>
          <w:rFonts w:hint="eastAsia" w:ascii="楷体" w:hAnsi="楷体" w:eastAsia="楷体" w:cs="Times New Roman"/>
          <w:sz w:val="32"/>
          <w:szCs w:val="32"/>
        </w:rPr>
        <w:t>（四）部门管理制度</w:t>
      </w:r>
    </w:p>
    <w:p>
      <w:pPr>
        <w:spacing w:line="560" w:lineRule="exact"/>
        <w:ind w:firstLine="640" w:firstLineChars="200"/>
        <w:jc w:val="left"/>
        <w:rPr>
          <w:rFonts w:ascii="仿宋_GB2312" w:hAnsi="黑体" w:eastAsia="仿宋_GB2312" w:cs="Times New Roman"/>
          <w:sz w:val="32"/>
          <w:szCs w:val="32"/>
        </w:rPr>
      </w:pPr>
      <w:r>
        <w:rPr>
          <w:rFonts w:hint="eastAsia" w:ascii="仿宋_GB2312" w:hAnsi="黑体" w:eastAsia="仿宋_GB2312" w:cs="Times New Roman"/>
          <w:sz w:val="32"/>
          <w:szCs w:val="32"/>
        </w:rPr>
        <w:t>单位建有社保基金（含城乡居民基本养老保险、被征地人员基本养老保险、老农保）业务经办、财务、稽核、生存认证、档案管理各项基金管理制度；单位财务收支、资产管理、采购、预决算分析、合同管理各项制度。</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（五）部门资金来源及使用情况</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20</w:t>
      </w:r>
      <w:r>
        <w:rPr>
          <w:rFonts w:hint="eastAsia" w:ascii="仿宋_GB2312" w:hAnsi="黑体" w:eastAsia="仿宋_GB2312" w:cs="Times New Roman"/>
          <w:color w:val="auto"/>
          <w:sz w:val="32"/>
          <w:szCs w:val="32"/>
          <w:lang w:val="en-US" w:eastAsia="zh-CN"/>
        </w:rPr>
        <w:t>20</w:t>
      </w:r>
      <w:r>
        <w:rPr>
          <w:rFonts w:ascii="仿宋_GB2312" w:hAnsi="黑体" w:eastAsia="仿宋_GB2312" w:cs="Times New Roman"/>
          <w:color w:val="auto"/>
          <w:sz w:val="32"/>
          <w:szCs w:val="32"/>
        </w:rPr>
        <w:t>年实际收到的公共预算财政拨款收</w:t>
      </w:r>
      <w:r>
        <w:rPr>
          <w:rFonts w:hint="eastAsia" w:ascii="仿宋_GB2312" w:hAnsi="仿宋" w:eastAsia="仿宋_GB2312"/>
          <w:color w:val="auto"/>
          <w:sz w:val="32"/>
          <w:szCs w:val="32"/>
          <w:lang w:val="en-US" w:eastAsia="zh-CN"/>
        </w:rPr>
        <w:t>11177577.26</w:t>
      </w:r>
      <w:r>
        <w:rPr>
          <w:rFonts w:hint="eastAsia" w:ascii="仿宋_GB2312" w:hAnsi="仿宋" w:eastAsia="仿宋_GB2312"/>
          <w:color w:val="auto"/>
          <w:sz w:val="32"/>
          <w:szCs w:val="32"/>
        </w:rPr>
        <w:t>元</w:t>
      </w:r>
      <w:r>
        <w:rPr>
          <w:rFonts w:ascii="仿宋_GB2312" w:hAnsi="黑体" w:eastAsia="仿宋_GB2312" w:cs="Times New Roman"/>
          <w:color w:val="auto"/>
          <w:sz w:val="32"/>
          <w:szCs w:val="32"/>
        </w:rPr>
        <w:t>，其中：基本支出预算收入总额</w:t>
      </w:r>
      <w:r>
        <w:rPr>
          <w:rFonts w:hint="eastAsia" w:ascii="仿宋_GB2312" w:hAnsi="仿宋" w:eastAsia="仿宋_GB2312"/>
          <w:color w:val="auto"/>
          <w:sz w:val="32"/>
          <w:szCs w:val="32"/>
          <w:lang w:val="en-US" w:eastAsia="zh-CN"/>
        </w:rPr>
        <w:t>2576917.26</w:t>
      </w:r>
      <w:r>
        <w:rPr>
          <w:rFonts w:hint="eastAsia" w:ascii="仿宋_GB2312" w:hAnsi="仿宋" w:eastAsia="仿宋_GB2312"/>
          <w:color w:val="auto"/>
          <w:sz w:val="32"/>
          <w:szCs w:val="32"/>
        </w:rPr>
        <w:t>元</w:t>
      </w:r>
      <w:r>
        <w:rPr>
          <w:rFonts w:ascii="仿宋_GB2312" w:hAnsi="黑体" w:eastAsia="仿宋_GB2312" w:cs="Times New Roman"/>
          <w:color w:val="auto"/>
          <w:sz w:val="32"/>
          <w:szCs w:val="32"/>
        </w:rPr>
        <w:t>；项目资金预算收入总额</w:t>
      </w:r>
      <w:r>
        <w:rPr>
          <w:rFonts w:hint="eastAsia" w:ascii="仿宋_GB2312" w:hAnsi="仿宋" w:eastAsia="仿宋_GB2312"/>
          <w:color w:val="auto"/>
          <w:sz w:val="32"/>
          <w:szCs w:val="32"/>
          <w:lang w:val="en-US" w:eastAsia="zh-CN"/>
        </w:rPr>
        <w:t>8600660</w:t>
      </w:r>
      <w:r>
        <w:rPr>
          <w:rFonts w:hint="eastAsia" w:ascii="仿宋_GB2312" w:hAnsi="仿宋" w:eastAsia="仿宋_GB2312"/>
          <w:color w:val="auto"/>
          <w:sz w:val="32"/>
          <w:szCs w:val="32"/>
        </w:rPr>
        <w:t>元</w:t>
      </w:r>
      <w:r>
        <w:rPr>
          <w:rFonts w:ascii="仿宋_GB2312" w:hAnsi="黑体" w:eastAsia="仿宋_GB2312" w:cs="Times New Roman"/>
          <w:color w:val="auto"/>
          <w:sz w:val="32"/>
          <w:szCs w:val="32"/>
        </w:rPr>
        <w:t>。</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20</w:t>
      </w:r>
      <w:r>
        <w:rPr>
          <w:rFonts w:hint="eastAsia" w:ascii="仿宋_GB2312" w:hAnsi="黑体" w:eastAsia="仿宋_GB2312" w:cs="Times New Roman"/>
          <w:color w:val="auto"/>
          <w:sz w:val="32"/>
          <w:szCs w:val="32"/>
          <w:lang w:val="en-US" w:eastAsia="zh-CN"/>
        </w:rPr>
        <w:t>20</w:t>
      </w:r>
      <w:r>
        <w:rPr>
          <w:rFonts w:ascii="仿宋_GB2312" w:hAnsi="黑体" w:eastAsia="仿宋_GB2312" w:cs="Times New Roman"/>
          <w:color w:val="auto"/>
          <w:sz w:val="32"/>
          <w:szCs w:val="32"/>
        </w:rPr>
        <w:t>年总支出为</w:t>
      </w:r>
      <w:r>
        <w:rPr>
          <w:rFonts w:hint="eastAsia" w:ascii="仿宋_GB2312" w:hAnsi="仿宋" w:eastAsia="仿宋_GB2312"/>
          <w:color w:val="auto"/>
          <w:sz w:val="32"/>
          <w:szCs w:val="32"/>
          <w:lang w:val="en-US" w:eastAsia="zh-CN"/>
        </w:rPr>
        <w:t>11177577.26</w:t>
      </w:r>
      <w:r>
        <w:rPr>
          <w:rFonts w:ascii="仿宋_GB2312" w:hAnsi="黑体" w:eastAsia="仿宋_GB2312" w:cs="Times New Roman"/>
          <w:color w:val="auto"/>
          <w:sz w:val="32"/>
          <w:szCs w:val="32"/>
        </w:rPr>
        <w:t>元，其中：基本支出总额</w:t>
      </w:r>
      <w:r>
        <w:rPr>
          <w:rFonts w:hint="eastAsia" w:ascii="仿宋_GB2312" w:hAnsi="仿宋" w:eastAsia="仿宋_GB2312"/>
          <w:color w:val="auto"/>
          <w:sz w:val="32"/>
          <w:szCs w:val="32"/>
          <w:lang w:val="en-US" w:eastAsia="zh-CN"/>
        </w:rPr>
        <w:t>2576917.26</w:t>
      </w:r>
      <w:r>
        <w:rPr>
          <w:rFonts w:ascii="仿宋_GB2312" w:hAnsi="黑体" w:eastAsia="仿宋_GB2312" w:cs="Times New Roman"/>
          <w:color w:val="auto"/>
          <w:sz w:val="32"/>
          <w:szCs w:val="32"/>
        </w:rPr>
        <w:t>元</w:t>
      </w:r>
      <w:r>
        <w:rPr>
          <w:rFonts w:hint="eastAsia" w:ascii="仿宋_GB2312" w:hAnsi="黑体" w:eastAsia="仿宋_GB2312" w:cs="Times New Roman"/>
          <w:color w:val="auto"/>
          <w:sz w:val="32"/>
          <w:szCs w:val="32"/>
          <w:lang w:eastAsia="zh-CN"/>
        </w:rPr>
        <w:t>，项目</w:t>
      </w:r>
      <w:r>
        <w:rPr>
          <w:rFonts w:ascii="仿宋_GB2312" w:hAnsi="黑体" w:eastAsia="仿宋_GB2312" w:cs="Times New Roman"/>
          <w:color w:val="auto"/>
          <w:sz w:val="32"/>
          <w:szCs w:val="32"/>
        </w:rPr>
        <w:t>支出总额</w:t>
      </w:r>
      <w:r>
        <w:rPr>
          <w:rFonts w:hint="eastAsia" w:ascii="仿宋_GB2312" w:hAnsi="仿宋" w:eastAsia="仿宋_GB2312"/>
          <w:color w:val="auto"/>
          <w:sz w:val="32"/>
          <w:szCs w:val="32"/>
          <w:lang w:val="en-US" w:eastAsia="zh-CN"/>
        </w:rPr>
        <w:t>8600660元（由我局年初预算安排的支出项目7184500元、上级下达资金支出项目1416160元）。</w:t>
      </w:r>
      <w:r>
        <w:rPr>
          <w:rFonts w:hint="eastAsia" w:ascii="仿宋_GB2312" w:hAnsi="黑体" w:eastAsia="仿宋_GB2312" w:cs="Times New Roman"/>
          <w:color w:val="auto"/>
          <w:sz w:val="32"/>
          <w:szCs w:val="32"/>
          <w:lang w:eastAsia="zh-CN"/>
        </w:rPr>
        <w:t>另外，</w:t>
      </w:r>
      <w:r>
        <w:rPr>
          <w:rFonts w:ascii="仿宋_GB2312" w:hAnsi="黑体" w:eastAsia="仿宋_GB2312" w:cs="Times New Roman"/>
          <w:color w:val="auto"/>
          <w:sz w:val="32"/>
          <w:szCs w:val="32"/>
        </w:rPr>
        <w:t>由财政安排支出项目资金为</w:t>
      </w:r>
      <w:r>
        <w:rPr>
          <w:rFonts w:hint="eastAsia" w:ascii="仿宋_GB2312" w:hAnsi="黑体" w:eastAsia="仿宋_GB2312" w:cs="Times New Roman"/>
          <w:color w:val="auto"/>
          <w:sz w:val="32"/>
          <w:szCs w:val="32"/>
          <w:lang w:val="en-US" w:eastAsia="zh-CN"/>
        </w:rPr>
        <w:t>19594589.48</w:t>
      </w:r>
      <w:r>
        <w:rPr>
          <w:rFonts w:ascii="仿宋_GB2312" w:hAnsi="黑体" w:eastAsia="仿宋_GB2312" w:cs="Times New Roman"/>
          <w:color w:val="auto"/>
          <w:sz w:val="32"/>
          <w:szCs w:val="32"/>
        </w:rPr>
        <w:t>元（不纳入单位部门决算）。其中：（1）松华坝水源区城乡居民养老保险缴费的补贴共支出</w:t>
      </w:r>
      <w:r>
        <w:rPr>
          <w:rFonts w:hint="eastAsia" w:ascii="仿宋_GB2312" w:hAnsi="黑体" w:eastAsia="仿宋_GB2312" w:cs="Times New Roman"/>
          <w:color w:val="auto"/>
          <w:sz w:val="32"/>
          <w:szCs w:val="32"/>
          <w:lang w:val="en-US" w:eastAsia="zh-CN"/>
        </w:rPr>
        <w:t>7137000</w:t>
      </w:r>
      <w:r>
        <w:rPr>
          <w:rFonts w:ascii="仿宋_GB2312" w:hAnsi="黑体" w:eastAsia="仿宋_GB2312" w:cs="Times New Roman"/>
          <w:color w:val="auto"/>
          <w:sz w:val="32"/>
          <w:szCs w:val="32"/>
        </w:rPr>
        <w:t>元；（2）</w:t>
      </w:r>
      <w:r>
        <w:rPr>
          <w:rFonts w:hint="eastAsia" w:ascii="仿宋_GB2312" w:hAnsi="黑体" w:eastAsia="仿宋_GB2312" w:cs="Times New Roman"/>
          <w:color w:val="auto"/>
          <w:sz w:val="32"/>
          <w:szCs w:val="32"/>
        </w:rPr>
        <w:t>城</w:t>
      </w:r>
      <w:r>
        <w:rPr>
          <w:rFonts w:ascii="仿宋_GB2312" w:hAnsi="黑体" w:eastAsia="仿宋_GB2312" w:cs="Times New Roman"/>
          <w:color w:val="auto"/>
          <w:sz w:val="32"/>
          <w:szCs w:val="32"/>
        </w:rPr>
        <w:t>乡居民基本养老保险区级待遇支付及配套资金共支出</w:t>
      </w:r>
      <w:r>
        <w:rPr>
          <w:rFonts w:hint="eastAsia" w:ascii="仿宋_GB2312" w:hAnsi="黑体" w:eastAsia="仿宋_GB2312" w:cs="Times New Roman"/>
          <w:color w:val="auto"/>
          <w:sz w:val="32"/>
          <w:szCs w:val="32"/>
          <w:lang w:val="en-US" w:eastAsia="zh-CN"/>
        </w:rPr>
        <w:t>10720788</w:t>
      </w:r>
      <w:r>
        <w:rPr>
          <w:rFonts w:ascii="仿宋_GB2312" w:hAnsi="黑体" w:eastAsia="仿宋_GB2312" w:cs="Times New Roman"/>
          <w:color w:val="auto"/>
          <w:sz w:val="32"/>
          <w:szCs w:val="32"/>
        </w:rPr>
        <w:t>元（不纳入单位部门决算）；（3）被征地人员基本养老保险区级配套资金共支出</w:t>
      </w:r>
      <w:r>
        <w:rPr>
          <w:rFonts w:hint="eastAsia" w:ascii="仿宋_GB2312" w:hAnsi="黑体" w:eastAsia="仿宋_GB2312" w:cs="Times New Roman"/>
          <w:color w:val="auto"/>
          <w:sz w:val="32"/>
          <w:szCs w:val="32"/>
          <w:lang w:val="en-US" w:eastAsia="zh-CN"/>
        </w:rPr>
        <w:t>8873801.48</w:t>
      </w:r>
      <w:r>
        <w:rPr>
          <w:rFonts w:ascii="仿宋_GB2312" w:hAnsi="黑体" w:eastAsia="仿宋_GB2312" w:cs="Times New Roman"/>
          <w:color w:val="auto"/>
          <w:sz w:val="32"/>
          <w:szCs w:val="32"/>
        </w:rPr>
        <w:t>元（不纳入单位部门决算）；（4）城乡居民养老保险表格制作费共支出</w:t>
      </w:r>
      <w:r>
        <w:rPr>
          <w:rFonts w:hint="eastAsia" w:ascii="仿宋_GB2312" w:hAnsi="黑体" w:eastAsia="仿宋_GB2312" w:cs="Times New Roman"/>
          <w:color w:val="auto"/>
          <w:sz w:val="32"/>
          <w:szCs w:val="32"/>
          <w:lang w:val="en-US" w:eastAsia="zh-CN"/>
        </w:rPr>
        <w:t>47500</w:t>
      </w:r>
      <w:r>
        <w:rPr>
          <w:rFonts w:ascii="仿宋_GB2312" w:hAnsi="黑体" w:eastAsia="仿宋_GB2312" w:cs="Times New Roman"/>
          <w:color w:val="auto"/>
          <w:sz w:val="32"/>
          <w:szCs w:val="32"/>
        </w:rPr>
        <w:t>元，主要用于老农保、城乡居民基本养老保险、被征地人员基本养老保险相关表格制作及宣传材料印刷；（5）</w:t>
      </w:r>
      <w:r>
        <w:rPr>
          <w:rFonts w:hint="eastAsia" w:ascii="仿宋_GB2312" w:hAnsi="黑体" w:eastAsia="仿宋_GB2312" w:cs="Times New Roman"/>
          <w:color w:val="auto"/>
          <w:sz w:val="32"/>
          <w:szCs w:val="32"/>
        </w:rPr>
        <w:t>根据昆财社基〔2019〕年67号文</w:t>
      </w:r>
      <w:r>
        <w:rPr>
          <w:rFonts w:ascii="仿宋_GB2312" w:hAnsi="黑体" w:eastAsia="仿宋_GB2312" w:cs="Times New Roman"/>
          <w:color w:val="auto"/>
          <w:sz w:val="32"/>
          <w:szCs w:val="32"/>
        </w:rPr>
        <w:t>支出的</w:t>
      </w:r>
      <w:r>
        <w:rPr>
          <w:rFonts w:hint="eastAsia" w:ascii="仿宋_GB2312" w:hAnsi="黑体" w:eastAsia="仿宋_GB2312" w:cs="Times New Roman"/>
          <w:color w:val="auto"/>
          <w:sz w:val="32"/>
          <w:szCs w:val="32"/>
        </w:rPr>
        <w:t>昆明市城乡居民基本养老保险代缴低保特困人员资金</w:t>
      </w:r>
      <w:r>
        <w:rPr>
          <w:rFonts w:hint="eastAsia" w:ascii="仿宋_GB2312" w:hAnsi="黑体" w:eastAsia="仿宋_GB2312" w:cs="Times New Roman"/>
          <w:color w:val="auto"/>
          <w:sz w:val="32"/>
          <w:szCs w:val="32"/>
          <w:lang w:val="en-US" w:eastAsia="zh-CN"/>
        </w:rPr>
        <w:t>90160</w:t>
      </w:r>
      <w:r>
        <w:rPr>
          <w:rFonts w:hint="eastAsia" w:ascii="仿宋_GB2312" w:hAnsi="黑体" w:eastAsia="仿宋_GB2312" w:cs="Times New Roman"/>
          <w:color w:val="auto"/>
          <w:sz w:val="32"/>
          <w:szCs w:val="32"/>
        </w:rPr>
        <w:t>元</w:t>
      </w:r>
      <w:r>
        <w:rPr>
          <w:rFonts w:ascii="仿宋_GB2312" w:hAnsi="黑体" w:eastAsia="仿宋_GB2312" w:cs="Times New Roman"/>
          <w:color w:val="auto"/>
          <w:sz w:val="32"/>
          <w:szCs w:val="32"/>
        </w:rPr>
        <w:t>。</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（六）政府采购情况</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lang w:val="en-US" w:eastAsia="zh-CN"/>
        </w:rPr>
        <w:t>2020</w:t>
      </w:r>
      <w:r>
        <w:rPr>
          <w:rFonts w:hint="eastAsia" w:ascii="仿宋_GB2312" w:hAnsi="黑体" w:eastAsia="仿宋_GB2312" w:cs="Times New Roman"/>
          <w:color w:val="auto"/>
          <w:sz w:val="32"/>
          <w:szCs w:val="32"/>
        </w:rPr>
        <w:t>年度，部门政府采购支出总额</w:t>
      </w:r>
      <w:r>
        <w:rPr>
          <w:rFonts w:ascii="仿宋_GB2312" w:hAnsi="黑体" w:eastAsia="仿宋_GB2312" w:cs="Times New Roman"/>
          <w:color w:val="auto"/>
          <w:sz w:val="32"/>
          <w:szCs w:val="32"/>
        </w:rPr>
        <w:t>0</w:t>
      </w:r>
      <w:r>
        <w:rPr>
          <w:rFonts w:hint="eastAsia" w:ascii="仿宋_GB2312" w:hAnsi="黑体" w:eastAsia="仿宋_GB2312" w:cs="Times New Roman"/>
          <w:color w:val="auto"/>
          <w:sz w:val="32"/>
          <w:szCs w:val="32"/>
        </w:rPr>
        <w:t>元，其中：政府采购货物支出</w:t>
      </w:r>
      <w:r>
        <w:rPr>
          <w:rFonts w:ascii="仿宋_GB2312" w:hAnsi="黑体" w:eastAsia="仿宋_GB2312" w:cs="Times New Roman"/>
          <w:color w:val="auto"/>
          <w:sz w:val="32"/>
          <w:szCs w:val="32"/>
        </w:rPr>
        <w:t>0</w:t>
      </w:r>
      <w:r>
        <w:rPr>
          <w:rFonts w:hint="eastAsia" w:ascii="仿宋_GB2312" w:hAnsi="黑体" w:eastAsia="仿宋_GB2312" w:cs="Times New Roman"/>
          <w:color w:val="auto"/>
          <w:sz w:val="32"/>
          <w:szCs w:val="32"/>
        </w:rPr>
        <w:t>元。</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（七）固定资产情况</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截止20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年12月31日，单位固定资产账面总额3301</w:t>
      </w:r>
      <w:r>
        <w:rPr>
          <w:rFonts w:hint="eastAsia" w:ascii="仿宋_GB2312" w:hAnsi="黑体" w:eastAsia="仿宋_GB2312" w:cs="Times New Roman"/>
          <w:color w:val="auto"/>
          <w:sz w:val="32"/>
          <w:szCs w:val="32"/>
          <w:lang w:val="en-US" w:eastAsia="zh-CN"/>
        </w:rPr>
        <w:t>38</w:t>
      </w:r>
      <w:r>
        <w:rPr>
          <w:rFonts w:hint="eastAsia" w:ascii="仿宋_GB2312" w:hAnsi="黑体" w:eastAsia="仿宋_GB2312" w:cs="Times New Roman"/>
          <w:color w:val="auto"/>
          <w:sz w:val="32"/>
          <w:szCs w:val="32"/>
        </w:rPr>
        <w:t xml:space="preserve">元。 </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二、绩效目标</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（一）部门总目标</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认真贯彻执行省、市、区城乡居民基本养老保险（含老农保）、被征地基本养老保险方针、政策、法规；依据201</w:t>
      </w:r>
      <w:r>
        <w:rPr>
          <w:rFonts w:ascii="仿宋_GB2312" w:hAnsi="黑体" w:eastAsia="仿宋_GB2312" w:cs="Times New Roman"/>
          <w:color w:val="auto"/>
          <w:sz w:val="32"/>
          <w:szCs w:val="32"/>
        </w:rPr>
        <w:t>9</w:t>
      </w:r>
      <w:r>
        <w:rPr>
          <w:rFonts w:hint="eastAsia" w:ascii="仿宋_GB2312" w:hAnsi="黑体" w:eastAsia="仿宋_GB2312" w:cs="Times New Roman"/>
          <w:color w:val="auto"/>
          <w:sz w:val="32"/>
          <w:szCs w:val="32"/>
        </w:rPr>
        <w:t>年单位工作计划，开展城乡、被征地养老保险</w:t>
      </w:r>
      <w:r>
        <w:rPr>
          <w:rFonts w:hint="eastAsia" w:ascii="仿宋_GB2312" w:hAnsi="黑体" w:eastAsia="仿宋_GB2312" w:cs="Times New Roman"/>
          <w:color w:val="auto"/>
          <w:sz w:val="32"/>
          <w:szCs w:val="32"/>
          <w:lang w:eastAsia="zh-CN"/>
        </w:rPr>
        <w:t>改革</w:t>
      </w:r>
      <w:r>
        <w:rPr>
          <w:rFonts w:hint="eastAsia" w:ascii="仿宋_GB2312" w:hAnsi="黑体" w:eastAsia="仿宋_GB2312" w:cs="Times New Roman"/>
          <w:color w:val="auto"/>
          <w:sz w:val="32"/>
          <w:szCs w:val="32"/>
        </w:rPr>
        <w:t>相关</w:t>
      </w:r>
      <w:r>
        <w:rPr>
          <w:rFonts w:hint="eastAsia" w:ascii="仿宋_GB2312" w:hAnsi="黑体" w:eastAsia="仿宋_GB2312" w:cs="Times New Roman"/>
          <w:color w:val="auto"/>
          <w:sz w:val="32"/>
          <w:szCs w:val="32"/>
        </w:rPr>
        <w:tab/>
      </w:r>
      <w:r>
        <w:rPr>
          <w:rFonts w:hint="eastAsia" w:ascii="仿宋_GB2312" w:hAnsi="黑体" w:eastAsia="仿宋_GB2312" w:cs="Times New Roman"/>
          <w:color w:val="auto"/>
          <w:sz w:val="32"/>
          <w:szCs w:val="32"/>
        </w:rPr>
        <w:t>"政策宣传，做到走村入户，实现11万参保人宣传到位；对本级经办人员、街道、社区三级经办人员进行业务指导、培训、检查；完善与银行业务对接工作，切实加强参保居民参保缴费、续费、待遇领取工作的服务质量，为参保人提供快捷、方便、舒心的服务，同时强化业务档案管理，妥善保管各种资料，建立健全档案规章制度，妥善解决城乡居民的基本生活和长远生计问题，增加居民收入，提高居民生活水平，维护其合法权益，保持社会稳定，促进社会和谐稳定发展。</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（二）部门项目具体计划目标</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1.按照财政局的要求，我局对部门的职能进行梳理，结合我局中长期规划和年度工作计划，将基本支出及项目支出均纳入部门整体支出绩效目标。</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根据《昆明市盘龙区人民政府办公室关于转发〈昆明市预算绩效管理暂行办法〉的通知》（盘政办通〔2014〕39号）、《昆明市市级财政预算绩效管理结果应用暂行办法》（昆财绩〔2014〕166号）、《昆明市盘龙区人民政府办公室关于转发〈昆明市人民政府关于全面推进预算绩效管理改革的实施意见〉的通知》（盘政办通〔2016〕98号）、《盘龙区区级财政预算绩效管理结果应用暂行办法》（盘财〔2017〕78号）等相关文件要求，我局对项目的功能进行梳理，依据项目的功能特性，按照项目分类为“一般行政管理事务、社会保险经办机构”的项目，属于保机构正常运转性质且金额小于5万元的可不填报项目支出绩效目标”；按照项目分类为“财政对社会保险基金的补助”的项目，属于重点民生保障性质的专项项目支出不论金额大小全纳入绩效目标”的要求，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年将符合纳入范围的项目支出纳入项目支出绩效目标管理，包括：</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（1）松华坝水源区城乡居民养老保险缴费的补贴</w:t>
      </w:r>
      <w:r>
        <w:rPr>
          <w:rFonts w:hint="eastAsia" w:ascii="仿宋_GB2312" w:hAnsi="黑体" w:eastAsia="仿宋_GB2312" w:cs="Times New Roman"/>
          <w:color w:val="auto"/>
          <w:sz w:val="32"/>
          <w:szCs w:val="32"/>
          <w:lang w:val="en-US" w:eastAsia="zh-CN"/>
        </w:rPr>
        <w:t>7137000</w:t>
      </w:r>
      <w:r>
        <w:rPr>
          <w:rFonts w:hint="eastAsia" w:ascii="仿宋_GB2312" w:hAnsi="黑体" w:eastAsia="仿宋_GB2312" w:cs="Times New Roman"/>
          <w:color w:val="auto"/>
          <w:sz w:val="32"/>
          <w:szCs w:val="32"/>
        </w:rPr>
        <w:t>元；</w:t>
      </w:r>
    </w:p>
    <w:p>
      <w:pPr>
        <w:spacing w:line="560" w:lineRule="exact"/>
        <w:ind w:firstLine="640" w:firstLineChars="200"/>
        <w:jc w:val="left"/>
        <w:rPr>
          <w:rFonts w:hint="eastAsia" w:ascii="仿宋_GB2312" w:hAnsi="黑体" w:eastAsia="仿宋_GB2312" w:cs="Times New Roman"/>
          <w:color w:val="auto"/>
          <w:sz w:val="32"/>
          <w:szCs w:val="32"/>
          <w:lang w:eastAsia="zh-CN"/>
        </w:rPr>
      </w:pPr>
      <w:r>
        <w:rPr>
          <w:rFonts w:hint="eastAsia" w:ascii="仿宋_GB2312" w:hAnsi="黑体" w:eastAsia="仿宋_GB2312" w:cs="Times New Roman"/>
          <w:color w:val="auto"/>
          <w:sz w:val="32"/>
          <w:szCs w:val="32"/>
        </w:rPr>
        <w:t>（</w:t>
      </w:r>
      <w:r>
        <w:rPr>
          <w:rFonts w:ascii="仿宋_GB2312" w:hAnsi="黑体" w:eastAsia="仿宋_GB2312" w:cs="Times New Roman"/>
          <w:color w:val="auto"/>
          <w:sz w:val="32"/>
          <w:szCs w:val="32"/>
        </w:rPr>
        <w:t>2</w:t>
      </w:r>
      <w:r>
        <w:rPr>
          <w:rFonts w:hint="eastAsia" w:ascii="仿宋_GB2312" w:hAnsi="黑体" w:eastAsia="仿宋_GB2312" w:cs="Times New Roman"/>
          <w:color w:val="auto"/>
          <w:sz w:val="32"/>
          <w:szCs w:val="32"/>
        </w:rPr>
        <w:t>）城乡居民基本养老保险的补贴:区财政安排支出资金</w:t>
      </w:r>
      <w:r>
        <w:rPr>
          <w:rFonts w:hint="eastAsia" w:ascii="仿宋_GB2312" w:hAnsi="黑体" w:eastAsia="仿宋_GB2312" w:cs="Times New Roman"/>
          <w:color w:val="auto"/>
          <w:sz w:val="32"/>
          <w:szCs w:val="32"/>
          <w:lang w:val="en-US" w:eastAsia="zh-CN"/>
        </w:rPr>
        <w:t>10720788</w:t>
      </w:r>
      <w:r>
        <w:rPr>
          <w:rFonts w:hint="eastAsia" w:ascii="仿宋_GB2312" w:hAnsi="黑体" w:eastAsia="仿宋_GB2312" w:cs="Times New Roman"/>
          <w:color w:val="auto"/>
          <w:sz w:val="32"/>
          <w:szCs w:val="32"/>
        </w:rPr>
        <w:t>元（不纳入单位部门决算）</w:t>
      </w:r>
      <w:r>
        <w:rPr>
          <w:rFonts w:hint="eastAsia" w:ascii="仿宋_GB2312" w:hAnsi="黑体" w:eastAsia="仿宋_GB2312" w:cs="Times New Roman"/>
          <w:color w:val="auto"/>
          <w:sz w:val="32"/>
          <w:szCs w:val="32"/>
          <w:lang w:eastAsia="zh-CN"/>
        </w:rPr>
        <w:t>。</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三、评价思路和过程</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（一）评价思路</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确认当年度部门整体支出的绩效目标→梳理部门内部管理制度及存量资源→分析确定当年度部门整体支出的评价重点→构建绩效评价指标体系。</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（二）评价目的</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（三）评价依据</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评价依据为绩效评价指标体系。</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（四）评价对象及评价时段</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对</w:t>
      </w:r>
      <w:r>
        <w:rPr>
          <w:rFonts w:hint="eastAsia" w:ascii="仿宋_GB2312" w:hAnsi="黑体" w:eastAsia="仿宋_GB2312" w:cs="Times New Roman"/>
          <w:color w:val="auto"/>
          <w:sz w:val="32"/>
          <w:szCs w:val="32"/>
          <w:lang w:val="en-US" w:eastAsia="zh-CN"/>
        </w:rPr>
        <w:t>2020</w:t>
      </w:r>
      <w:r>
        <w:rPr>
          <w:rFonts w:hint="eastAsia" w:ascii="仿宋_GB2312" w:hAnsi="黑体" w:eastAsia="仿宋_GB2312" w:cs="Times New Roman"/>
          <w:color w:val="auto"/>
          <w:sz w:val="32"/>
          <w:szCs w:val="32"/>
        </w:rPr>
        <w:t>年度绩效目标管理项目进行评价。</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四、评价结论和绩效分析</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（一）评价结论</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1.评价结果</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根据部门整体支出绩效评价指标确定的内容，经评价组综合评价，盘龙区城乡居民社会养老保险局20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年度整体支出绩效自评打分9</w:t>
      </w:r>
      <w:r>
        <w:rPr>
          <w:rFonts w:hint="eastAsia" w:ascii="仿宋_GB2312" w:hAnsi="黑体" w:eastAsia="仿宋_GB2312" w:cs="Times New Roman"/>
          <w:color w:val="auto"/>
          <w:sz w:val="32"/>
          <w:szCs w:val="32"/>
          <w:lang w:val="en-US" w:eastAsia="zh-CN"/>
        </w:rPr>
        <w:t>5</w:t>
      </w:r>
      <w:r>
        <w:rPr>
          <w:rFonts w:hint="eastAsia" w:ascii="仿宋_GB2312" w:hAnsi="黑体" w:eastAsia="仿宋_GB2312" w:cs="Times New Roman"/>
          <w:color w:val="auto"/>
          <w:sz w:val="32"/>
          <w:szCs w:val="32"/>
        </w:rPr>
        <w:t>分，评为 “优”。</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2.主要绩效</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（1）基本支出</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年基本支出总额</w:t>
      </w:r>
      <w:r>
        <w:rPr>
          <w:rFonts w:hint="eastAsia" w:ascii="仿宋_GB2312" w:hAnsi="仿宋" w:eastAsia="仿宋_GB2312"/>
          <w:color w:val="auto"/>
          <w:sz w:val="32"/>
          <w:szCs w:val="32"/>
          <w:lang w:val="en-US" w:eastAsia="zh-CN"/>
        </w:rPr>
        <w:t>2576917.26</w:t>
      </w:r>
      <w:r>
        <w:rPr>
          <w:rFonts w:hint="eastAsia" w:ascii="仿宋_GB2312" w:hAnsi="黑体" w:eastAsia="仿宋_GB2312" w:cs="Times New Roman"/>
          <w:color w:val="auto"/>
          <w:sz w:val="32"/>
          <w:szCs w:val="32"/>
        </w:rPr>
        <w:t>元，其中：工资福利支出2437462.93元、商品和服务支出139454.33元。</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（2）项目支出（按项目明细列出）</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w:t>
      </w:r>
      <w:r>
        <w:rPr>
          <w:rFonts w:hint="eastAsia" w:ascii="仿宋_GB2312" w:hAnsi="黑体" w:eastAsia="仿宋_GB2312" w:cs="Times New Roman"/>
          <w:color w:val="auto"/>
          <w:sz w:val="32"/>
          <w:szCs w:val="32"/>
          <w:lang w:eastAsia="zh-CN"/>
        </w:rPr>
        <w:t>纳入决算的</w:t>
      </w:r>
      <w:r>
        <w:rPr>
          <w:rFonts w:hint="eastAsia" w:ascii="仿宋_GB2312" w:hAnsi="黑体" w:eastAsia="仿宋_GB2312" w:cs="Times New Roman"/>
          <w:color w:val="auto"/>
          <w:sz w:val="32"/>
          <w:szCs w:val="32"/>
        </w:rPr>
        <w:t>项目资金支出总额</w:t>
      </w:r>
      <w:r>
        <w:rPr>
          <w:rFonts w:hint="eastAsia" w:ascii="仿宋_GB2312" w:hAnsi="仿宋" w:eastAsia="仿宋_GB2312"/>
          <w:color w:val="auto"/>
          <w:sz w:val="32"/>
          <w:szCs w:val="32"/>
          <w:lang w:val="en-US" w:eastAsia="zh-CN"/>
        </w:rPr>
        <w:t>8600660</w:t>
      </w:r>
      <w:r>
        <w:rPr>
          <w:rFonts w:hint="eastAsia" w:ascii="仿宋_GB2312" w:hAnsi="黑体" w:eastAsia="仿宋_GB2312" w:cs="Times New Roman"/>
          <w:color w:val="auto"/>
          <w:sz w:val="32"/>
          <w:szCs w:val="32"/>
        </w:rPr>
        <w:t>元</w:t>
      </w:r>
      <w:r>
        <w:rPr>
          <w:rFonts w:hint="eastAsia" w:ascii="仿宋_GB2312" w:hAnsi="仿宋" w:eastAsia="仿宋_GB2312"/>
          <w:color w:val="auto"/>
          <w:sz w:val="32"/>
          <w:szCs w:val="32"/>
          <w:lang w:val="en-US" w:eastAsia="zh-CN"/>
        </w:rPr>
        <w:t>（由我局年初预算安排的支出项目7184500元、上级下达资金支出项目1416160元）。</w:t>
      </w:r>
      <w:r>
        <w:rPr>
          <w:rFonts w:hint="eastAsia" w:ascii="仿宋_GB2312" w:hAnsi="黑体" w:eastAsia="仿宋_GB2312" w:cs="Times New Roman"/>
          <w:color w:val="auto"/>
          <w:sz w:val="32"/>
          <w:szCs w:val="32"/>
          <w:lang w:eastAsia="zh-CN"/>
        </w:rPr>
        <w:t>另外，</w:t>
      </w:r>
      <w:r>
        <w:rPr>
          <w:rFonts w:ascii="仿宋_GB2312" w:hAnsi="黑体" w:eastAsia="仿宋_GB2312" w:cs="Times New Roman"/>
          <w:color w:val="auto"/>
          <w:sz w:val="32"/>
          <w:szCs w:val="32"/>
        </w:rPr>
        <w:t>由财政安排支出项目资金为</w:t>
      </w:r>
      <w:r>
        <w:rPr>
          <w:rFonts w:hint="eastAsia" w:ascii="仿宋_GB2312" w:hAnsi="黑体" w:eastAsia="仿宋_GB2312" w:cs="Times New Roman"/>
          <w:color w:val="auto"/>
          <w:sz w:val="32"/>
          <w:szCs w:val="32"/>
          <w:lang w:val="en-US" w:eastAsia="zh-CN"/>
        </w:rPr>
        <w:t>19594589.48</w:t>
      </w:r>
      <w:r>
        <w:rPr>
          <w:rFonts w:ascii="仿宋_GB2312" w:hAnsi="黑体" w:eastAsia="仿宋_GB2312" w:cs="Times New Roman"/>
          <w:color w:val="auto"/>
          <w:sz w:val="32"/>
          <w:szCs w:val="32"/>
        </w:rPr>
        <w:t>元（不纳入单位部门决算）。</w:t>
      </w:r>
      <w:r>
        <w:rPr>
          <w:rFonts w:hint="eastAsia" w:ascii="仿宋_GB2312" w:hAnsi="黑体" w:eastAsia="仿宋_GB2312" w:cs="Times New Roman"/>
          <w:color w:val="auto"/>
          <w:sz w:val="32"/>
          <w:szCs w:val="32"/>
        </w:rPr>
        <w:t>具体如下</w:t>
      </w:r>
      <w:r>
        <w:rPr>
          <w:rFonts w:ascii="仿宋_GB2312" w:hAnsi="黑体" w:eastAsia="仿宋_GB2312" w:cs="Times New Roman"/>
          <w:color w:val="auto"/>
          <w:sz w:val="32"/>
          <w:szCs w:val="32"/>
        </w:rPr>
        <w:t>：</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松华坝水源区城乡居民基本养老保险缴费的补贴共支出</w:t>
      </w:r>
      <w:r>
        <w:rPr>
          <w:rFonts w:hint="eastAsia" w:ascii="仿宋_GB2312" w:hAnsi="黑体" w:eastAsia="仿宋_GB2312" w:cs="Times New Roman"/>
          <w:color w:val="auto"/>
          <w:sz w:val="32"/>
          <w:szCs w:val="32"/>
          <w:lang w:val="en-US" w:eastAsia="zh-CN"/>
        </w:rPr>
        <w:t>7137000</w:t>
      </w:r>
      <w:r>
        <w:rPr>
          <w:rFonts w:ascii="仿宋_GB2312" w:hAnsi="黑体" w:eastAsia="仿宋_GB2312" w:cs="Times New Roman"/>
          <w:color w:val="auto"/>
          <w:sz w:val="32"/>
          <w:szCs w:val="32"/>
        </w:rPr>
        <w:t>元</w:t>
      </w:r>
      <w:r>
        <w:rPr>
          <w:rFonts w:hint="eastAsia" w:ascii="仿宋_GB2312" w:hAnsi="黑体" w:eastAsia="仿宋_GB2312" w:cs="Times New Roman"/>
          <w:color w:val="auto"/>
          <w:sz w:val="32"/>
          <w:szCs w:val="32"/>
        </w:rPr>
        <w:t>，主要用于为确保松华坝水库供水稳定、主城饮用水源安全，有效保障松华坝饮用水源区群众生产生活, 切实落实松花坝水源保护区城乡居民参加城乡居民基本养老保险；</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城</w:t>
      </w:r>
      <w:r>
        <w:rPr>
          <w:rFonts w:ascii="仿宋_GB2312" w:hAnsi="黑体" w:eastAsia="仿宋_GB2312" w:cs="Times New Roman"/>
          <w:color w:val="auto"/>
          <w:sz w:val="32"/>
          <w:szCs w:val="32"/>
        </w:rPr>
        <w:t>乡居民基本养老保险区级待遇支付及配套资金共支出</w:t>
      </w:r>
      <w:r>
        <w:rPr>
          <w:rFonts w:hint="eastAsia" w:ascii="仿宋_GB2312" w:hAnsi="黑体" w:eastAsia="仿宋_GB2312" w:cs="Times New Roman"/>
          <w:color w:val="auto"/>
          <w:sz w:val="32"/>
          <w:szCs w:val="32"/>
          <w:lang w:val="en-US" w:eastAsia="zh-CN"/>
        </w:rPr>
        <w:t>10720788</w:t>
      </w:r>
      <w:r>
        <w:rPr>
          <w:rFonts w:ascii="仿宋_GB2312" w:hAnsi="黑体" w:eastAsia="仿宋_GB2312" w:cs="Times New Roman"/>
          <w:color w:val="auto"/>
          <w:sz w:val="32"/>
          <w:szCs w:val="32"/>
        </w:rPr>
        <w:t>元（不纳入单位部门决算）</w:t>
      </w:r>
      <w:r>
        <w:rPr>
          <w:rFonts w:hint="eastAsia" w:ascii="仿宋_GB2312" w:hAnsi="黑体" w:eastAsia="仿宋_GB2312" w:cs="Times New Roman"/>
          <w:color w:val="auto"/>
          <w:sz w:val="32"/>
          <w:szCs w:val="32"/>
        </w:rPr>
        <w:t>，主要用于推进城乡居民基本养老保险业务的开展，按照中央、省市文件精神的规定，对参保缴费人员、待遇领取人员、死亡退保人员进行财政补贴</w:t>
      </w:r>
      <w:r>
        <w:rPr>
          <w:rFonts w:hint="eastAsia" w:ascii="仿宋_GB2312" w:hAnsi="黑体" w:eastAsia="仿宋_GB2312" w:cs="Times New Roman"/>
          <w:color w:val="auto"/>
          <w:sz w:val="32"/>
          <w:szCs w:val="32"/>
          <w:lang w:eastAsia="zh-CN"/>
        </w:rPr>
        <w:t>及配套，对建档立卡、特困、低保人员城乡居民基本养老保险财政代缴</w:t>
      </w:r>
      <w:r>
        <w:rPr>
          <w:rFonts w:hint="eastAsia" w:ascii="仿宋_GB2312" w:hAnsi="黑体" w:eastAsia="仿宋_GB2312" w:cs="Times New Roman"/>
          <w:color w:val="auto"/>
          <w:sz w:val="32"/>
          <w:szCs w:val="32"/>
        </w:rPr>
        <w:t>；</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被征地人员基本养老保险区级配套资金共支出</w:t>
      </w:r>
      <w:r>
        <w:rPr>
          <w:rFonts w:hint="eastAsia" w:ascii="仿宋_GB2312" w:hAnsi="黑体" w:eastAsia="仿宋_GB2312" w:cs="Times New Roman"/>
          <w:color w:val="auto"/>
          <w:sz w:val="32"/>
          <w:szCs w:val="32"/>
          <w:lang w:val="en-US" w:eastAsia="zh-CN"/>
        </w:rPr>
        <w:t>8873801.48</w:t>
      </w:r>
      <w:r>
        <w:rPr>
          <w:rFonts w:ascii="仿宋_GB2312" w:hAnsi="黑体" w:eastAsia="仿宋_GB2312" w:cs="Times New Roman"/>
          <w:color w:val="auto"/>
          <w:sz w:val="32"/>
          <w:szCs w:val="32"/>
        </w:rPr>
        <w:t>元（不纳入单位部门决算）</w:t>
      </w:r>
      <w:r>
        <w:rPr>
          <w:rFonts w:hint="eastAsia" w:ascii="仿宋_GB2312" w:hAnsi="黑体" w:eastAsia="仿宋_GB2312" w:cs="Times New Roman"/>
          <w:color w:val="auto"/>
          <w:sz w:val="32"/>
          <w:szCs w:val="32"/>
        </w:rPr>
        <w:t>，主要用于推进被征地人员基本养老保险</w:t>
      </w:r>
      <w:r>
        <w:rPr>
          <w:rFonts w:hint="eastAsia" w:ascii="仿宋_GB2312" w:hAnsi="黑体" w:eastAsia="仿宋_GB2312" w:cs="Times New Roman"/>
          <w:color w:val="auto"/>
          <w:sz w:val="32"/>
          <w:szCs w:val="32"/>
          <w:lang w:val="en-US" w:eastAsia="zh-CN"/>
        </w:rPr>
        <w:t>1-3月（改革合并前）</w:t>
      </w:r>
      <w:r>
        <w:rPr>
          <w:rFonts w:hint="eastAsia" w:ascii="仿宋_GB2312" w:hAnsi="黑体" w:eastAsia="仿宋_GB2312" w:cs="Times New Roman"/>
          <w:color w:val="auto"/>
          <w:sz w:val="32"/>
          <w:szCs w:val="32"/>
        </w:rPr>
        <w:t>业务开展，按照昆明市人民政府公告13号的规定，对参保人员进行财政补贴；</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城乡居民养老保险表格制作费共支出</w:t>
      </w:r>
      <w:r>
        <w:rPr>
          <w:rFonts w:hint="eastAsia" w:ascii="仿宋_GB2312" w:hAnsi="黑体" w:eastAsia="仿宋_GB2312" w:cs="Times New Roman"/>
          <w:color w:val="auto"/>
          <w:sz w:val="32"/>
          <w:szCs w:val="32"/>
          <w:lang w:val="en-US" w:eastAsia="zh-CN"/>
        </w:rPr>
        <w:t>47500</w:t>
      </w:r>
      <w:r>
        <w:rPr>
          <w:rFonts w:hint="eastAsia" w:ascii="仿宋_GB2312" w:hAnsi="黑体" w:eastAsia="仿宋_GB2312" w:cs="Times New Roman"/>
          <w:color w:val="auto"/>
          <w:sz w:val="32"/>
          <w:szCs w:val="32"/>
        </w:rPr>
        <w:t>元，主要用于老农保、城乡居民基本养老保险、被征地人员基本养老保险相关表格制作及宣传材料印刷；</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昆明市城乡居民基本养老保险代缴低保特困人员资金</w:t>
      </w:r>
      <w:r>
        <w:rPr>
          <w:rFonts w:hint="eastAsia" w:ascii="仿宋_GB2312" w:hAnsi="黑体" w:eastAsia="仿宋_GB2312" w:cs="Times New Roman"/>
          <w:color w:val="auto"/>
          <w:sz w:val="32"/>
          <w:szCs w:val="32"/>
          <w:lang w:val="en-US" w:eastAsia="zh-CN"/>
        </w:rPr>
        <w:t>90160</w:t>
      </w:r>
      <w:r>
        <w:rPr>
          <w:rFonts w:hint="eastAsia" w:ascii="仿宋_GB2312" w:hAnsi="黑体" w:eastAsia="仿宋_GB2312" w:cs="Times New Roman"/>
          <w:color w:val="auto"/>
          <w:sz w:val="32"/>
          <w:szCs w:val="32"/>
        </w:rPr>
        <w:t>元（根据昆财社基〔20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w:t>
      </w:r>
      <w:r>
        <w:rPr>
          <w:rFonts w:hint="eastAsia" w:ascii="仿宋_GB2312" w:hAnsi="黑体" w:eastAsia="仿宋_GB2312" w:cs="Times New Roman"/>
          <w:color w:val="auto"/>
          <w:sz w:val="32"/>
          <w:szCs w:val="32"/>
          <w:lang w:val="en-US" w:eastAsia="zh-CN"/>
        </w:rPr>
        <w:t>42</w:t>
      </w:r>
      <w:r>
        <w:rPr>
          <w:rFonts w:hint="eastAsia" w:ascii="仿宋_GB2312" w:hAnsi="黑体" w:eastAsia="仿宋_GB2312" w:cs="Times New Roman"/>
          <w:color w:val="auto"/>
          <w:sz w:val="32"/>
          <w:szCs w:val="32"/>
        </w:rPr>
        <w:t>号文）。在市级</w:t>
      </w:r>
      <w:r>
        <w:rPr>
          <w:rFonts w:ascii="仿宋_GB2312" w:hAnsi="黑体" w:eastAsia="仿宋_GB2312" w:cs="Times New Roman"/>
          <w:color w:val="auto"/>
          <w:sz w:val="32"/>
          <w:szCs w:val="32"/>
        </w:rPr>
        <w:t>要求对特困低保人员每人</w:t>
      </w:r>
      <w:r>
        <w:rPr>
          <w:rFonts w:hint="eastAsia" w:ascii="仿宋_GB2312" w:hAnsi="黑体" w:eastAsia="仿宋_GB2312" w:cs="Times New Roman"/>
          <w:color w:val="auto"/>
          <w:sz w:val="32"/>
          <w:szCs w:val="32"/>
        </w:rPr>
        <w:t>每年代缴100元</w:t>
      </w:r>
      <w:r>
        <w:rPr>
          <w:rFonts w:ascii="仿宋_GB2312" w:hAnsi="黑体" w:eastAsia="仿宋_GB2312" w:cs="Times New Roman"/>
          <w:color w:val="auto"/>
          <w:sz w:val="32"/>
          <w:szCs w:val="32"/>
        </w:rPr>
        <w:t>的</w:t>
      </w:r>
      <w:r>
        <w:rPr>
          <w:rFonts w:hint="eastAsia" w:ascii="仿宋_GB2312" w:hAnsi="黑体" w:eastAsia="仿宋_GB2312" w:cs="Times New Roman"/>
          <w:color w:val="auto"/>
          <w:sz w:val="32"/>
          <w:szCs w:val="32"/>
        </w:rPr>
        <w:t>基础上</w:t>
      </w:r>
      <w:r>
        <w:rPr>
          <w:rFonts w:ascii="仿宋_GB2312" w:hAnsi="黑体" w:eastAsia="仿宋_GB2312" w:cs="Times New Roman"/>
          <w:color w:val="auto"/>
          <w:sz w:val="32"/>
          <w:szCs w:val="32"/>
        </w:rPr>
        <w:t>，</w:t>
      </w:r>
      <w:r>
        <w:rPr>
          <w:rFonts w:hint="eastAsia" w:ascii="仿宋_GB2312" w:hAnsi="黑体" w:eastAsia="仿宋_GB2312" w:cs="Times New Roman"/>
          <w:color w:val="auto"/>
          <w:sz w:val="32"/>
          <w:szCs w:val="32"/>
          <w:lang w:eastAsia="zh-CN"/>
        </w:rPr>
        <w:t>盘龙区</w:t>
      </w:r>
      <w:r>
        <w:rPr>
          <w:rFonts w:hint="eastAsia" w:ascii="仿宋_GB2312" w:hAnsi="黑体" w:eastAsia="仿宋_GB2312" w:cs="Times New Roman"/>
          <w:color w:val="auto"/>
          <w:sz w:val="32"/>
          <w:szCs w:val="32"/>
        </w:rPr>
        <w:t>每人再</w:t>
      </w:r>
      <w:r>
        <w:rPr>
          <w:rFonts w:hint="eastAsia" w:ascii="仿宋_GB2312" w:hAnsi="黑体" w:eastAsia="仿宋_GB2312" w:cs="Times New Roman"/>
          <w:color w:val="auto"/>
          <w:sz w:val="32"/>
          <w:szCs w:val="32"/>
          <w:lang w:val="en-US" w:eastAsia="zh-CN"/>
        </w:rPr>
        <w:t>4</w:t>
      </w:r>
      <w:r>
        <w:rPr>
          <w:rFonts w:hint="eastAsia" w:ascii="仿宋_GB2312" w:hAnsi="黑体" w:eastAsia="仿宋_GB2312" w:cs="Times New Roman"/>
          <w:color w:val="auto"/>
          <w:sz w:val="32"/>
          <w:szCs w:val="32"/>
        </w:rPr>
        <w:t>0元实行</w:t>
      </w:r>
      <w:r>
        <w:rPr>
          <w:rFonts w:ascii="仿宋_GB2312" w:hAnsi="黑体" w:eastAsia="仿宋_GB2312" w:cs="Times New Roman"/>
          <w:color w:val="auto"/>
          <w:sz w:val="32"/>
          <w:szCs w:val="32"/>
        </w:rPr>
        <w:t>缴费补助</w:t>
      </w:r>
      <w:r>
        <w:rPr>
          <w:rFonts w:hint="eastAsia" w:ascii="仿宋_GB2312" w:hAnsi="黑体" w:eastAsia="仿宋_GB2312" w:cs="Times New Roman"/>
          <w:color w:val="auto"/>
          <w:sz w:val="32"/>
          <w:szCs w:val="32"/>
        </w:rPr>
        <w:t>；</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重点分析财政对社会保险基金补助的</w:t>
      </w:r>
      <w:r>
        <w:rPr>
          <w:rFonts w:hint="eastAsia" w:ascii="仿宋_GB2312" w:hAnsi="黑体" w:eastAsia="仿宋_GB2312" w:cs="Times New Roman"/>
          <w:color w:val="auto"/>
          <w:sz w:val="32"/>
          <w:szCs w:val="32"/>
          <w:lang w:val="en-US" w:eastAsia="zh-CN"/>
        </w:rPr>
        <w:t>2</w:t>
      </w:r>
      <w:r>
        <w:rPr>
          <w:rFonts w:hint="eastAsia" w:ascii="仿宋_GB2312" w:hAnsi="黑体" w:eastAsia="仿宋_GB2312" w:cs="Times New Roman"/>
          <w:color w:val="auto"/>
          <w:sz w:val="32"/>
          <w:szCs w:val="32"/>
        </w:rPr>
        <w:t>个项目：</w:t>
      </w:r>
    </w:p>
    <w:p>
      <w:pPr>
        <w:ind w:firstLine="640" w:firstLineChars="200"/>
        <w:rPr>
          <w:rFonts w:hint="eastAsia" w:ascii="仿宋_GB2312" w:hAnsi="仿宋" w:eastAsia="仿宋_GB2312"/>
          <w:sz w:val="32"/>
          <w:szCs w:val="32"/>
        </w:rPr>
      </w:pPr>
      <w:r>
        <w:rPr>
          <w:rFonts w:hint="eastAsia" w:ascii="仿宋_GB2312" w:hAnsi="黑体" w:eastAsia="仿宋_GB2312" w:cs="Times New Roman"/>
          <w:color w:val="auto"/>
          <w:sz w:val="32"/>
          <w:szCs w:val="32"/>
        </w:rPr>
        <w:t>20</w:t>
      </w:r>
      <w:r>
        <w:rPr>
          <w:rFonts w:hint="eastAsia" w:ascii="仿宋_GB2312" w:hAnsi="黑体" w:eastAsia="仿宋_GB2312" w:cs="Times New Roman"/>
          <w:color w:val="auto"/>
          <w:sz w:val="32"/>
          <w:szCs w:val="32"/>
          <w:lang w:val="en-US" w:eastAsia="zh-CN"/>
        </w:rPr>
        <w:t>20</w:t>
      </w:r>
      <w:r>
        <w:rPr>
          <w:rFonts w:hint="eastAsia" w:ascii="仿宋_GB2312" w:hAnsi="黑体" w:eastAsia="仿宋_GB2312" w:cs="Times New Roman"/>
          <w:color w:val="auto"/>
          <w:sz w:val="32"/>
          <w:szCs w:val="32"/>
        </w:rPr>
        <w:t>年项目支出绩效目标基本100%完成，基本与预期完</w:t>
      </w:r>
      <w:r>
        <w:rPr>
          <w:rFonts w:hint="eastAsia" w:ascii="仿宋_GB2312" w:hAnsi="仿宋" w:eastAsia="仿宋_GB2312"/>
          <w:sz w:val="32"/>
          <w:szCs w:val="32"/>
        </w:rPr>
        <w:t>成情况一致。</w:t>
      </w:r>
    </w:p>
    <w:p>
      <w:pPr>
        <w:ind w:firstLine="640" w:firstLineChars="200"/>
        <w:rPr>
          <w:rFonts w:hint="eastAsia" w:ascii="仿宋_GB2312" w:hAnsi="仿宋" w:eastAsia="仿宋_GB2312"/>
          <w:sz w:val="32"/>
          <w:szCs w:val="32"/>
        </w:rPr>
      </w:pPr>
      <w:r>
        <w:rPr>
          <w:rFonts w:hint="eastAsia" w:ascii="仿宋_GB2312" w:hAnsi="仿宋" w:eastAsia="仿宋_GB2312"/>
          <w:sz w:val="32"/>
          <w:szCs w:val="32"/>
        </w:rPr>
        <w:t>截止2020年12月，城乡居民基本养老保险当年参保缴费、</w:t>
      </w:r>
      <w:r>
        <w:rPr>
          <w:rFonts w:hint="eastAsia" w:ascii="仿宋_GB2312" w:hAnsi="宋体" w:eastAsia="仿宋_GB2312"/>
          <w:sz w:val="30"/>
          <w:szCs w:val="30"/>
        </w:rPr>
        <w:t>续费、</w:t>
      </w:r>
      <w:r>
        <w:rPr>
          <w:rFonts w:hint="eastAsia" w:ascii="仿宋_GB2312" w:hAnsi="仿宋" w:eastAsia="仿宋_GB2312"/>
          <w:sz w:val="32"/>
          <w:szCs w:val="32"/>
        </w:rPr>
        <w:t>待遇领取总人数达98450人（完成市居保局下达目标任务9.66万人的101.97%），缴费人数 66725人，领取养老金人数25447人,人均月领取养老金150.58元。区级补助金共计支出10720</w:t>
      </w:r>
      <w:r>
        <w:rPr>
          <w:rFonts w:hint="eastAsia" w:ascii="仿宋_GB2312" w:hAnsi="仿宋" w:eastAsia="仿宋_GB2312"/>
          <w:sz w:val="32"/>
          <w:szCs w:val="32"/>
          <w:lang w:val="en-US" w:eastAsia="zh-CN"/>
        </w:rPr>
        <w:t>788</w:t>
      </w:r>
      <w:r>
        <w:rPr>
          <w:rFonts w:hint="eastAsia" w:ascii="仿宋_GB2312" w:hAnsi="仿宋" w:eastAsia="仿宋_GB2312"/>
          <w:sz w:val="32"/>
          <w:szCs w:val="32"/>
        </w:rPr>
        <w:t>元（由区财政局代编决算），实际支出中：区级基础养老金、养老补助金及丧葬补助金合计支出949.097万元，建档立卡贫困人员代缴保费支出2202人44.04万元，低保特困区级代缴保费支出2254人36.064万元，区级财政配套资金42.8</w:t>
      </w:r>
      <w:r>
        <w:rPr>
          <w:rFonts w:hint="eastAsia" w:ascii="仿宋_GB2312" w:hAnsi="仿宋" w:eastAsia="仿宋_GB2312"/>
          <w:sz w:val="32"/>
          <w:szCs w:val="32"/>
          <w:lang w:val="en-US" w:eastAsia="zh-CN"/>
        </w:rPr>
        <w:t>778</w:t>
      </w:r>
      <w:r>
        <w:rPr>
          <w:rFonts w:hint="eastAsia" w:ascii="仿宋_GB2312" w:hAnsi="仿宋" w:eastAsia="仿宋_GB2312"/>
          <w:sz w:val="32"/>
          <w:szCs w:val="32"/>
        </w:rPr>
        <w:t>万元。</w:t>
      </w:r>
    </w:p>
    <w:p>
      <w:pPr>
        <w:snapToGrid w:val="0"/>
        <w:spacing w:line="520" w:lineRule="exact"/>
        <w:ind w:firstLine="640" w:firstLineChars="200"/>
        <w:rPr>
          <w:rFonts w:ascii="仿宋_GB2312" w:hAnsi="黑体" w:eastAsia="仿宋_GB2312" w:cs="Times New Roman"/>
          <w:color w:val="FF0000"/>
          <w:sz w:val="32"/>
          <w:szCs w:val="32"/>
        </w:rPr>
      </w:pPr>
      <w:r>
        <w:rPr>
          <w:rFonts w:hint="eastAsia" w:ascii="仿宋_GB2312" w:hAnsi="仿宋" w:eastAsia="仿宋_GB2312"/>
          <w:sz w:val="32"/>
          <w:szCs w:val="32"/>
        </w:rPr>
        <w:t>截至2020年12月，盘龙区共有38304人享受了水源区缴费补助，拨付补助资金713</w:t>
      </w:r>
      <w:r>
        <w:rPr>
          <w:rFonts w:hint="eastAsia" w:ascii="仿宋_GB2312" w:hAnsi="仿宋" w:eastAsia="仿宋_GB2312"/>
          <w:sz w:val="32"/>
          <w:szCs w:val="32"/>
          <w:lang w:val="en-US" w:eastAsia="zh-CN"/>
        </w:rPr>
        <w:t>7000</w:t>
      </w:r>
      <w:r>
        <w:rPr>
          <w:rFonts w:hint="eastAsia" w:ascii="仿宋_GB2312" w:hAnsi="仿宋" w:eastAsia="仿宋_GB2312"/>
          <w:sz w:val="32"/>
          <w:szCs w:val="32"/>
        </w:rPr>
        <w:t>元，实现</w:t>
      </w:r>
      <w:r>
        <w:rPr>
          <w:rFonts w:ascii="仿宋_GB2312" w:hAnsi="仿宋" w:eastAsia="仿宋_GB2312"/>
          <w:sz w:val="32"/>
          <w:szCs w:val="32"/>
        </w:rPr>
        <w:t>了符合补助</w:t>
      </w:r>
      <w:r>
        <w:rPr>
          <w:rFonts w:hint="eastAsia" w:ascii="仿宋_GB2312" w:hAnsi="仿宋" w:eastAsia="仿宋_GB2312"/>
          <w:sz w:val="32"/>
          <w:szCs w:val="32"/>
        </w:rPr>
        <w:t>条件</w:t>
      </w:r>
      <w:r>
        <w:rPr>
          <w:rFonts w:ascii="仿宋_GB2312" w:hAnsi="仿宋" w:eastAsia="仿宋_GB2312"/>
          <w:sz w:val="32"/>
          <w:szCs w:val="32"/>
        </w:rPr>
        <w:t>的水源区参保人员</w:t>
      </w:r>
      <w:r>
        <w:rPr>
          <w:rFonts w:hint="eastAsia" w:ascii="仿宋_GB2312" w:hAnsi="仿宋" w:eastAsia="仿宋_GB2312"/>
          <w:sz w:val="32"/>
          <w:szCs w:val="32"/>
        </w:rPr>
        <w:t>100</w:t>
      </w:r>
      <w:r>
        <w:rPr>
          <w:rFonts w:ascii="仿宋_GB2312" w:hAnsi="仿宋" w:eastAsia="仿宋_GB2312"/>
          <w:sz w:val="32"/>
          <w:szCs w:val="32"/>
        </w:rPr>
        <w:t>%享受补助</w:t>
      </w:r>
      <w:r>
        <w:rPr>
          <w:rFonts w:hint="eastAsia" w:ascii="仿宋_GB2312" w:hAnsi="仿宋" w:eastAsia="仿宋_GB2312"/>
          <w:sz w:val="32"/>
          <w:szCs w:val="32"/>
        </w:rPr>
        <w:t>。</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（二）具体绩效分析</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对照绩效评价指标体系逐项进行分析、评价并打分。详见部门整体支出绩效评价共性指标体系框架表。</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五、主要经验做法</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为进一步加强预算绩效管理，强化支出责任，提高财政资金使用效益，我局按照区财政的要求认真组织开展了预算支出绩效自评工作。评价内容主要包括绩效目标的设定情况、资金投入和使用情况、为实现绩效目标制定的制度、采取的措施、绩效目标的实现程度和效果等。</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在接到区财政局关于绩效评价结果的反馈函后，我局积极针对绩效评价中支出的问题，及时制定整改方案、完善管理制度、改进管理措施、增强支出责任、提供管理水平，在规定时间内将整改结果反馈区财政局。</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根据绩效自评的结果，我局将需要整改的情况及时反馈给各业务科室，并督促其整改落实。</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六</w:t>
      </w:r>
      <w:r>
        <w:rPr>
          <w:rFonts w:ascii="黑体" w:hAnsi="黑体" w:eastAsia="黑体" w:cs="Times New Roman"/>
          <w:color w:val="auto"/>
          <w:sz w:val="32"/>
          <w:szCs w:val="32"/>
        </w:rPr>
        <w:t>、</w:t>
      </w:r>
      <w:r>
        <w:rPr>
          <w:rFonts w:hint="eastAsia" w:ascii="黑体" w:hAnsi="黑体" w:eastAsia="黑体" w:cs="Times New Roman"/>
          <w:color w:val="auto"/>
          <w:sz w:val="32"/>
          <w:szCs w:val="32"/>
        </w:rPr>
        <w:t>存在的问题</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（一）存在问题</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1.城乡居民基本养老保险待遇领取水平较低，参保群众满意度不高。</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2.松华坝水源区城乡居民保险缴费补助的实际支付率有</w:t>
      </w:r>
      <w:r>
        <w:rPr>
          <w:rFonts w:hint="eastAsia" w:ascii="仿宋_GB2312" w:hAnsi="黑体" w:eastAsia="仿宋_GB2312" w:cs="Times New Roman"/>
          <w:color w:val="auto"/>
          <w:sz w:val="32"/>
          <w:szCs w:val="32"/>
          <w:lang w:eastAsia="zh-CN"/>
        </w:rPr>
        <w:t>所</w:t>
      </w:r>
      <w:r>
        <w:rPr>
          <w:rFonts w:hint="eastAsia" w:ascii="仿宋_GB2312" w:hAnsi="黑体" w:eastAsia="仿宋_GB2312" w:cs="Times New Roman"/>
          <w:color w:val="auto"/>
          <w:sz w:val="32"/>
          <w:szCs w:val="32"/>
        </w:rPr>
        <w:t>下降。</w:t>
      </w:r>
    </w:p>
    <w:p>
      <w:pPr>
        <w:spacing w:line="560" w:lineRule="exact"/>
        <w:ind w:firstLine="640" w:firstLineChars="200"/>
        <w:jc w:val="left"/>
        <w:rPr>
          <w:rFonts w:ascii="楷体" w:hAnsi="楷体" w:eastAsia="楷体" w:cs="Times New Roman"/>
          <w:color w:val="auto"/>
          <w:sz w:val="32"/>
          <w:szCs w:val="32"/>
        </w:rPr>
      </w:pPr>
      <w:r>
        <w:rPr>
          <w:rFonts w:hint="eastAsia" w:ascii="楷体" w:hAnsi="楷体" w:eastAsia="楷体" w:cs="Times New Roman"/>
          <w:color w:val="auto"/>
          <w:sz w:val="32"/>
          <w:szCs w:val="32"/>
        </w:rPr>
        <w:t>（二）原因分析。</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1. 城乡居民基本养老保险待遇领取水平较低，参保群众满意度不高，截止2020年12月城乡居民基本养老保险人均月领取待遇约150.58元，月领取待遇远远低于职工养老保险待遇，距离群众期待还有很大的距离。</w:t>
      </w:r>
    </w:p>
    <w:p>
      <w:pPr>
        <w:spacing w:line="560" w:lineRule="exact"/>
        <w:ind w:firstLine="640" w:firstLineChars="200"/>
        <w:jc w:val="left"/>
        <w:rPr>
          <w:rFonts w:hint="eastAsia" w:ascii="仿宋_GB2312" w:hAnsi="黑体" w:eastAsia="仿宋_GB2312" w:cs="Times New Roman"/>
          <w:color w:val="auto"/>
          <w:sz w:val="32"/>
          <w:szCs w:val="32"/>
        </w:rPr>
      </w:pPr>
      <w:r>
        <w:rPr>
          <w:rFonts w:hint="eastAsia" w:ascii="仿宋_GB2312" w:hAnsi="黑体" w:eastAsia="仿宋_GB2312" w:cs="Times New Roman"/>
          <w:color w:val="auto"/>
          <w:sz w:val="32"/>
          <w:szCs w:val="32"/>
        </w:rPr>
        <w:t xml:space="preserve"> 2.财政对松华坝水源区城乡居民保险缴费补助率下降，主要原因有：一是城乡居民基本养老保险征缴职能划转税局后，原征缴渠道暂停办理，虽然我单位已经加大宣传力度，但部分参保人未能按照税局的征收渠道缴费成功，导致参保续费率由所下降下降；二是符合参加职工养老保险的灵活就业人员参加职工养老保险，致使享受城乡居民基本养老保险缴费补助率下降；三是水源区的建档立卡、特困低保人员有财政代缴专项资金支出，致使享受水源区缴费补助金额与去年相比有所下降。</w:t>
      </w:r>
    </w:p>
    <w:p>
      <w:pPr>
        <w:spacing w:line="560" w:lineRule="exact"/>
        <w:ind w:firstLine="640" w:firstLineChars="200"/>
        <w:jc w:val="left"/>
        <w:rPr>
          <w:rFonts w:ascii="黑体" w:hAnsi="黑体" w:eastAsia="黑体" w:cs="Times New Roman"/>
          <w:color w:val="auto"/>
          <w:sz w:val="32"/>
          <w:szCs w:val="32"/>
        </w:rPr>
      </w:pPr>
      <w:r>
        <w:rPr>
          <w:rFonts w:hint="eastAsia" w:ascii="黑体" w:hAnsi="黑体" w:eastAsia="黑体" w:cs="Times New Roman"/>
          <w:color w:val="auto"/>
          <w:sz w:val="32"/>
          <w:szCs w:val="32"/>
        </w:rPr>
        <w:t>七、改进措施及建议</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在对绩效跟踪过程中发现的主要问题是城乡居民基本养老保险待遇领取水平较低，参保群众满意度不高；松华坝水源区城乡居民保险缴费补助率下降。针对以上主要问题制定如下整改措施：</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1.</w:t>
      </w:r>
      <w:r>
        <w:rPr>
          <w:rFonts w:hint="eastAsia" w:ascii="仿宋_GB2312" w:hAnsi="黑体" w:eastAsia="仿宋_GB2312" w:cs="Times New Roman"/>
          <w:color w:val="auto"/>
          <w:sz w:val="32"/>
          <w:szCs w:val="32"/>
        </w:rPr>
        <w:t>在202</w:t>
      </w:r>
      <w:r>
        <w:rPr>
          <w:rFonts w:hint="eastAsia" w:ascii="仿宋_GB2312" w:hAnsi="黑体" w:eastAsia="仿宋_GB2312" w:cs="Times New Roman"/>
          <w:color w:val="auto"/>
          <w:sz w:val="32"/>
          <w:szCs w:val="32"/>
          <w:lang w:val="en-US" w:eastAsia="zh-CN"/>
        </w:rPr>
        <w:t>1</w:t>
      </w:r>
      <w:r>
        <w:rPr>
          <w:rFonts w:hint="eastAsia" w:ascii="仿宋_GB2312" w:hAnsi="黑体" w:eastAsia="仿宋_GB2312" w:cs="Times New Roman"/>
          <w:color w:val="auto"/>
          <w:sz w:val="32"/>
          <w:szCs w:val="32"/>
        </w:rPr>
        <w:t>年初召开业务经办培训会议，</w:t>
      </w:r>
      <w:r>
        <w:rPr>
          <w:rFonts w:ascii="仿宋_GB2312" w:hAnsi="黑体" w:eastAsia="仿宋_GB2312" w:cs="Times New Roman"/>
          <w:color w:val="auto"/>
          <w:sz w:val="32"/>
          <w:szCs w:val="32"/>
        </w:rPr>
        <w:t>将社区工作人员纳入培训范围，逐步加大政策的普及和宣传力度。</w:t>
      </w:r>
    </w:p>
    <w:p>
      <w:pPr>
        <w:spacing w:line="560" w:lineRule="exact"/>
        <w:ind w:firstLine="640" w:firstLineChars="200"/>
        <w:jc w:val="left"/>
        <w:rPr>
          <w:rFonts w:ascii="仿宋_GB2312" w:hAnsi="黑体" w:eastAsia="仿宋_GB2312" w:cs="Times New Roman"/>
          <w:color w:val="auto"/>
          <w:sz w:val="32"/>
          <w:szCs w:val="32"/>
        </w:rPr>
      </w:pPr>
      <w:r>
        <w:rPr>
          <w:rFonts w:hint="eastAsia" w:ascii="仿宋_GB2312" w:hAnsi="黑体" w:eastAsia="仿宋_GB2312" w:cs="Times New Roman"/>
          <w:color w:val="auto"/>
          <w:sz w:val="32"/>
          <w:szCs w:val="32"/>
        </w:rPr>
        <w:t>2.加大参保缴费</w:t>
      </w:r>
      <w:r>
        <w:rPr>
          <w:rFonts w:hint="eastAsia" w:ascii="仿宋_GB2312" w:hAnsi="黑体" w:eastAsia="仿宋_GB2312" w:cs="Times New Roman"/>
          <w:color w:val="auto"/>
          <w:sz w:val="32"/>
          <w:szCs w:val="32"/>
          <w:lang w:eastAsia="zh-CN"/>
        </w:rPr>
        <w:t>及水源区缴费补贴</w:t>
      </w:r>
      <w:r>
        <w:rPr>
          <w:rFonts w:hint="eastAsia" w:ascii="仿宋_GB2312" w:hAnsi="黑体" w:eastAsia="仿宋_GB2312" w:cs="Times New Roman"/>
          <w:color w:val="auto"/>
          <w:sz w:val="32"/>
          <w:szCs w:val="32"/>
        </w:rPr>
        <w:t>宣传力度，积极与税局、财政对账，保障参保人及时享受缴费补贴、领取养老待遇。</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3.</w:t>
      </w:r>
      <w:r>
        <w:rPr>
          <w:rFonts w:hint="eastAsia" w:ascii="仿宋_GB2312" w:hAnsi="黑体" w:eastAsia="仿宋_GB2312" w:cs="Times New Roman"/>
          <w:color w:val="auto"/>
          <w:sz w:val="32"/>
          <w:szCs w:val="32"/>
        </w:rPr>
        <w:t>积极向上级反映业务经办过程中遇到的困难和问题，寻求政策和技术上的支持。</w:t>
      </w:r>
    </w:p>
    <w:p>
      <w:pPr>
        <w:spacing w:line="560" w:lineRule="exact"/>
        <w:ind w:firstLine="640" w:firstLineChars="200"/>
        <w:jc w:val="left"/>
        <w:rPr>
          <w:rFonts w:ascii="仿宋_GB2312" w:hAnsi="黑体" w:eastAsia="仿宋_GB2312" w:cs="Times New Roman"/>
          <w:color w:val="auto"/>
          <w:sz w:val="32"/>
          <w:szCs w:val="32"/>
        </w:rPr>
      </w:pPr>
      <w:r>
        <w:rPr>
          <w:rFonts w:ascii="仿宋_GB2312" w:hAnsi="黑体" w:eastAsia="仿宋_GB2312" w:cs="Times New Roman"/>
          <w:color w:val="auto"/>
          <w:sz w:val="32"/>
          <w:szCs w:val="32"/>
        </w:rPr>
        <w:t>4.</w:t>
      </w:r>
      <w:r>
        <w:rPr>
          <w:rFonts w:hint="eastAsia" w:ascii="仿宋_GB2312" w:hAnsi="黑体" w:eastAsia="仿宋_GB2312" w:cs="Times New Roman"/>
          <w:color w:val="auto"/>
          <w:sz w:val="32"/>
          <w:szCs w:val="32"/>
        </w:rPr>
        <w:t>建立城乡居民基本养老保险待遇确定和基础养老金正常调整机制的实施方案，逐步提高城乡居民社会养老保险待遇水平，提高参保群众满意度。</w:t>
      </w:r>
    </w:p>
    <w:p>
      <w:pPr>
        <w:spacing w:line="560" w:lineRule="exact"/>
        <w:ind w:firstLine="640" w:firstLineChars="200"/>
        <w:jc w:val="left"/>
        <w:rPr>
          <w:rFonts w:ascii="仿宋_GB2312" w:hAnsi="黑体" w:eastAsia="仿宋_GB2312" w:cs="Times New Roman"/>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 PAGE   \* MERGEFORMAT </w:instrText>
    </w:r>
    <w:r>
      <w:fldChar w:fldCharType="separate"/>
    </w:r>
    <w:r>
      <w:rPr>
        <w:lang w:val="zh-CN"/>
      </w:rPr>
      <w:t>11</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E2678C"/>
    <w:multiLevelType w:val="multilevel"/>
    <w:tmpl w:val="35E2678C"/>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41552132"/>
    <w:multiLevelType w:val="multilevel"/>
    <w:tmpl w:val="41552132"/>
    <w:lvl w:ilvl="0" w:tentative="0">
      <w:start w:val="1"/>
      <w:numFmt w:val="japaneseCounting"/>
      <w:lvlText w:val="%1、"/>
      <w:lvlJc w:val="left"/>
      <w:pPr>
        <w:ind w:left="945" w:hanging="4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DD"/>
    <w:rsid w:val="00044DE9"/>
    <w:rsid w:val="00067BB4"/>
    <w:rsid w:val="001047F3"/>
    <w:rsid w:val="0010491C"/>
    <w:rsid w:val="00154268"/>
    <w:rsid w:val="001E1A3F"/>
    <w:rsid w:val="001E2B39"/>
    <w:rsid w:val="00213C2C"/>
    <w:rsid w:val="002156B6"/>
    <w:rsid w:val="002268AE"/>
    <w:rsid w:val="0024635A"/>
    <w:rsid w:val="002B0086"/>
    <w:rsid w:val="002D1F8E"/>
    <w:rsid w:val="002D6E73"/>
    <w:rsid w:val="002F024E"/>
    <w:rsid w:val="003F394D"/>
    <w:rsid w:val="004238F6"/>
    <w:rsid w:val="00450583"/>
    <w:rsid w:val="004A4F7C"/>
    <w:rsid w:val="00507EF5"/>
    <w:rsid w:val="00521788"/>
    <w:rsid w:val="00541E5E"/>
    <w:rsid w:val="00555868"/>
    <w:rsid w:val="0056643C"/>
    <w:rsid w:val="005A1069"/>
    <w:rsid w:val="005E00C5"/>
    <w:rsid w:val="00654A45"/>
    <w:rsid w:val="00674CCB"/>
    <w:rsid w:val="00681D77"/>
    <w:rsid w:val="006857A1"/>
    <w:rsid w:val="007A3B85"/>
    <w:rsid w:val="00812C96"/>
    <w:rsid w:val="00834BDD"/>
    <w:rsid w:val="00882B97"/>
    <w:rsid w:val="008A249B"/>
    <w:rsid w:val="008F10B4"/>
    <w:rsid w:val="00906833"/>
    <w:rsid w:val="00910C67"/>
    <w:rsid w:val="00925B04"/>
    <w:rsid w:val="0095033F"/>
    <w:rsid w:val="00970149"/>
    <w:rsid w:val="009870E0"/>
    <w:rsid w:val="009D1C6C"/>
    <w:rsid w:val="00A27C10"/>
    <w:rsid w:val="00A910AC"/>
    <w:rsid w:val="00A92437"/>
    <w:rsid w:val="00A9769B"/>
    <w:rsid w:val="00AB3DEF"/>
    <w:rsid w:val="00AC4A2D"/>
    <w:rsid w:val="00AD2A55"/>
    <w:rsid w:val="00B570C3"/>
    <w:rsid w:val="00B743F1"/>
    <w:rsid w:val="00BB24E3"/>
    <w:rsid w:val="00C50B3B"/>
    <w:rsid w:val="00C82F3C"/>
    <w:rsid w:val="00CA4C32"/>
    <w:rsid w:val="00CE6D87"/>
    <w:rsid w:val="00CE7B22"/>
    <w:rsid w:val="00D11E50"/>
    <w:rsid w:val="00D81210"/>
    <w:rsid w:val="00D96135"/>
    <w:rsid w:val="00DF02EC"/>
    <w:rsid w:val="00E42B80"/>
    <w:rsid w:val="00F012EC"/>
    <w:rsid w:val="00F2241A"/>
    <w:rsid w:val="00F8309E"/>
    <w:rsid w:val="00FD4767"/>
    <w:rsid w:val="06F02D69"/>
    <w:rsid w:val="0AEF05BE"/>
    <w:rsid w:val="0D872318"/>
    <w:rsid w:val="13E1587A"/>
    <w:rsid w:val="17EB154C"/>
    <w:rsid w:val="1B6F7B10"/>
    <w:rsid w:val="1DD27609"/>
    <w:rsid w:val="224F36C4"/>
    <w:rsid w:val="25444092"/>
    <w:rsid w:val="28390457"/>
    <w:rsid w:val="299F591B"/>
    <w:rsid w:val="32554D87"/>
    <w:rsid w:val="35E87C85"/>
    <w:rsid w:val="364951DA"/>
    <w:rsid w:val="3B043D55"/>
    <w:rsid w:val="3C294147"/>
    <w:rsid w:val="413A5782"/>
    <w:rsid w:val="4154030E"/>
    <w:rsid w:val="46C324E6"/>
    <w:rsid w:val="4A365D69"/>
    <w:rsid w:val="4B06001C"/>
    <w:rsid w:val="54D06403"/>
    <w:rsid w:val="58DD1856"/>
    <w:rsid w:val="5DFC6319"/>
    <w:rsid w:val="5EB21892"/>
    <w:rsid w:val="6B3671DD"/>
    <w:rsid w:val="771279B8"/>
    <w:rsid w:val="7A492C40"/>
    <w:rsid w:val="7B7E5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 w:type="paragraph" w:customStyle="1" w:styleId="9">
    <w:name w:val="列出段落1"/>
    <w:basedOn w:val="1"/>
    <w:qFormat/>
    <w:uiPriority w:val="0"/>
    <w:pPr>
      <w:ind w:firstLine="420" w:firstLineChars="200"/>
    </w:pPr>
    <w:rPr>
      <w:rFonts w:ascii="Times New Roman" w:hAnsi="Times New Roman" w:eastAsia="宋体" w:cs="Calibri"/>
      <w:szCs w:val="21"/>
    </w:rPr>
  </w:style>
  <w:style w:type="paragraph" w:customStyle="1" w:styleId="10">
    <w:name w:val="无间隔1"/>
    <w:unhideWhenUsed/>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8D8CC-ED55-4AFE-B43C-1CCCC8DEF733}">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18</Pages>
  <Words>1298</Words>
  <Characters>7402</Characters>
  <Lines>61</Lines>
  <Paragraphs>17</Paragraphs>
  <TotalTime>5</TotalTime>
  <ScaleCrop>false</ScaleCrop>
  <LinksUpToDate>false</LinksUpToDate>
  <CharactersWithSpaces>8683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2019-04-16T06:42:00Z</dcterms:created>
  <dc:creator>雨林木风</dc:creator>
  <cp:lastModifiedBy>Administrator</cp:lastModifiedBy>
  <cp:lastPrinted>2021-06-03T06:20:00Z</cp:lastPrinted>
  <dcterms:modified xsi:type="dcterms:W3CDTF">2021-06-03T07:23:55Z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B2B3F69668174F6A804CEAD94565D888</vt:lpwstr>
  </property>
</Properties>
</file>