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hAnsi="Calibri" w:eastAsia="方正小标宋_GBK" w:cs="Times New Roman"/>
          <w:sz w:val="28"/>
          <w:szCs w:val="28"/>
        </w:rPr>
      </w:pPr>
      <w:r>
        <w:rPr>
          <w:rFonts w:hint="eastAsia" w:ascii="方正小标宋_GBK" w:hAnsi="Calibri" w:eastAsia="方正小标宋_GBK" w:cs="Times New Roman"/>
          <w:sz w:val="28"/>
          <w:szCs w:val="28"/>
        </w:rPr>
        <w:t>附件5：项目支出绩效评价报告（范本）</w:t>
      </w:r>
    </w:p>
    <w:p>
      <w:pPr>
        <w:spacing w:before="120" w:after="120" w:line="480" w:lineRule="auto"/>
        <w:jc w:val="center"/>
        <w:rPr>
          <w:rFonts w:ascii="Times New Roman" w:hAnsi="Times New Roman" w:eastAsia="黑体" w:cs="Times New Roman"/>
          <w:b/>
          <w:bCs/>
          <w:sz w:val="52"/>
          <w:szCs w:val="52"/>
        </w:rPr>
      </w:pPr>
    </w:p>
    <w:p>
      <w:pPr>
        <w:jc w:val="center"/>
        <w:rPr>
          <w:rFonts w:hint="eastAsia" w:ascii="黑体" w:hAnsi="黑体" w:eastAsia="黑体" w:cs="黑体"/>
          <w:bCs/>
          <w:sz w:val="52"/>
          <w:szCs w:val="52"/>
        </w:rPr>
      </w:pPr>
      <w:r>
        <w:rPr>
          <w:rFonts w:hint="eastAsia" w:ascii="黑体" w:hAnsi="黑体" w:eastAsia="黑体" w:cs="黑体"/>
          <w:bCs/>
          <w:sz w:val="52"/>
          <w:szCs w:val="52"/>
        </w:rPr>
        <w:t>城乡居民基本养老保险补助</w:t>
      </w:r>
    </w:p>
    <w:p>
      <w:pPr>
        <w:jc w:val="center"/>
        <w:rPr>
          <w:rFonts w:ascii="黑体" w:hAnsi="黑体" w:eastAsia="黑体" w:cs="黑体"/>
          <w:bCs/>
          <w:sz w:val="52"/>
          <w:szCs w:val="52"/>
        </w:rPr>
      </w:pPr>
      <w:r>
        <w:rPr>
          <w:rFonts w:hint="eastAsia" w:ascii="黑体" w:hAnsi="黑体" w:eastAsia="黑体" w:cs="黑体"/>
          <w:bCs/>
          <w:sz w:val="52"/>
          <w:szCs w:val="52"/>
        </w:rPr>
        <w:t>项目支出绩效自评报告</w:t>
      </w:r>
    </w:p>
    <w:p>
      <w:pPr>
        <w:ind w:firstLine="2080" w:firstLineChars="400"/>
        <w:jc w:val="both"/>
        <w:rPr>
          <w:rFonts w:ascii="黑体" w:hAnsi="黑体" w:eastAsia="黑体" w:cs="Times New Roman"/>
          <w:bCs/>
          <w:sz w:val="52"/>
          <w:szCs w:val="52"/>
        </w:rPr>
      </w:pPr>
      <w:r>
        <w:rPr>
          <w:rFonts w:hint="eastAsia" w:ascii="黑体" w:hAnsi="黑体" w:eastAsia="黑体" w:cs="黑体"/>
          <w:bCs/>
          <w:sz w:val="52"/>
          <w:szCs w:val="52"/>
        </w:rPr>
        <w:t>（20</w:t>
      </w:r>
      <w:r>
        <w:rPr>
          <w:rFonts w:hint="eastAsia" w:ascii="黑体" w:hAnsi="黑体" w:eastAsia="黑体" w:cs="黑体"/>
          <w:bCs/>
          <w:sz w:val="52"/>
          <w:szCs w:val="52"/>
          <w:lang w:val="en-US" w:eastAsia="zh-CN"/>
        </w:rPr>
        <w:t>20</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cs="Times New Roman"/>
          <w:b/>
          <w:bCs/>
          <w:sz w:val="52"/>
          <w:szCs w:val="52"/>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黑体" w:cs="Times New Roman"/>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9525" t="10160" r="9525" b="889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XqXKDXAAAACQEAAA8AAAAAAAAAAQAgAAAAIgAAAGRycy9kb3ducmV2LnhtbFBLAQIU&#10;ABQAAAAIAIdO4kC7vP65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部门名称（公章）：昆明市盘龙区城乡居民社会养老保险局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9525" t="10160" r="9525" b="889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xhF2DXAAAACQEAAA8AAAAAAAAAAQAgAAAAIgAAAGRycy9kb3ducmV2LnhtbFBLAQIU&#10;ABQAAAAIAIdO4kCVgI3h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项目单位：昆明市盘龙区城乡居民社会养老保险局</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9525" t="10160" r="9525" b="889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0IL+71wAAAAkBAAAPAAAAAAAAAAEAIAAAACIAAABkcnMvZG93bnJldi54bWxQSwEC&#10;FAAUAAAACACHTuJAHjKls/UBAAC+AwAADgAAAAAAAAABACAAAAAm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rPr>
        <w:t>昆明市盘龙区人力资源和社会保障局</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9525" t="13335" r="9525" b="5715"/>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Qgv7vXAAAACQEAAA8AAAAAAAAAAQAgAAAAIgAAAGRycy9kb3ducmV2LnhtbFBLAQIU&#10;ABQAAAAIAIdO4kAwDtbr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rPr>
        <w:t>城乡居民基本养老保险补助</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9525" t="6985" r="9525" b="12065"/>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tCC/u9cAAAAJAQAADwAAAAAAAAABACAAAAAiAAAAZHJzL2Rvd25yZXYueG1sUEsBAhQA&#10;FAAAAAgAh07iQEJKQwPzAQAAvgMAAA4AAAAAAAAAAQAgAAAAJgEAAGRycy9lMm9Eb2MueG1sUEsF&#10;BgAAAAAGAAYAWQEAAIs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rPr>
        <w:t>202</w:t>
      </w:r>
      <w:r>
        <w:rPr>
          <w:rFonts w:hint="eastAsia" w:ascii="Times New Roman" w:hAnsi="Times New Roman" w:eastAsia="黑体" w:cs="Times New Roman"/>
          <w:b/>
          <w:bCs/>
          <w:sz w:val="28"/>
          <w:szCs w:val="28"/>
          <w:lang w:val="en-US" w:eastAsia="zh-CN"/>
        </w:rPr>
        <w:t>1</w:t>
      </w:r>
      <w:r>
        <w:rPr>
          <w:rFonts w:hint="eastAsia" w:ascii="Times New Roman" w:hAnsi="Times New Roman" w:eastAsia="黑体" w:cs="Times New Roman"/>
          <w:b/>
          <w:bCs/>
          <w:sz w:val="28"/>
          <w:szCs w:val="28"/>
        </w:rPr>
        <w:t>-5-</w:t>
      </w:r>
      <w:r>
        <w:rPr>
          <w:rFonts w:hint="eastAsia" w:ascii="Times New Roman" w:hAnsi="Times New Roman" w:eastAsia="黑体" w:cs="Times New Roman"/>
          <w:b/>
          <w:bCs/>
          <w:sz w:val="28"/>
          <w:szCs w:val="28"/>
          <w:lang w:val="en-US" w:eastAsia="zh-CN"/>
        </w:rPr>
        <w:t>26</w:t>
      </w:r>
    </w:p>
    <w:p>
      <w:pPr>
        <w:spacing w:line="360" w:lineRule="auto"/>
        <w:ind w:left="1218" w:leftChars="580"/>
        <w:rPr>
          <w:rFonts w:ascii="Times New Roman" w:hAnsi="Times New Roman" w:eastAsia="黑体" w:cs="Times New Roman"/>
          <w:b/>
          <w:bCs/>
          <w:sz w:val="28"/>
          <w:szCs w:val="28"/>
        </w:rPr>
      </w:pPr>
    </w:p>
    <w:p>
      <w:pPr>
        <w:spacing w:line="360" w:lineRule="auto"/>
        <w:ind w:left="1218" w:leftChars="580"/>
        <w:rPr>
          <w:rFonts w:ascii="Times New Roman" w:hAnsi="Times New Roman" w:eastAsia="黑体" w:cs="Times New Roman"/>
          <w:b/>
          <w:bCs/>
          <w:sz w:val="28"/>
          <w:szCs w:val="28"/>
        </w:rPr>
      </w:pPr>
    </w:p>
    <w:p>
      <w:pPr>
        <w:jc w:val="center"/>
        <w:rPr>
          <w:rFonts w:ascii="Times New Roman" w:hAnsi="Times New Roman" w:eastAsia="黑体" w:cs="黑体"/>
          <w:b/>
          <w:bCs/>
          <w:sz w:val="28"/>
          <w:szCs w:val="28"/>
        </w:rPr>
      </w:pPr>
      <w:r>
        <w:rPr>
          <w:rFonts w:ascii="Times New Roman" w:hAnsi="Times New Roman" w:eastAsia="黑体" w:cs="Times New Roman"/>
          <w:b/>
          <w:bCs/>
          <w:sz w:val="28"/>
          <w:szCs w:val="28"/>
        </w:rPr>
        <w:t>20</w:t>
      </w:r>
      <w:r>
        <w:rPr>
          <w:rFonts w:hint="eastAsia" w:ascii="Times New Roman" w:hAnsi="Times New Roman" w:eastAsia="黑体" w:cs="Times New Roman"/>
          <w:b/>
          <w:bCs/>
          <w:sz w:val="28"/>
          <w:szCs w:val="28"/>
        </w:rPr>
        <w:t>2</w:t>
      </w:r>
      <w:r>
        <w:rPr>
          <w:rFonts w:hint="eastAsia" w:ascii="Times New Roman" w:hAnsi="Times New Roman" w:eastAsia="黑体" w:cs="Times New Roman"/>
          <w:b/>
          <w:bCs/>
          <w:sz w:val="28"/>
          <w:szCs w:val="28"/>
          <w:lang w:val="en-US" w:eastAsia="zh-CN"/>
        </w:rPr>
        <w:t>1</w:t>
      </w:r>
      <w:r>
        <w:rPr>
          <w:rFonts w:hint="eastAsia" w:ascii="Times New Roman" w:hAnsi="Times New Roman" w:eastAsia="黑体" w:cs="黑体"/>
          <w:b/>
          <w:bCs/>
          <w:sz w:val="28"/>
          <w:szCs w:val="28"/>
        </w:rPr>
        <w:t>年</w:t>
      </w:r>
      <w:r>
        <w:rPr>
          <w:rFonts w:hint="eastAsia" w:ascii="Times New Roman" w:hAnsi="Times New Roman" w:eastAsia="黑体" w:cs="Times New Roman"/>
          <w:b/>
          <w:bCs/>
          <w:sz w:val="28"/>
          <w:szCs w:val="28"/>
        </w:rPr>
        <w:t>05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cs="Times New Roman"/>
          <w:b/>
          <w:bCs/>
          <w:sz w:val="28"/>
          <w:szCs w:val="28"/>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p>
    <w:p>
      <w:pPr>
        <w:spacing w:line="360" w:lineRule="auto"/>
        <w:ind w:left="420" w:leftChars="200"/>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4"/>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621"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621"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组长</w:t>
            </w:r>
          </w:p>
        </w:tc>
        <w:tc>
          <w:tcPr>
            <w:tcW w:w="1620" w:type="dxa"/>
            <w:vAlign w:val="top"/>
          </w:tcPr>
          <w:p>
            <w:pPr>
              <w:spacing w:line="360" w:lineRule="auto"/>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eastAsia="zh-CN"/>
              </w:rPr>
              <w:t>施镜美</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局长</w:t>
            </w:r>
          </w:p>
        </w:tc>
        <w:tc>
          <w:tcPr>
            <w:tcW w:w="1621" w:type="dxa"/>
            <w:vAlign w:val="top"/>
          </w:tcPr>
          <w:p>
            <w:pPr>
              <w:rPr>
                <w:rFonts w:ascii="Times New Roman" w:hAnsi="Times New Roman" w:eastAsia="黑体" w:cs="黑体"/>
                <w:color w:val="000000"/>
                <w:sz w:val="24"/>
                <w:szCs w:val="24"/>
                <w:u w:color="000000"/>
                <w:lang w:val="zh-TW" w:eastAsia="zh-TW"/>
              </w:rPr>
            </w:pPr>
          </w:p>
        </w:tc>
        <w:tc>
          <w:tcPr>
            <w:tcW w:w="1621" w:type="dxa"/>
          </w:tcPr>
          <w:p>
            <w:pPr>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刘荣</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1621" w:type="dxa"/>
            <w:vAlign w:val="top"/>
          </w:tcPr>
          <w:p>
            <w:pPr>
              <w:spacing w:line="360" w:lineRule="auto"/>
              <w:rPr>
                <w:rFonts w:ascii="Times New Roman" w:hAnsi="Times New Roman" w:eastAsia="黑体" w:cs="黑体"/>
                <w:color w:val="000000"/>
                <w:sz w:val="24"/>
                <w:szCs w:val="24"/>
                <w:u w:color="000000"/>
                <w:lang w:val="zh-TW" w:eastAsia="zh-TW"/>
              </w:rPr>
            </w:pP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陈蕾</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办公室主任</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kern w:val="2"/>
                <w:sz w:val="24"/>
                <w:szCs w:val="24"/>
                <w:u w:color="000000"/>
                <w:lang w:val="en-US" w:eastAsia="zh-CN" w:bidi="ar-SA"/>
              </w:rPr>
              <w:t>刘娜</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稽核科科长</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稽核科</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en-US" w:eastAsia="zh-CN"/>
              </w:rPr>
              <w:t>王红云</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业务科科长</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业务科</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en-US" w:eastAsia="zh-CN"/>
              </w:rPr>
              <w:t>洪玉莲</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财务科科长</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right"/>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right"/>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spacing w:line="360" w:lineRule="auto"/>
        <w:ind w:firstLine="566" w:firstLineChars="236"/>
        <w:rPr>
          <w:rFonts w:ascii="Times New Roman" w:hAnsi="Times New Roman" w:eastAsia="PMingLiU" w:cs="Times New Roman"/>
          <w:color w:val="000000"/>
          <w:sz w:val="24"/>
          <w:szCs w:val="24"/>
          <w:u w:color="000000"/>
          <w:lang w:val="zh-TW" w:eastAsia="zh-TW"/>
        </w:rPr>
      </w:pPr>
    </w:p>
    <w:p>
      <w:pPr>
        <w:spacing w:line="360" w:lineRule="auto"/>
        <w:ind w:firstLine="566" w:firstLineChars="236"/>
        <w:rPr>
          <w:rFonts w:ascii="Times New Roman" w:hAnsi="Times New Roman" w:eastAsia="PMingLiU" w:cs="Times New Roman"/>
          <w:color w:val="000000"/>
          <w:sz w:val="24"/>
          <w:szCs w:val="24"/>
          <w:u w:color="000000"/>
          <w:lang w:val="zh-TW" w:eastAsia="zh-TW"/>
        </w:rPr>
      </w:pPr>
    </w:p>
    <w:p>
      <w:pPr>
        <w:spacing w:line="360" w:lineRule="auto"/>
        <w:rPr>
          <w:rFonts w:ascii="Times New Roman" w:hAnsi="Times New Roman" w:eastAsia="宋体" w:cs="Times New Roman"/>
          <w:color w:val="000000"/>
          <w:sz w:val="24"/>
          <w:szCs w:val="24"/>
          <w:u w:color="000000"/>
          <w:lang w:val="zh-TW"/>
        </w:rPr>
        <w:sectPr>
          <w:pgSz w:w="11906" w:h="16838"/>
          <w:pgMar w:top="1440" w:right="1800" w:bottom="1440" w:left="1800" w:header="851" w:footer="992" w:gutter="0"/>
          <w:cols w:space="425" w:num="1"/>
          <w:docGrid w:type="lines" w:linePitch="312" w:charSpace="0"/>
        </w:sectPr>
      </w:pPr>
    </w:p>
    <w:p>
      <w:pPr>
        <w:keepNext/>
        <w:keepLines/>
        <w:widowControl/>
        <w:spacing w:before="480" w:line="276" w:lineRule="auto"/>
        <w:jc w:val="center"/>
        <w:rPr>
          <w:rFonts w:ascii="Times New Roman" w:hAnsi="Times New Roman" w:eastAsia="宋体" w:cs="Times New Roman"/>
          <w:b/>
          <w:bCs/>
          <w:kern w:val="0"/>
          <w:sz w:val="28"/>
          <w:szCs w:val="28"/>
          <w:lang w:val="zh-CN" w:eastAsia="zh-CN"/>
        </w:rPr>
      </w:pPr>
      <w:r>
        <w:rPr>
          <w:rFonts w:hint="eastAsia" w:ascii="Times New Roman" w:hAnsi="Times New Roman" w:eastAsia="宋体" w:cs="宋体"/>
          <w:b/>
          <w:bCs/>
          <w:kern w:val="0"/>
          <w:sz w:val="28"/>
          <w:szCs w:val="28"/>
          <w:lang w:val="zh-CN" w:eastAsia="zh-CN"/>
        </w:rPr>
        <w:t>目录</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摘要</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 项目基本情况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（一）项目立项背景</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（二）项目立项依据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（三）项目实施内容</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（四）项目实施计划及完成情况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（五）项目的组织及管理</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（六）项目绩效目标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二、绩效评价工作情况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(一)评价的目的和依据</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(二)绩效评价工作方案制定过程</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(三)绩效评价原则、评价方法等</w:t>
      </w:r>
      <w:r>
        <w:rPr>
          <w:rFonts w:hint="eastAsia" w:ascii="黑体" w:hAnsi="黑体" w:eastAsia="黑体" w:cs="Times New Roman"/>
          <w:sz w:val="22"/>
          <w:szCs w:val="32"/>
        </w:rPr>
        <w:tab/>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(四)绩效评价实施过程</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(五)绩效评价的局限性</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三、评价结论及绩效分析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(一)评价结论</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(二)绩效分析</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四、项目主要经验及做法、存在的问题和建议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(一)主要经验及做法</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(二)存在的问题</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(三)建议和改进措施 </w:t>
      </w:r>
    </w:p>
    <w:p>
      <w:pPr>
        <w:spacing w:line="440" w:lineRule="exact"/>
        <w:ind w:firstLine="420" w:firstLineChars="200"/>
        <w:jc w:val="left"/>
        <w:rPr>
          <w:rFonts w:ascii="黑体" w:hAnsi="黑体" w:eastAsia="黑体" w:cs="Times New Roman"/>
          <w:szCs w:val="32"/>
        </w:rPr>
      </w:pPr>
      <w:r>
        <w:rPr>
          <w:rFonts w:hint="eastAsia" w:ascii="黑体" w:hAnsi="黑体" w:eastAsia="黑体" w:cs="Times New Roman"/>
          <w:szCs w:val="32"/>
        </w:rPr>
        <w:t>五、附件</w:t>
      </w:r>
      <w:r>
        <w:rPr>
          <w:rFonts w:hint="eastAsia" w:ascii="黑体" w:hAnsi="黑体" w:eastAsia="黑体" w:cs="Times New Roman"/>
          <w:szCs w:val="32"/>
        </w:rPr>
        <w:tab/>
      </w:r>
      <w:r>
        <w:rPr>
          <w:rFonts w:hint="eastAsia" w:ascii="黑体" w:hAnsi="黑体" w:eastAsia="黑体" w:cs="Times New Roman"/>
          <w:szCs w:val="32"/>
        </w:rPr>
        <w:t xml:space="preserve"> </w:t>
      </w:r>
    </w:p>
    <w:p>
      <w:pPr>
        <w:spacing w:line="440" w:lineRule="exact"/>
        <w:ind w:firstLine="420" w:firstLineChars="200"/>
        <w:jc w:val="left"/>
        <w:rPr>
          <w:rFonts w:ascii="黑体" w:hAnsi="黑体" w:eastAsia="黑体" w:cs="Times New Roman"/>
          <w:szCs w:val="32"/>
        </w:rPr>
      </w:pPr>
      <w:r>
        <w:rPr>
          <w:rFonts w:hint="eastAsia" w:ascii="黑体" w:hAnsi="黑体" w:eastAsia="黑体" w:cs="Times New Roman"/>
          <w:szCs w:val="32"/>
        </w:rPr>
        <w:t>附件一：项目支出绩效评价共性指标体系框架</w:t>
      </w:r>
      <w:r>
        <w:rPr>
          <w:rFonts w:hint="eastAsia" w:ascii="黑体" w:hAnsi="黑体" w:eastAsia="黑体" w:cs="Times New Roman"/>
          <w:szCs w:val="32"/>
        </w:rPr>
        <w:tab/>
      </w:r>
      <w:r>
        <w:rPr>
          <w:rFonts w:hint="eastAsia" w:ascii="黑体" w:hAnsi="黑体" w:eastAsia="黑体" w:cs="Times New Roman"/>
          <w:szCs w:val="32"/>
        </w:rPr>
        <w:t xml:space="preserve"> </w:t>
      </w:r>
    </w:p>
    <w:p>
      <w:pPr>
        <w:spacing w:line="440" w:lineRule="exact"/>
        <w:ind w:firstLine="420" w:firstLineChars="200"/>
        <w:jc w:val="left"/>
        <w:rPr>
          <w:rFonts w:ascii="黑体" w:hAnsi="黑体" w:eastAsia="黑体" w:cs="Times New Roman"/>
          <w:szCs w:val="32"/>
        </w:rPr>
      </w:pPr>
      <w:r>
        <w:rPr>
          <w:rFonts w:hint="eastAsia" w:ascii="黑体" w:hAnsi="黑体" w:eastAsia="黑体" w:cs="Times New Roman"/>
          <w:szCs w:val="32"/>
        </w:rPr>
        <w:t>附件二：项目申报表</w:t>
      </w:r>
      <w:r>
        <w:rPr>
          <w:rFonts w:hint="eastAsia" w:ascii="黑体" w:hAnsi="黑体" w:eastAsia="黑体" w:cs="Times New Roman"/>
          <w:szCs w:val="32"/>
        </w:rPr>
        <w:tab/>
      </w:r>
      <w:r>
        <w:rPr>
          <w:rFonts w:hint="eastAsia" w:ascii="黑体" w:hAnsi="黑体" w:eastAsia="黑体" w:cs="Times New Roman"/>
          <w:szCs w:val="32"/>
        </w:rPr>
        <w:t xml:space="preserve"> </w:t>
      </w:r>
    </w:p>
    <w:p>
      <w:pPr>
        <w:spacing w:line="540" w:lineRule="exact"/>
        <w:rPr>
          <w:rFonts w:ascii="方正小标宋_GBK" w:hAnsi="黑体" w:eastAsia="方正小标宋_GBK" w:cs="Times New Roman"/>
          <w:szCs w:val="32"/>
        </w:rPr>
      </w:pPr>
    </w:p>
    <w:p>
      <w:pPr>
        <w:spacing w:line="440" w:lineRule="exact"/>
        <w:ind w:firstLine="420" w:firstLineChars="200"/>
        <w:jc w:val="left"/>
        <w:rPr>
          <w:rFonts w:ascii="黑体" w:hAnsi="黑体" w:eastAsia="黑体" w:cs="Times New Roman"/>
          <w:szCs w:val="32"/>
        </w:rPr>
      </w:pPr>
      <w:r>
        <w:rPr>
          <w:rFonts w:hint="eastAsia" w:ascii="黑体" w:hAnsi="黑体" w:eastAsia="黑体" w:cs="Times New Roman"/>
          <w:szCs w:val="32"/>
        </w:rPr>
        <w:tab/>
      </w:r>
      <w:r>
        <w:rPr>
          <w:rFonts w:hint="eastAsia" w:ascii="黑体" w:hAnsi="黑体" w:eastAsia="黑体" w:cs="Times New Roman"/>
          <w:szCs w:val="32"/>
        </w:rPr>
        <w:t xml:space="preserve">  </w:t>
      </w:r>
    </w:p>
    <w:p>
      <w:pPr>
        <w:spacing w:line="440" w:lineRule="exact"/>
        <w:ind w:firstLine="420" w:firstLineChars="200"/>
        <w:jc w:val="left"/>
        <w:rPr>
          <w:rFonts w:ascii="黑体" w:hAnsi="黑体" w:eastAsia="黑体" w:cs="Times New Roman"/>
          <w:szCs w:val="32"/>
        </w:rPr>
      </w:pPr>
    </w:p>
    <w:p>
      <w:pPr>
        <w:spacing w:line="540" w:lineRule="exact"/>
        <w:rPr>
          <w:rFonts w:ascii="方正小标宋_GBK" w:hAnsi="黑体" w:eastAsia="方正小标宋_GBK" w:cs="Times New Roman"/>
          <w:szCs w:val="32"/>
        </w:rPr>
      </w:pPr>
    </w:p>
    <w:p>
      <w:pPr>
        <w:spacing w:line="440" w:lineRule="exact"/>
        <w:jc w:val="center"/>
        <w:rPr>
          <w:rFonts w:ascii="方正小标宋_GBK" w:hAnsi="Calibri" w:eastAsia="方正小标宋_GBK" w:cs="Times New Roman"/>
          <w:sz w:val="44"/>
          <w:szCs w:val="44"/>
        </w:rPr>
      </w:pPr>
      <w:r>
        <w:rPr>
          <w:rFonts w:hint="eastAsia" w:ascii="方正小标宋_GBK" w:hAnsi="Calibri" w:eastAsia="方正小标宋_GBK" w:cs="Times New Roman"/>
          <w:sz w:val="44"/>
          <w:szCs w:val="44"/>
        </w:rPr>
        <w:t>财政对城乡居民基本养老保险基金补助</w:t>
      </w:r>
    </w:p>
    <w:p>
      <w:pPr>
        <w:spacing w:line="440" w:lineRule="exact"/>
        <w:jc w:val="center"/>
        <w:rPr>
          <w:rFonts w:ascii="方正小标宋_GBK" w:hAnsi="Calibri" w:eastAsia="方正小标宋_GBK" w:cs="Times New Roman"/>
          <w:sz w:val="44"/>
          <w:szCs w:val="44"/>
        </w:rPr>
      </w:pPr>
      <w:r>
        <w:rPr>
          <w:rFonts w:hint="eastAsia" w:ascii="方正小标宋_GBK" w:hAnsi="Calibri" w:eastAsia="方正小标宋_GBK" w:cs="Times New Roman"/>
          <w:sz w:val="44"/>
          <w:szCs w:val="44"/>
        </w:rPr>
        <w:t>项目支出绩效自评报告</w:t>
      </w:r>
    </w:p>
    <w:p>
      <w:pPr>
        <w:topLinePunct/>
        <w:spacing w:line="440" w:lineRule="exact"/>
        <w:ind w:firstLine="700" w:firstLineChars="250"/>
        <w:rPr>
          <w:rFonts w:ascii="黑体" w:hAnsi="Calibri" w:eastAsia="黑体" w:cs="Times New Roman"/>
          <w:sz w:val="28"/>
          <w:szCs w:val="32"/>
        </w:rPr>
      </w:pP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一、项目基本情况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1.立项背景及目的</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务院关于开展新型农村社会养老保险试点的指导意见》（国发〔2009〕32号）、《国务院关于开展城镇居民社会养老保险试点的指导意见》(国发〔2011〕18号)、《云南省人民政府关于印发云南省新型农村社会养老保险试点工作的实施办法（试行）的通知》（云政发〔2009〕193号）、《云南省人民政府关于印发云南省城镇居民社会养老保险试点实施办法（试行）的通知》（云政发〔2011〕165号）、《昆明市盘龙区人民政府关于印发盘龙区新型农村社会养老保险暨城镇居民社会养老保险试点工作实施方案的通知》（盘政通〔2011〕22号）、《昆明市盘龙区人民政府办公室关于印发盘龙区城乡居民基本养老保险工作实施方案的通知》（盘政办通〔2014〕145号）文件精神，城乡居民基本养老保险基金由个人缴费、政府补贴构成。参保人按规定缴费，享受缴费补贴。选择100元—1000元缴费档次的，给予30元—120元的缴费补贴，选择1500元、2000元缴费档次的，给予130元的缴费补贴，所需资金由省、市、区三级财政承担；城乡居民基本养老保险待遇由基础养老金和个人账户养老金组成，支付终身。基础养老金由中央、省、市、区财政按规定承担，盘龙区区级基础养老金自2015年1月1日起,上调基础养老金5元,并以此标准连续上调3年，缴费达到或超过15年的参保人再享受相应奖励性基础养老金：缴费达到15年的，增加5元基础养老金，由区财政承担。缴费超过15年的，每增加1年，增加4元基础养老金，其中2元由市财政承担，2元由区财政承担；参保人死亡的，按照殡葬改革相关规定安葬的，其遗属可以凭民政部门出具的相关证明，领取一次性丧葬抚恤补助费，补助标准为每人1236元，市级财政承担40%，区级财政承担60%。</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2.项目实施情况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城乡居民基本养老保险相关规定，为参保人做好财政资金补助工作。缴费档次为100元、200元、300元、400元、500元、600元、700元、800元、900元、1000元、1500元、2000元、3000元共十三个缴费档次，参保人自主选择，按年缴纳、多缴多得，一次享受</w:t>
      </w:r>
      <w:r>
        <w:rPr>
          <w:rFonts w:hint="eastAsia" w:ascii="仿宋_GB2312" w:hAnsi="仿宋_GB2312" w:eastAsia="仿宋_GB2312" w:cs="仿宋_GB2312"/>
          <w:sz w:val="32"/>
          <w:szCs w:val="32"/>
          <w:lang w:eastAsia="zh-CN"/>
        </w:rPr>
        <w:t>相应</w:t>
      </w:r>
      <w:r>
        <w:rPr>
          <w:rFonts w:hint="eastAsia" w:ascii="仿宋_GB2312" w:hAnsi="仿宋_GB2312" w:eastAsia="仿宋_GB2312" w:cs="仿宋_GB2312"/>
          <w:sz w:val="32"/>
          <w:szCs w:val="32"/>
        </w:rPr>
        <w:t>的缴费补贴。待遇领取由基础养老金和个人账户养老金组成，支付终身，20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lang w:eastAsia="zh-CN"/>
        </w:rPr>
        <w:t>起</w:t>
      </w:r>
      <w:r>
        <w:rPr>
          <w:rFonts w:hint="eastAsia" w:ascii="仿宋_GB2312" w:hAnsi="仿宋_GB2312" w:eastAsia="仿宋_GB2312" w:cs="仿宋_GB2312"/>
          <w:sz w:val="32"/>
          <w:szCs w:val="32"/>
        </w:rPr>
        <w:t>，基础养老金由中央财政支付88元/月，省级财政支付15元/月、市级财政支付5元/月，区财政支付20元/月。对于参保人员死亡后，给与其继承人或指定受益人一次性丧葬抚恤补助费1236元。</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年12月，城乡居民基本养老保险当年参保缴费、续费、待遇领取总人数达98450人（完成市居保局下达目标任务9.66万人的101.97%），缴费人数 66725人，领取养老金人数25447人,人均月领取养老金150.58元。区级补助金共计支出10720</w:t>
      </w:r>
      <w:r>
        <w:rPr>
          <w:rFonts w:hint="eastAsia" w:ascii="仿宋_GB2312" w:hAnsi="仿宋_GB2312" w:eastAsia="仿宋_GB2312" w:cs="仿宋_GB2312"/>
          <w:sz w:val="32"/>
          <w:szCs w:val="32"/>
          <w:lang w:val="en-US" w:eastAsia="zh-CN"/>
        </w:rPr>
        <w:t>788</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，其</w:t>
      </w:r>
      <w:r>
        <w:rPr>
          <w:rFonts w:hint="eastAsia" w:ascii="仿宋_GB2312" w:hAnsi="仿宋_GB2312" w:eastAsia="仿宋_GB2312" w:cs="仿宋_GB2312"/>
          <w:sz w:val="32"/>
          <w:szCs w:val="32"/>
        </w:rPr>
        <w:t>中：区级基础养老金、养老补助金及丧葬补助金合计支出949.097万元，建档立卡贫困人员代缴保费支出2202人44.04万元，低保特困区级代缴保费支出2254人36.064万元，区级财政配套资金42.8</w:t>
      </w:r>
      <w:r>
        <w:rPr>
          <w:rFonts w:hint="eastAsia" w:ascii="仿宋_GB2312" w:hAnsi="仿宋_GB2312" w:eastAsia="仿宋_GB2312" w:cs="仿宋_GB2312"/>
          <w:sz w:val="32"/>
          <w:szCs w:val="32"/>
          <w:lang w:val="en-US" w:eastAsia="zh-CN"/>
        </w:rPr>
        <w:t>778</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（1）城乡居民基本养老保险收缴</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2020年</w:t>
      </w:r>
      <w:r>
        <w:rPr>
          <w:rFonts w:hint="eastAsia" w:ascii="仿宋_GB2312" w:hAnsi="仿宋_GB2312" w:eastAsia="仿宋_GB2312" w:cs="仿宋_GB2312"/>
          <w:sz w:val="32"/>
          <w:szCs w:val="32"/>
        </w:rPr>
        <w:t>，城乡居民基本养老保险费征缴由地税</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代征。实行按年度（自然年度）缴纳，参保人应按照规定的缴费截止日前将当年的养老保险费</w:t>
      </w:r>
      <w:r>
        <w:rPr>
          <w:rFonts w:hint="eastAsia" w:ascii="仿宋_GB2312" w:hAnsi="仿宋_GB2312" w:eastAsia="仿宋_GB2312" w:cs="仿宋_GB2312"/>
          <w:sz w:val="32"/>
          <w:szCs w:val="32"/>
          <w:lang w:eastAsia="zh-CN"/>
        </w:rPr>
        <w:t>缴入税局</w:t>
      </w:r>
      <w:r>
        <w:rPr>
          <w:rFonts w:hint="eastAsia" w:ascii="仿宋_GB2312" w:hAnsi="仿宋_GB2312" w:eastAsia="仿宋_GB2312" w:cs="仿宋_GB2312"/>
          <w:sz w:val="32"/>
          <w:szCs w:val="32"/>
        </w:rPr>
        <w:t>。税局将</w:t>
      </w:r>
      <w:r>
        <w:rPr>
          <w:rFonts w:hint="eastAsia" w:ascii="仿宋_GB2312" w:hAnsi="仿宋_GB2312" w:eastAsia="仿宋_GB2312" w:cs="仿宋_GB2312"/>
          <w:sz w:val="32"/>
          <w:szCs w:val="32"/>
          <w:lang w:eastAsia="zh-CN"/>
        </w:rPr>
        <w:t>缴费及缴费信息</w:t>
      </w:r>
      <w:r>
        <w:rPr>
          <w:rFonts w:hint="eastAsia" w:ascii="仿宋_GB2312" w:hAnsi="仿宋_GB2312" w:eastAsia="仿宋_GB2312" w:cs="仿宋_GB2312"/>
          <w:sz w:val="32"/>
          <w:szCs w:val="32"/>
        </w:rPr>
        <w:t>推送给</w:t>
      </w:r>
      <w:r>
        <w:rPr>
          <w:rFonts w:hint="eastAsia" w:ascii="仿宋_GB2312" w:hAnsi="仿宋_GB2312" w:eastAsia="仿宋_GB2312" w:cs="仿宋_GB2312"/>
          <w:sz w:val="32"/>
          <w:szCs w:val="32"/>
          <w:lang w:eastAsia="zh-CN"/>
        </w:rPr>
        <w:t>财政局，财政局再将缴款</w:t>
      </w:r>
      <w:r>
        <w:rPr>
          <w:rFonts w:hint="eastAsia" w:ascii="仿宋_GB2312" w:hAnsi="仿宋_GB2312" w:eastAsia="仿宋_GB2312" w:cs="仿宋_GB2312"/>
          <w:sz w:val="32"/>
          <w:szCs w:val="32"/>
        </w:rPr>
        <w:t>信息推送给我局业务科，业务科收到信息后反馈给财务科，财务科同时与银行对账，对账一致</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业务科就做到账处理。月末，财务科出纳与业务科和财政局对账，对账结果提交领导审阅批示。年底，根据参保人缴费情况完成各级财政缴费补助资金配套。</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（2）城乡居民基本养老保险待遇支付</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月16日以后业务科经办人员生成发放数据后，按政策规定进行基金的待遇支出（正常待遇支付、一次性待遇支付、补发）核定；业务科负责人对核定待遇发放金额进行复核；复核后提交基金稽核管理人员，基金稽核管理人员对业务科提供的数据进行审核，审核通过后提交领导审批。业务科将已审批的数据提交财务科。根据审批数据生成《城乡居民基本养老保险基金支付财务审核审批单》，审批单经经办人、会计、出纳签字确认后，提交局领导审批。财务科出纳按照审批后的数据及《待遇支付明细清单》，通过农信社网银提交发放、会计审核、农信社审批等程序，及时将支付金额划入待遇领取人员银行存折等指定账户，居保局财务科同步查看资金支付情况明细。财务科对待遇发放支出的基金进行核对并将待遇发放支出实际情况反馈业务科和稽核人员，月末，财务科出纳与业务科对账，对账结果提交领导审阅批示。</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（二）绩效目标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1.总目标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辖区内年满16周岁（不含在校学生）非国家机关和事业单位工作人员及不属于职工基本养老保险制度覆盖范围，具有盘龙区户籍的城乡居民，新增参保续费达到</w:t>
      </w:r>
      <w:bookmarkStart w:id="0" w:name="_GoBack"/>
      <w:bookmarkEnd w:id="0"/>
      <w:r>
        <w:rPr>
          <w:rFonts w:hint="eastAsia" w:ascii="仿宋_GB2312" w:hAnsi="仿宋_GB2312" w:eastAsia="仿宋_GB2312" w:cs="仿宋_GB2312"/>
          <w:sz w:val="32"/>
          <w:szCs w:val="32"/>
        </w:rPr>
        <w:t>95%以上，做到应保尽保，实现老有所养，促进我区经济发展，维护社会和谐稳定。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2.年度目标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年12月城乡居民基本养老保险新增参保、续费达到100%，全面实现市区两级下达的目标任务，按时足额发放养老金，完成四方对账工作，及时划拨资金，做到应保尽保，实现老有所养。</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ab/>
      </w:r>
      <w:r>
        <w:rPr>
          <w:rFonts w:hint="eastAsia" w:ascii="黑体" w:hAnsi="黑体" w:eastAsia="黑体" w:cs="黑体"/>
          <w:sz w:val="32"/>
          <w:szCs w:val="32"/>
        </w:rPr>
        <w:t>二、绩效评价工作情况</w:t>
      </w:r>
    </w:p>
    <w:p>
      <w:pPr>
        <w:pStyle w:val="8"/>
        <w:keepNext w:val="0"/>
        <w:keepLines w:val="0"/>
        <w:pageBreakBefore w:val="0"/>
        <w:widowControl w:val="0"/>
        <w:numPr>
          <w:ilvl w:val="0"/>
          <w:numId w:val="1"/>
        </w:numPr>
        <w:kinsoku/>
        <w:wordWrap/>
        <w:overflowPunct/>
        <w:topLinePunct/>
        <w:autoSpaceDE/>
        <w:autoSpaceDN/>
        <w:bidi w:val="0"/>
        <w:adjustRightInd/>
        <w:snapToGrid/>
        <w:spacing w:line="560" w:lineRule="exact"/>
        <w:ind w:left="1350" w:leftChars="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绩效评价目的</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1.前期调研。</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2.研究文件。</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3.绩效评价指标体系及工作方案的设计。</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1.绩效评价原则。包括科学规范、公开公正、绩效相关等原则。</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2.绩效评价方法。包括指标评价、数据采集和社会调查中所采用的方法。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1.数据填报和采集。</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2.社会调查。</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3.数据分析和撰写报告。</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（五）本次绩效评价的局限性。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评价维度较为单一。</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三、评价结论和绩效分析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1.评价结果</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截止20</w:t>
      </w:r>
      <w:r>
        <w:rPr>
          <w:rFonts w:hint="eastAsia" w:ascii="仿宋_GB2312" w:hAnsi="仿宋_GB2312" w:eastAsia="仿宋_GB2312" w:cs="仿宋_GB2312"/>
          <w:sz w:val="32"/>
          <w:szCs w:val="32"/>
          <w:lang w:val="en-US" w:eastAsia="zh-CN"/>
        </w:rPr>
        <w:t xml:space="preserve">20 </w:t>
      </w:r>
      <w:r>
        <w:rPr>
          <w:rFonts w:hint="eastAsia" w:ascii="仿宋_GB2312" w:hAnsi="仿宋_GB2312" w:eastAsia="仿宋_GB2312" w:cs="仿宋_GB2312"/>
          <w:sz w:val="32"/>
          <w:szCs w:val="32"/>
        </w:rPr>
        <w:t>年12全面实现市区两级下达的目标任务，按时足额发放养老金，完成四方财政配套及对账工作，及时划拨资金，做到应保尽保，实现老有所养。</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2.主要绩效</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（1）继续推进特困低保人员参保缴费补助工作</w:t>
      </w:r>
    </w:p>
    <w:p>
      <w:pPr>
        <w:keepNext w:val="0"/>
        <w:keepLines w:val="0"/>
        <w:pageBreakBefore w:val="0"/>
        <w:widowControl w:val="0"/>
        <w:kinsoku/>
        <w:wordWrap/>
        <w:overflowPunct/>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昆明市盘龙区人力资源和社会保障局、昆明市盘龙区民政局、昆明市盘龙区残疾人联合会、昆明市盘龙区财政局《盘龙区贫困及残疾人员城乡居民基本养老保险缴费补助办法（试行）》（盘人社〔2019〕128号），盘龙区在市级要求的每人每年代缴100元的基础上，每人再提高100元（每人每年财政代缴养老金共计不超过200元）。</w:t>
      </w:r>
    </w:p>
    <w:p>
      <w:pPr>
        <w:keepNext w:val="0"/>
        <w:keepLines w:val="0"/>
        <w:pageBreakBefore w:val="0"/>
        <w:widowControl w:val="0"/>
        <w:kinsoku/>
        <w:wordWrap/>
        <w:overflowPunct/>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年盘龙区符合条件低保特困区级代缴保费支出2254人36.064万元，区级财政配套资金42.8</w:t>
      </w:r>
      <w:r>
        <w:rPr>
          <w:rFonts w:hint="eastAsia" w:ascii="仿宋_GB2312" w:hAnsi="仿宋_GB2312" w:eastAsia="仿宋_GB2312" w:cs="仿宋_GB2312"/>
          <w:sz w:val="32"/>
          <w:szCs w:val="32"/>
          <w:lang w:val="en-US" w:eastAsia="zh-CN"/>
        </w:rPr>
        <w:t>778</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（2）完成建档立卡人员100%参保</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根据区扶贫办动态调整提供的建档立卡贫困人口数据，认真组织开展人员信息核查和参保。20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年，符合参条件建档立卡贫困人员代缴保费支出2202人44.04万元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工作执行层面坚持“四个到位”：宣传到位、服务到位、续费到位、后续跟踪到位。盘龙区“建卡立档”贫困人口参保城乡居民基本养老保险的业务管理全部纳入全区的参保流程中。建档立卡贫困人口作为一个特殊的、动态管理的缴费人群，盘龙区未启动专门的续费和缴费流程，以规避最终形成福利依赖以及非建档立卡贫困人口的缴费积极性受挫的问题。</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层面坚持让建档立卡贫困户自愿主动缴费，缴费后再及时拨付缴费补助的方法。其中宣传到位和服务到位都纳入全区的续费工作中，确保参保续费和缴费补助都及时到位。其中针对建档立卡贫困人口，将在每年续费工作结束后，通过系统比对，将确实未续费人口筛选出来，再通过村级协办员协助代缴的方式，用区财政拨付的缴费补助为其参保续费。</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后的管理服务到位就是主动对接扶贫办，动态掌握脱贫的情况，及时管理已经脱贫和已经就业的人口。在“建卡立档”管理贫困人口的基础上，针对已经脱离贫困人口管理的就业人员，协助群众将参保的居民养老保险选择进入企业职工养老保险制度体制中，以确保群众将来可以享受到更高水平的养老保险待遇。对于仍旧无法就业的群众，盘龙区可以继续提升补助水平，拓宽补助渠道，建立更完善的待遇调整机制，确保盘龙区城乡居民享受到更高的缴费补助和待遇水平，让广大城乡居民的养老保险保障体系不断完善，让基本养老保险制度真正助力扶贫攻坚工作。</w:t>
      </w:r>
    </w:p>
    <w:p>
      <w:pPr>
        <w:pStyle w:val="8"/>
        <w:keepNext w:val="0"/>
        <w:keepLines w:val="0"/>
        <w:pageBreakBefore w:val="0"/>
        <w:widowControl w:val="0"/>
        <w:numPr>
          <w:ilvl w:val="0"/>
          <w:numId w:val="1"/>
        </w:numPr>
        <w:kinsoku/>
        <w:wordWrap/>
        <w:overflowPunct/>
        <w:topLinePunct/>
        <w:autoSpaceDE/>
        <w:autoSpaceDN/>
        <w:bidi w:val="0"/>
        <w:adjustRightInd/>
        <w:snapToGrid/>
        <w:spacing w:line="560" w:lineRule="exact"/>
        <w:ind w:left="1350" w:leftChars="0" w:firstLineChars="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具体绩效分析</w:t>
      </w:r>
    </w:p>
    <w:p>
      <w:pPr>
        <w:keepNext w:val="0"/>
        <w:keepLines w:val="0"/>
        <w:pageBreakBefore w:val="0"/>
        <w:widowControl w:val="0"/>
        <w:kinsoku/>
        <w:wordWrap/>
        <w:overflowPunct/>
        <w:topLinePunct/>
        <w:autoSpaceDE/>
        <w:autoSpaceDN/>
        <w:bidi w:val="0"/>
        <w:adjustRightInd/>
        <w:snapToGrid/>
        <w:spacing w:line="560" w:lineRule="exact"/>
        <w:ind w:left="7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对照绩效评价指标体系逐项进行分析、评价并打分。</w:t>
      </w:r>
    </w:p>
    <w:p>
      <w:pPr>
        <w:keepNext w:val="0"/>
        <w:keepLines w:val="0"/>
        <w:pageBreakBefore w:val="0"/>
        <w:widowControl w:val="0"/>
        <w:numPr>
          <w:ilvl w:val="0"/>
          <w:numId w:val="2"/>
        </w:numPr>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成本效益分析</w:t>
      </w:r>
    </w:p>
    <w:p>
      <w:pPr>
        <w:keepNext w:val="0"/>
        <w:keepLines w:val="0"/>
        <w:pageBreakBefore w:val="0"/>
        <w:widowControl w:val="0"/>
        <w:numPr>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对资金使用方向、资金收入和支出结构；项目和资金管理情况；资金的节约性、资金使用效果；变化趋势等进行分析评价。</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五、主要经验及做法、存在的问题和建议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建立健全基金内部控制制度，规范经办流程，确保社会保险基金安全。</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1.城乡居民基本养老保险待遇领取水平较低，参保群众满意度不高。</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2.城乡居民保险缴费</w:t>
      </w:r>
      <w:r>
        <w:rPr>
          <w:rFonts w:hint="eastAsia" w:ascii="仿宋_GB2312" w:hAnsi="仿宋_GB2312" w:eastAsia="仿宋_GB2312" w:cs="仿宋_GB2312"/>
          <w:sz w:val="32"/>
          <w:szCs w:val="32"/>
          <w:lang w:eastAsia="zh-CN"/>
        </w:rPr>
        <w:t>人数</w:t>
      </w:r>
      <w:r>
        <w:rPr>
          <w:rFonts w:hint="eastAsia" w:ascii="仿宋_GB2312" w:hAnsi="仿宋_GB2312" w:eastAsia="仿宋_GB2312" w:cs="仿宋_GB2312"/>
          <w:sz w:val="32"/>
          <w:szCs w:val="32"/>
        </w:rPr>
        <w:t>有</w:t>
      </w:r>
      <w:r>
        <w:rPr>
          <w:rFonts w:hint="eastAsia" w:ascii="仿宋_GB2312" w:hAnsi="仿宋_GB2312" w:eastAsia="仿宋_GB2312" w:cs="仿宋_GB2312"/>
          <w:sz w:val="32"/>
          <w:szCs w:val="32"/>
          <w:lang w:eastAsia="zh-CN"/>
        </w:rPr>
        <w:t>所</w:t>
      </w:r>
      <w:r>
        <w:rPr>
          <w:rFonts w:hint="eastAsia" w:ascii="仿宋_GB2312" w:hAnsi="仿宋_GB2312" w:eastAsia="仿宋_GB2312" w:cs="仿宋_GB2312"/>
          <w:sz w:val="32"/>
          <w:szCs w:val="32"/>
        </w:rPr>
        <w:t>下降。</w:t>
      </w:r>
    </w:p>
    <w:p>
      <w:pPr>
        <w:pStyle w:val="8"/>
        <w:keepNext w:val="0"/>
        <w:keepLines w:val="0"/>
        <w:pageBreakBefore w:val="0"/>
        <w:widowControl w:val="0"/>
        <w:numPr>
          <w:ilvl w:val="0"/>
          <w:numId w:val="1"/>
        </w:numPr>
        <w:kinsoku/>
        <w:wordWrap/>
        <w:overflowPunct/>
        <w:topLinePunct/>
        <w:autoSpaceDE/>
        <w:autoSpaceDN/>
        <w:bidi w:val="0"/>
        <w:adjustRightInd/>
        <w:snapToGrid/>
        <w:spacing w:line="560" w:lineRule="exact"/>
        <w:ind w:left="1350" w:leftChars="0" w:firstLineChars="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建议和改进措施</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1.在202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年初召开业务经办培训会议，将社区工作人员纳入培训范围，逐步加大政策的普及和宣传力度。</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2.加大参保缴费</w:t>
      </w:r>
      <w:r>
        <w:rPr>
          <w:rFonts w:hint="eastAsia" w:ascii="仿宋_GB2312" w:hAnsi="仿宋_GB2312" w:eastAsia="仿宋_GB2312" w:cs="仿宋_GB2312"/>
          <w:sz w:val="32"/>
          <w:szCs w:val="32"/>
          <w:lang w:eastAsia="zh-CN"/>
        </w:rPr>
        <w:t>及水源区缴费补贴</w:t>
      </w:r>
      <w:r>
        <w:rPr>
          <w:rFonts w:hint="eastAsia" w:ascii="仿宋_GB2312" w:hAnsi="仿宋_GB2312" w:eastAsia="仿宋_GB2312" w:cs="仿宋_GB2312"/>
          <w:sz w:val="32"/>
          <w:szCs w:val="32"/>
        </w:rPr>
        <w:t>宣传力度，积极与税局、财政对账，保障参保人及时享受缴费补贴、领取养老待遇。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3.积极向上级反映业务经办过程中遇到的困难和问题，寻求政策和技术上的支持。</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4.建立城乡居民基本养老保险待遇确定和基础养老金正常调整机制的实施方案，逐步提高城乡居民社会养老保险待遇水平，提高参保群众满意度。</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autoSpaceDE/>
        <w:autoSpaceDN/>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keepNext w:val="0"/>
        <w:keepLines w:val="0"/>
        <w:pageBreakBefore w:val="0"/>
        <w:widowControl w:val="0"/>
        <w:kinsoku/>
        <w:wordWrap/>
        <w:overflowPunct/>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附件1：项目支出绩效评价共性指标体系框架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附件2：项目申报表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fldChar w:fldCharType="begin"/>
    </w:r>
    <w:r>
      <w:instrText xml:space="preserve"> PAGE   \* MERGEFORMAT </w:instrText>
    </w:r>
    <w:r>
      <w:fldChar w:fldCharType="separate"/>
    </w:r>
    <w:r>
      <w:rPr>
        <w:lang w:val="zh-CN"/>
      </w:rPr>
      <w:t>4</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C1707"/>
    <w:multiLevelType w:val="multilevel"/>
    <w:tmpl w:val="138C1707"/>
    <w:lvl w:ilvl="0" w:tentative="0">
      <w:start w:val="1"/>
      <w:numFmt w:val="japaneseCounting"/>
      <w:lvlText w:val="（%1）"/>
      <w:lvlJc w:val="left"/>
      <w:pPr>
        <w:ind w:left="1350" w:hanging="720"/>
      </w:pPr>
      <w:rPr>
        <w:rFonts w:hint="default" w:ascii="楷体" w:eastAsia="楷体"/>
        <w:sz w:val="28"/>
        <w:lang w:val="en-US"/>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
    <w:nsid w:val="676769FD"/>
    <w:multiLevelType w:val="singleLevel"/>
    <w:tmpl w:val="676769FD"/>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BDD"/>
    <w:rsid w:val="00044DE9"/>
    <w:rsid w:val="00067BB4"/>
    <w:rsid w:val="000F31D3"/>
    <w:rsid w:val="0010491C"/>
    <w:rsid w:val="00146C66"/>
    <w:rsid w:val="00156EF9"/>
    <w:rsid w:val="001E1A3F"/>
    <w:rsid w:val="001E2B39"/>
    <w:rsid w:val="00213C2C"/>
    <w:rsid w:val="002156B6"/>
    <w:rsid w:val="002268AE"/>
    <w:rsid w:val="00234DD1"/>
    <w:rsid w:val="00244F4C"/>
    <w:rsid w:val="0024635A"/>
    <w:rsid w:val="002D1F8E"/>
    <w:rsid w:val="002D6E73"/>
    <w:rsid w:val="002E0758"/>
    <w:rsid w:val="002F024E"/>
    <w:rsid w:val="003F394D"/>
    <w:rsid w:val="004221F9"/>
    <w:rsid w:val="004238F6"/>
    <w:rsid w:val="00445013"/>
    <w:rsid w:val="004561B7"/>
    <w:rsid w:val="00507EF5"/>
    <w:rsid w:val="00521788"/>
    <w:rsid w:val="0054345B"/>
    <w:rsid w:val="005723B0"/>
    <w:rsid w:val="005A1069"/>
    <w:rsid w:val="005A648F"/>
    <w:rsid w:val="005B6B11"/>
    <w:rsid w:val="005E00C5"/>
    <w:rsid w:val="00654A45"/>
    <w:rsid w:val="00666786"/>
    <w:rsid w:val="00671FC8"/>
    <w:rsid w:val="00674CCB"/>
    <w:rsid w:val="00681D77"/>
    <w:rsid w:val="006857A1"/>
    <w:rsid w:val="006868B1"/>
    <w:rsid w:val="006F7E91"/>
    <w:rsid w:val="00720029"/>
    <w:rsid w:val="00744ADA"/>
    <w:rsid w:val="0076257C"/>
    <w:rsid w:val="007F0E33"/>
    <w:rsid w:val="00834BDD"/>
    <w:rsid w:val="00842B55"/>
    <w:rsid w:val="0085684B"/>
    <w:rsid w:val="008852DE"/>
    <w:rsid w:val="008868C3"/>
    <w:rsid w:val="008A249B"/>
    <w:rsid w:val="008F036D"/>
    <w:rsid w:val="008F10B4"/>
    <w:rsid w:val="00925B04"/>
    <w:rsid w:val="00970149"/>
    <w:rsid w:val="009870E0"/>
    <w:rsid w:val="009D1C6C"/>
    <w:rsid w:val="00A27C10"/>
    <w:rsid w:val="00A866D2"/>
    <w:rsid w:val="00A910AC"/>
    <w:rsid w:val="00A92437"/>
    <w:rsid w:val="00AA5AD6"/>
    <w:rsid w:val="00AB45FF"/>
    <w:rsid w:val="00AC26DF"/>
    <w:rsid w:val="00B20E8E"/>
    <w:rsid w:val="00B570C3"/>
    <w:rsid w:val="00BB24E3"/>
    <w:rsid w:val="00BC4C07"/>
    <w:rsid w:val="00BF3C9D"/>
    <w:rsid w:val="00C82F3C"/>
    <w:rsid w:val="00C970A3"/>
    <w:rsid w:val="00CE5422"/>
    <w:rsid w:val="00CE6D87"/>
    <w:rsid w:val="00CE7B22"/>
    <w:rsid w:val="00E36AEF"/>
    <w:rsid w:val="00E42B80"/>
    <w:rsid w:val="00E74AF4"/>
    <w:rsid w:val="00E76051"/>
    <w:rsid w:val="00EC2026"/>
    <w:rsid w:val="00F012EC"/>
    <w:rsid w:val="00F2241A"/>
    <w:rsid w:val="00F264F1"/>
    <w:rsid w:val="00F347C7"/>
    <w:rsid w:val="00F8309E"/>
    <w:rsid w:val="00FD2341"/>
    <w:rsid w:val="00FF1F56"/>
    <w:rsid w:val="00FF6066"/>
    <w:rsid w:val="01D84BBB"/>
    <w:rsid w:val="06B36889"/>
    <w:rsid w:val="080B17B9"/>
    <w:rsid w:val="0AD16F99"/>
    <w:rsid w:val="130878F4"/>
    <w:rsid w:val="15C56F00"/>
    <w:rsid w:val="1FDC0228"/>
    <w:rsid w:val="5DFD1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 w:type="paragraph" w:customStyle="1" w:styleId="9">
    <w:name w:val="列出段落1"/>
    <w:basedOn w:val="1"/>
    <w:qFormat/>
    <w:uiPriority w:val="0"/>
    <w:pPr>
      <w:ind w:firstLine="420" w:firstLineChars="200"/>
    </w:pPr>
    <w:rPr>
      <w:rFonts w:ascii="Times New Roman" w:hAnsi="Times New Roman" w:eastAsia="宋体" w:cs="Calibri"/>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10</Pages>
  <Words>830</Words>
  <Characters>4737</Characters>
  <Lines>39</Lines>
  <Paragraphs>11</Paragraphs>
  <TotalTime>12</TotalTime>
  <ScaleCrop>false</ScaleCrop>
  <LinksUpToDate>false</LinksUpToDate>
  <CharactersWithSpaces>5556</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2019-04-16T06:42:00Z</dcterms:created>
  <dc:creator>雨林木风</dc:creator>
  <cp:lastModifiedBy>Administrator</cp:lastModifiedBy>
  <cp:lastPrinted>2021-06-03T06:26:12Z</cp:lastPrinted>
  <dcterms:modified xsi:type="dcterms:W3CDTF">2021-06-03T06:37:53Z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24C6F7D16CAE497BBFD4175340E036A1</vt:lpwstr>
  </property>
</Properties>
</file>