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hAnsi="Calibri" w:eastAsia="方正小标宋_GBK" w:cs="Times New Roman"/>
          <w:sz w:val="28"/>
          <w:szCs w:val="28"/>
        </w:rPr>
      </w:pPr>
      <w:r>
        <w:rPr>
          <w:rFonts w:hint="eastAsia" w:ascii="方正小标宋_GBK" w:hAnsi="Calibri" w:eastAsia="方正小标宋_GBK" w:cs="Times New Roman"/>
          <w:sz w:val="28"/>
          <w:szCs w:val="28"/>
        </w:rPr>
        <w:t>附件5：项目支出绩效评价报告（范本）</w:t>
      </w:r>
    </w:p>
    <w:p>
      <w:pPr>
        <w:spacing w:before="120" w:after="120" w:line="480" w:lineRule="auto"/>
        <w:jc w:val="center"/>
        <w:rPr>
          <w:rFonts w:ascii="Times New Roman" w:hAnsi="Times New Roman" w:eastAsia="黑体" w:cs="Times New Roman"/>
          <w:b/>
          <w:bCs/>
          <w:sz w:val="52"/>
          <w:szCs w:val="52"/>
        </w:rPr>
      </w:pPr>
    </w:p>
    <w:p>
      <w:pPr>
        <w:jc w:val="center"/>
        <w:rPr>
          <w:rFonts w:hint="default" w:ascii="黑体" w:hAnsi="黑体" w:eastAsia="黑体" w:cs="黑体"/>
          <w:bCs/>
          <w:sz w:val="52"/>
          <w:szCs w:val="52"/>
          <w:lang w:val="en-US" w:eastAsia="zh-CN"/>
        </w:rPr>
      </w:pPr>
      <w:r>
        <w:rPr>
          <w:rFonts w:hint="eastAsia" w:ascii="黑体" w:hAnsi="黑体" w:eastAsia="黑体" w:cs="黑体"/>
          <w:bCs/>
          <w:sz w:val="52"/>
          <w:szCs w:val="52"/>
        </w:rPr>
        <w:t>水源区城乡居民养老保险缴费补助项目支出绩效自评报告</w:t>
      </w:r>
      <w:bookmarkStart w:id="0" w:name="_GoBack"/>
      <w:bookmarkEnd w:id="0"/>
    </w:p>
    <w:p>
      <w:pPr>
        <w:jc w:val="center"/>
        <w:rPr>
          <w:rFonts w:ascii="黑体" w:hAnsi="黑体" w:eastAsia="黑体" w:cs="Times New Roman"/>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20</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cs="Times New Roman"/>
          <w:b/>
          <w:bCs/>
          <w:sz w:val="52"/>
          <w:szCs w:val="52"/>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黑体" w:cs="Times New Roman"/>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9525" t="10160" r="9525" b="889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KXqXKDXAAAACQEAAA8AAAAAAAAAAQAgAAAAIgAAAGRycy9kb3ducmV2LnhtbFBLAQIU&#10;ABQAAAAIAIdO4kC7vP65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部门名称（公章）：昆明市盘龙区城乡居民社会养老保险局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9525" t="10160" r="9525" b="889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xhF2DXAAAACQEAAA8AAAAAAAAAAQAgAAAAIgAAAGRycy9kb3ducmV2LnhtbFBLAQIU&#10;ABQAAAAIAIdO4kCVgI3h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项目单位：昆明市盘龙区城乡居民社会养老保险局</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9525" t="10160" r="9525" b="889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0IL+71wAAAAkBAAAPAAAAAAAAAAEAIAAAACIAAABkcnMvZG93bnJldi54bWxQSwEC&#10;FAAUAAAACACHTuJAHjKls/UBAAC+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昆明市盘龙区人力资源和社会保障局</w:t>
      </w:r>
    </w:p>
    <w:p>
      <w:pPr>
        <w:adjustRightInd w:val="0"/>
        <w:snapToGrid w:val="0"/>
        <w:spacing w:line="360" w:lineRule="auto"/>
        <w:ind w:left="1260" w:leftChars="600"/>
        <w:rPr>
          <w:rFonts w:hint="eastAsia"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9525" t="13335" r="9525" b="5715"/>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Qgv7vXAAAACQEAAA8AAAAAAAAAAQAgAAAAIgAAAGRycy9kb3ducmV2LnhtbFBLAQIU&#10;ABQAAAAIAIdO4kAwDtbr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lang w:eastAsia="zh-CN"/>
        </w:rPr>
        <w:t>松华坝</w:t>
      </w:r>
      <w:r>
        <w:rPr>
          <w:rFonts w:hint="eastAsia" w:ascii="Times New Roman" w:hAnsi="Times New Roman" w:eastAsia="黑体" w:cs="Times New Roman"/>
          <w:b/>
          <w:bCs/>
          <w:sz w:val="28"/>
          <w:szCs w:val="28"/>
        </w:rPr>
        <w:t>水源区城乡居民养老保险缴费补助</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9525" t="6985" r="9525" b="12065"/>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tCC/u9cAAAAJAQAADwAAAAAAAAABACAAAAAiAAAAZHJzL2Rvd25yZXYueG1sUEsBAhQA&#10;FAAAAAgAh07iQEJKQwPzAQAAvgMAAA4AAAAAAAAAAQAgAAAAJg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202</w:t>
      </w:r>
      <w:r>
        <w:rPr>
          <w:rFonts w:hint="eastAsia" w:ascii="Times New Roman" w:hAnsi="Times New Roman" w:eastAsia="黑体" w:cs="Times New Roman"/>
          <w:b/>
          <w:bCs/>
          <w:sz w:val="28"/>
          <w:szCs w:val="28"/>
          <w:lang w:val="en-US" w:eastAsia="zh-CN"/>
        </w:rPr>
        <w:t>5</w:t>
      </w:r>
      <w:r>
        <w:rPr>
          <w:rFonts w:hint="eastAsia" w:ascii="Times New Roman" w:hAnsi="Times New Roman" w:eastAsia="黑体" w:cs="Times New Roman"/>
          <w:b/>
          <w:bCs/>
          <w:sz w:val="28"/>
          <w:szCs w:val="28"/>
        </w:rPr>
        <w:t>-5-</w:t>
      </w:r>
      <w:r>
        <w:rPr>
          <w:rFonts w:hint="eastAsia" w:ascii="Times New Roman" w:hAnsi="Times New Roman" w:eastAsia="黑体" w:cs="Times New Roman"/>
          <w:b/>
          <w:bCs/>
          <w:sz w:val="28"/>
          <w:szCs w:val="28"/>
          <w:lang w:val="en-US" w:eastAsia="zh-CN"/>
        </w:rPr>
        <w:t>26</w:t>
      </w:r>
    </w:p>
    <w:p>
      <w:pPr>
        <w:spacing w:line="360" w:lineRule="auto"/>
        <w:ind w:left="1218" w:leftChars="580"/>
        <w:rPr>
          <w:rFonts w:ascii="Times New Roman" w:hAnsi="Times New Roman" w:eastAsia="黑体" w:cs="Times New Roman"/>
          <w:b/>
          <w:bCs/>
          <w:sz w:val="28"/>
          <w:szCs w:val="28"/>
        </w:rPr>
      </w:pP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r>
        <w:rPr>
          <w:rFonts w:ascii="Times New Roman" w:hAnsi="Times New Roman" w:eastAsia="黑体" w:cs="Times New Roman"/>
          <w:b/>
          <w:bCs/>
          <w:sz w:val="28"/>
          <w:szCs w:val="28"/>
        </w:rPr>
        <w:t>20</w:t>
      </w:r>
      <w:r>
        <w:rPr>
          <w:rFonts w:hint="eastAsia" w:ascii="Times New Roman" w:hAnsi="Times New Roman" w:eastAsia="黑体" w:cs="Times New Roman"/>
          <w:b/>
          <w:bCs/>
          <w:sz w:val="28"/>
          <w:szCs w:val="28"/>
          <w:lang w:val="en-US" w:eastAsia="zh-CN"/>
        </w:rPr>
        <w:t>20</w:t>
      </w:r>
      <w:r>
        <w:rPr>
          <w:rFonts w:hint="eastAsia" w:ascii="Times New Roman" w:hAnsi="Times New Roman" w:eastAsia="黑体" w:cs="黑体"/>
          <w:b/>
          <w:bCs/>
          <w:sz w:val="28"/>
          <w:szCs w:val="28"/>
        </w:rPr>
        <w:t>年</w:t>
      </w:r>
      <w:r>
        <w:rPr>
          <w:rFonts w:hint="eastAsia" w:ascii="Times New Roman" w:hAnsi="Times New Roman" w:eastAsia="黑体" w:cs="Times New Roman"/>
          <w:b/>
          <w:bCs/>
          <w:sz w:val="28"/>
          <w:szCs w:val="28"/>
        </w:rPr>
        <w:t>05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cs="Times New Roman"/>
          <w:b/>
          <w:bCs/>
          <w:sz w:val="28"/>
          <w:szCs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spacing w:line="360" w:lineRule="auto"/>
        <w:ind w:left="420" w:leftChars="200"/>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4"/>
        <w:tblpPr w:leftFromText="180" w:rightFromText="180" w:vertAnchor="text" w:horzAnchor="margin" w:tblpY="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621"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1"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620"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组长</w:t>
            </w:r>
          </w:p>
        </w:tc>
        <w:tc>
          <w:tcPr>
            <w:tcW w:w="1620" w:type="dxa"/>
          </w:tcPr>
          <w:p>
            <w:pPr>
              <w:spacing w:line="360" w:lineRule="auto"/>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eastAsia="zh-CN"/>
              </w:rPr>
              <w:t>施镜美</w:t>
            </w:r>
          </w:p>
        </w:tc>
        <w:tc>
          <w:tcPr>
            <w:tcW w:w="1620" w:type="dxa"/>
          </w:tcPr>
          <w:p>
            <w:pPr>
              <w:spacing w:line="360" w:lineRule="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局长</w:t>
            </w:r>
          </w:p>
        </w:tc>
        <w:tc>
          <w:tcPr>
            <w:tcW w:w="1621" w:type="dxa"/>
          </w:tcPr>
          <w:p>
            <w:pPr>
              <w:rPr>
                <w:rFonts w:ascii="Times New Roman" w:hAnsi="Times New Roman" w:eastAsia="黑体" w:cs="黑体"/>
                <w:color w:val="000000"/>
                <w:sz w:val="24"/>
                <w:szCs w:val="24"/>
                <w:u w:color="000000"/>
                <w:lang w:val="zh-TW" w:eastAsia="zh-TW"/>
              </w:rPr>
            </w:pPr>
          </w:p>
        </w:tc>
        <w:tc>
          <w:tcPr>
            <w:tcW w:w="1621" w:type="dxa"/>
          </w:tcPr>
          <w:p>
            <w:pPr>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620" w:type="dxa"/>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刘荣</w:t>
            </w:r>
          </w:p>
        </w:tc>
        <w:tc>
          <w:tcPr>
            <w:tcW w:w="1620" w:type="dxa"/>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1621" w:type="dxa"/>
          </w:tcPr>
          <w:p>
            <w:pPr>
              <w:spacing w:line="360" w:lineRule="auto"/>
              <w:rPr>
                <w:rFonts w:ascii="Times New Roman" w:hAnsi="Times New Roman" w:eastAsia="黑体" w:cs="黑体"/>
                <w:color w:val="000000"/>
                <w:sz w:val="24"/>
                <w:szCs w:val="24"/>
                <w:u w:color="000000"/>
                <w:lang w:val="zh-TW" w:eastAsia="zh-TW"/>
              </w:rPr>
            </w:pP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陈蕾</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办公室主任</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kern w:val="2"/>
                <w:sz w:val="24"/>
                <w:szCs w:val="24"/>
                <w:u w:color="000000"/>
                <w:lang w:val="en-US" w:eastAsia="zh-CN" w:bidi="ar-SA"/>
              </w:rPr>
              <w:t>刘娜</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稽核科科长</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稽核科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sz w:val="24"/>
                <w:szCs w:val="24"/>
                <w:u w:color="000000"/>
                <w:lang w:val="en-US" w:eastAsia="zh-CN"/>
              </w:rPr>
              <w:t>王红云</w:t>
            </w:r>
          </w:p>
        </w:tc>
        <w:tc>
          <w:tcPr>
            <w:tcW w:w="1620" w:type="dxa"/>
            <w:vAlign w:val="top"/>
          </w:tcPr>
          <w:p>
            <w:pPr>
              <w:spacing w:line="360" w:lineRule="auto"/>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rPr>
              <w:t>业务科科长</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620" w:type="dxa"/>
            <w:vAlign w:val="top"/>
          </w:tcPr>
          <w:p>
            <w:pPr>
              <w:spacing w:line="360" w:lineRule="auto"/>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en-US" w:eastAsia="zh-CN"/>
              </w:rPr>
              <w:t>洪玉莲</w:t>
            </w:r>
          </w:p>
        </w:tc>
        <w:tc>
          <w:tcPr>
            <w:tcW w:w="1620"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财务科科长</w:t>
            </w:r>
          </w:p>
        </w:tc>
        <w:tc>
          <w:tcPr>
            <w:tcW w:w="1621" w:type="dxa"/>
            <w:vAlign w:val="top"/>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w:t>
            </w:r>
          </w:p>
        </w:tc>
        <w:tc>
          <w:tcPr>
            <w:tcW w:w="1621" w:type="dxa"/>
          </w:tcPr>
          <w:p>
            <w:pPr>
              <w:spacing w:line="360" w:lineRule="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right"/>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rPr>
                <w:rFonts w:ascii="Times New Roman" w:hAnsi="Times New Roman" w:eastAsia="黑体" w:cs="黑体"/>
                <w:color w:val="000000"/>
                <w:sz w:val="24"/>
                <w:szCs w:val="24"/>
                <w:u w:color="000000"/>
                <w:lang w:val="zh-TW"/>
              </w:rPr>
            </w:pPr>
          </w:p>
          <w:p>
            <w:pPr>
              <w:spacing w:line="360" w:lineRule="auto"/>
              <w:rPr>
                <w:rFonts w:ascii="Times New Roman" w:hAnsi="Times New Roman" w:eastAsia="黑体" w:cs="黑体"/>
                <w:color w:val="000000"/>
                <w:sz w:val="24"/>
                <w:szCs w:val="24"/>
                <w:u w:color="000000"/>
                <w:lang w:val="zh-TW"/>
              </w:rPr>
            </w:pPr>
          </w:p>
          <w:p>
            <w:pPr>
              <w:wordWrap w:val="0"/>
              <w:spacing w:line="360" w:lineRule="auto"/>
              <w:jc w:val="right"/>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spacing w:line="360" w:lineRule="auto"/>
        <w:ind w:firstLine="566" w:firstLineChars="236"/>
        <w:rPr>
          <w:rFonts w:ascii="Times New Roman" w:hAnsi="Times New Roman" w:eastAsia="PMingLiU" w:cs="Times New Roman"/>
          <w:color w:val="000000"/>
          <w:sz w:val="24"/>
          <w:szCs w:val="24"/>
          <w:u w:color="000000"/>
          <w:lang w:val="zh-TW" w:eastAsia="zh-TW"/>
        </w:rPr>
      </w:pPr>
    </w:p>
    <w:p>
      <w:pPr>
        <w:spacing w:line="360" w:lineRule="auto"/>
        <w:ind w:firstLine="566" w:firstLineChars="236"/>
        <w:rPr>
          <w:rFonts w:ascii="Times New Roman" w:hAnsi="Times New Roman" w:eastAsia="PMingLiU" w:cs="Times New Roman"/>
          <w:color w:val="000000"/>
          <w:sz w:val="24"/>
          <w:szCs w:val="24"/>
          <w:u w:color="000000"/>
          <w:lang w:val="zh-TW" w:eastAsia="zh-TW"/>
        </w:rPr>
      </w:pPr>
    </w:p>
    <w:p>
      <w:pPr>
        <w:spacing w:line="360" w:lineRule="auto"/>
        <w:rPr>
          <w:rFonts w:ascii="Times New Roman" w:hAnsi="Times New Roman" w:eastAsia="宋体" w:cs="Times New Roman"/>
          <w:color w:val="000000"/>
          <w:sz w:val="24"/>
          <w:szCs w:val="24"/>
          <w:u w:color="000000"/>
          <w:lang w:val="zh-TW"/>
        </w:rPr>
        <w:sectPr>
          <w:pgSz w:w="11906" w:h="16838"/>
          <w:pgMar w:top="1440" w:right="1800" w:bottom="1440" w:left="1800" w:header="851" w:footer="992" w:gutter="0"/>
          <w:cols w:space="425" w:num="1"/>
          <w:docGrid w:type="lines" w:linePitch="312" w:charSpace="0"/>
        </w:sectPr>
      </w:pPr>
    </w:p>
    <w:p>
      <w:pPr>
        <w:keepNext/>
        <w:keepLines/>
        <w:widowControl/>
        <w:spacing w:before="480" w:line="276" w:lineRule="auto"/>
        <w:jc w:val="center"/>
        <w:rPr>
          <w:rFonts w:ascii="Times New Roman" w:hAnsi="Times New Roman" w:eastAsia="宋体" w:cs="Times New Roman"/>
          <w:b/>
          <w:bCs/>
          <w:kern w:val="0"/>
          <w:sz w:val="28"/>
          <w:szCs w:val="28"/>
          <w:lang w:val="zh-CN" w:eastAsia="zh-CN"/>
        </w:rPr>
      </w:pPr>
      <w:r>
        <w:rPr>
          <w:rFonts w:hint="eastAsia" w:ascii="Times New Roman" w:hAnsi="Times New Roman" w:eastAsia="宋体" w:cs="宋体"/>
          <w:b/>
          <w:bCs/>
          <w:kern w:val="0"/>
          <w:sz w:val="28"/>
          <w:szCs w:val="28"/>
          <w:lang w:val="zh-CN" w:eastAsia="zh-CN"/>
        </w:rPr>
        <w:t>目录</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摘要</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 项目基本情况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（一）项目立项背景</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（二）项目立项依据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（三）项目实施内容</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（四）项目实施计划及完成情况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（五）项目的组织及管理</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（六）项目绩效目标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二、绩效评价工作情况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(一)评价的目的和依据</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(二)绩效评价工作方案制定过程</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(三)绩效评价原则、评价方法等</w:t>
      </w:r>
      <w:r>
        <w:rPr>
          <w:rFonts w:hint="eastAsia" w:ascii="黑体" w:hAnsi="黑体" w:eastAsia="黑体" w:cs="Times New Roman"/>
          <w:sz w:val="22"/>
          <w:szCs w:val="32"/>
        </w:rPr>
        <w:tab/>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(四)绩效评价实施过程</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(五)绩效评价的局限性</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三、评价结论及绩效分析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(一)评价结论</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(二)绩效分析</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四、项目主要经验及做法、存在的问题和建议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(一)主要经验及做法</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(二)存在的问题</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spacing w:line="440" w:lineRule="exact"/>
        <w:ind w:firstLine="440" w:firstLineChars="200"/>
        <w:jc w:val="left"/>
        <w:rPr>
          <w:rFonts w:ascii="黑体" w:hAnsi="黑体" w:eastAsia="黑体" w:cs="Times New Roman"/>
          <w:sz w:val="22"/>
          <w:szCs w:val="32"/>
        </w:rPr>
      </w:pPr>
      <w:r>
        <w:rPr>
          <w:rFonts w:hint="eastAsia" w:ascii="黑体" w:hAnsi="黑体" w:eastAsia="黑体" w:cs="Times New Roman"/>
          <w:sz w:val="22"/>
          <w:szCs w:val="32"/>
        </w:rPr>
        <w:t xml:space="preserve">(三)建议和改进措施 </w:t>
      </w:r>
    </w:p>
    <w:p>
      <w:pPr>
        <w:spacing w:line="440" w:lineRule="exact"/>
        <w:ind w:firstLine="420" w:firstLineChars="200"/>
        <w:jc w:val="left"/>
        <w:rPr>
          <w:rFonts w:ascii="黑体" w:hAnsi="黑体" w:eastAsia="黑体" w:cs="Times New Roman"/>
          <w:szCs w:val="32"/>
        </w:rPr>
      </w:pPr>
      <w:r>
        <w:rPr>
          <w:rFonts w:hint="eastAsia" w:ascii="黑体" w:hAnsi="黑体" w:eastAsia="黑体" w:cs="Times New Roman"/>
          <w:szCs w:val="32"/>
        </w:rPr>
        <w:t>五、附件</w:t>
      </w:r>
      <w:r>
        <w:rPr>
          <w:rFonts w:hint="eastAsia" w:ascii="黑体" w:hAnsi="黑体" w:eastAsia="黑体" w:cs="Times New Roman"/>
          <w:szCs w:val="32"/>
        </w:rPr>
        <w:tab/>
      </w:r>
      <w:r>
        <w:rPr>
          <w:rFonts w:hint="eastAsia" w:ascii="黑体" w:hAnsi="黑体" w:eastAsia="黑体" w:cs="Times New Roman"/>
          <w:szCs w:val="32"/>
        </w:rPr>
        <w:t xml:space="preserve"> </w:t>
      </w:r>
    </w:p>
    <w:p>
      <w:pPr>
        <w:spacing w:line="440" w:lineRule="exact"/>
        <w:ind w:firstLine="420" w:firstLineChars="200"/>
        <w:jc w:val="left"/>
        <w:rPr>
          <w:rFonts w:ascii="黑体" w:hAnsi="黑体" w:eastAsia="黑体" w:cs="Times New Roman"/>
          <w:szCs w:val="32"/>
        </w:rPr>
      </w:pPr>
      <w:r>
        <w:rPr>
          <w:rFonts w:hint="eastAsia" w:ascii="黑体" w:hAnsi="黑体" w:eastAsia="黑体" w:cs="Times New Roman"/>
          <w:szCs w:val="32"/>
        </w:rPr>
        <w:t>附件一：项目支出绩效评价共性指标体系框架</w:t>
      </w:r>
      <w:r>
        <w:rPr>
          <w:rFonts w:hint="eastAsia" w:ascii="黑体" w:hAnsi="黑体" w:eastAsia="黑体" w:cs="Times New Roman"/>
          <w:szCs w:val="32"/>
        </w:rPr>
        <w:tab/>
      </w:r>
      <w:r>
        <w:rPr>
          <w:rFonts w:hint="eastAsia" w:ascii="黑体" w:hAnsi="黑体" w:eastAsia="黑体" w:cs="Times New Roman"/>
          <w:szCs w:val="32"/>
        </w:rPr>
        <w:t xml:space="preserve"> </w:t>
      </w:r>
    </w:p>
    <w:p>
      <w:pPr>
        <w:spacing w:line="440" w:lineRule="exact"/>
        <w:ind w:firstLine="420" w:firstLineChars="200"/>
        <w:jc w:val="left"/>
        <w:rPr>
          <w:rFonts w:ascii="黑体" w:hAnsi="黑体" w:eastAsia="黑体" w:cs="Times New Roman"/>
          <w:szCs w:val="32"/>
        </w:rPr>
      </w:pPr>
      <w:r>
        <w:rPr>
          <w:rFonts w:hint="eastAsia" w:ascii="黑体" w:hAnsi="黑体" w:eastAsia="黑体" w:cs="Times New Roman"/>
          <w:szCs w:val="32"/>
        </w:rPr>
        <w:t>附件二：项目申报表</w:t>
      </w:r>
      <w:r>
        <w:rPr>
          <w:rFonts w:hint="eastAsia" w:ascii="黑体" w:hAnsi="黑体" w:eastAsia="黑体" w:cs="Times New Roman"/>
          <w:szCs w:val="32"/>
        </w:rPr>
        <w:tab/>
      </w:r>
      <w:r>
        <w:rPr>
          <w:rFonts w:hint="eastAsia" w:ascii="黑体" w:hAnsi="黑体" w:eastAsia="黑体" w:cs="Times New Roman"/>
          <w:szCs w:val="32"/>
        </w:rPr>
        <w:t xml:space="preserve"> </w:t>
      </w:r>
    </w:p>
    <w:p>
      <w:pPr>
        <w:spacing w:line="540" w:lineRule="exact"/>
        <w:rPr>
          <w:rFonts w:ascii="方正小标宋_GBK" w:hAnsi="黑体" w:eastAsia="方正小标宋_GBK" w:cs="Times New Roman"/>
          <w:szCs w:val="32"/>
        </w:rPr>
      </w:pPr>
    </w:p>
    <w:p>
      <w:pPr>
        <w:spacing w:line="440" w:lineRule="exact"/>
        <w:ind w:firstLine="420" w:firstLineChars="200"/>
        <w:jc w:val="left"/>
        <w:rPr>
          <w:rFonts w:ascii="黑体" w:hAnsi="黑体" w:eastAsia="黑体" w:cs="Times New Roman"/>
          <w:szCs w:val="32"/>
        </w:rPr>
      </w:pPr>
      <w:r>
        <w:rPr>
          <w:rFonts w:hint="eastAsia" w:ascii="黑体" w:hAnsi="黑体" w:eastAsia="黑体" w:cs="Times New Roman"/>
          <w:szCs w:val="32"/>
        </w:rPr>
        <w:tab/>
      </w:r>
      <w:r>
        <w:rPr>
          <w:rFonts w:hint="eastAsia" w:ascii="黑体" w:hAnsi="黑体" w:eastAsia="黑体" w:cs="Times New Roman"/>
          <w:szCs w:val="32"/>
        </w:rPr>
        <w:t xml:space="preserve">  </w:t>
      </w:r>
    </w:p>
    <w:p>
      <w:pPr>
        <w:spacing w:line="440" w:lineRule="exact"/>
        <w:ind w:firstLine="420" w:firstLineChars="200"/>
        <w:jc w:val="left"/>
        <w:rPr>
          <w:rFonts w:ascii="黑体" w:hAnsi="黑体" w:eastAsia="黑体" w:cs="Times New Roman"/>
          <w:szCs w:val="32"/>
        </w:rPr>
      </w:pPr>
    </w:p>
    <w:p>
      <w:pPr>
        <w:spacing w:line="540" w:lineRule="exact"/>
        <w:rPr>
          <w:rFonts w:ascii="方正小标宋_GBK" w:hAnsi="黑体" w:eastAsia="方正小标宋_GBK" w:cs="Times New Roman"/>
          <w:szCs w:val="32"/>
        </w:rPr>
      </w:pPr>
    </w:p>
    <w:p>
      <w:pPr>
        <w:spacing w:line="440" w:lineRule="exact"/>
        <w:jc w:val="center"/>
        <w:rPr>
          <w:rFonts w:hint="eastAsia" w:ascii="方正小标宋_GBK" w:hAnsi="Calibri" w:eastAsia="方正小标宋_GBK" w:cs="Times New Roman"/>
          <w:sz w:val="44"/>
          <w:szCs w:val="44"/>
          <w:lang w:eastAsia="zh-CN"/>
        </w:rPr>
      </w:pPr>
      <w:r>
        <w:rPr>
          <w:rFonts w:hint="eastAsia" w:ascii="方正小标宋_GBK" w:hAnsi="Calibri" w:eastAsia="方正小标宋_GBK" w:cs="Times New Roman"/>
          <w:sz w:val="44"/>
          <w:szCs w:val="44"/>
          <w:lang w:eastAsia="zh-CN"/>
        </w:rPr>
        <w:t>松华坝</w:t>
      </w:r>
      <w:r>
        <w:rPr>
          <w:rFonts w:hint="eastAsia" w:ascii="方正小标宋_GBK" w:hAnsi="Calibri" w:eastAsia="方正小标宋_GBK" w:cs="Times New Roman"/>
          <w:sz w:val="44"/>
          <w:szCs w:val="44"/>
        </w:rPr>
        <w:t>水源区城乡居民养老保险缴费补助</w:t>
      </w:r>
    </w:p>
    <w:p>
      <w:pPr>
        <w:spacing w:line="440" w:lineRule="exact"/>
        <w:jc w:val="center"/>
        <w:rPr>
          <w:rFonts w:hint="eastAsia" w:ascii="方正小标宋_GBK" w:hAnsi="Calibri" w:eastAsia="方正小标宋_GBK" w:cs="Times New Roman"/>
          <w:sz w:val="44"/>
          <w:szCs w:val="44"/>
        </w:rPr>
      </w:pPr>
      <w:r>
        <w:rPr>
          <w:rFonts w:hint="eastAsia" w:ascii="方正小标宋_GBK" w:hAnsi="Calibri" w:eastAsia="方正小标宋_GBK" w:cs="Times New Roman"/>
          <w:sz w:val="44"/>
          <w:szCs w:val="44"/>
        </w:rPr>
        <w:t>项目支出绩效自评报告</w:t>
      </w:r>
    </w:p>
    <w:p>
      <w:pPr>
        <w:topLinePunct/>
        <w:spacing w:line="440" w:lineRule="exact"/>
        <w:ind w:firstLine="700" w:firstLineChars="250"/>
        <w:rPr>
          <w:rFonts w:ascii="黑体" w:hAnsi="Calibri" w:eastAsia="黑体" w:cs="Times New Roman"/>
          <w:sz w:val="28"/>
          <w:szCs w:val="32"/>
        </w:rPr>
      </w:pP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（一）项目概况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1.立项背景及目的</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昆明市人民政府关于印发昆明市主城饮用水源区扶持补助办法的通知》（昆政发〔2016〕61号）、《昆明市盘龙区人民政府常务会议纪要》〔14-79〕、《昆明市盘龙区人民政府常务会议纪要》〔15-56〕、《昆明市盘龙区人民政府关于印发盘龙区松华坝饮用水源保护区扶持补助办法（试行）的通知》（盘政通〔2017〕1号）的精神，符合参保条件并自愿参保缴费，同时符合补助条件的居民，每人每年享受200元的参保缴费补助。</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松华坝水源区年满16周岁（不含在校学生）非国家机关和事业单位工作人员及不属于职工基本养老保险制度覆盖范围，自愿参加城乡居民基本养老保险并按时缴费的参保人，每人每年给以200元的参保缴费补助。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3.资金来源及使用情况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年1-12月，盘龙区共有38304人享受了水源区缴费补助，拨付补助资金</w:t>
      </w:r>
      <w:r>
        <w:rPr>
          <w:rFonts w:hint="eastAsia" w:ascii="仿宋_GB2312" w:hAnsi="仿宋_GB2312" w:eastAsia="仿宋_GB2312" w:cs="仿宋_GB2312"/>
          <w:sz w:val="32"/>
          <w:szCs w:val="32"/>
          <w:lang w:val="en-US" w:eastAsia="zh-CN"/>
        </w:rPr>
        <w:t>7137000</w:t>
      </w:r>
      <w:r>
        <w:rPr>
          <w:rFonts w:hint="eastAsia" w:ascii="仿宋_GB2312" w:hAnsi="仿宋_GB2312" w:eastAsia="仿宋_GB2312" w:cs="仿宋_GB2312"/>
          <w:sz w:val="32"/>
          <w:szCs w:val="32"/>
        </w:rPr>
        <w:t>元。</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为确保松华坝水库供水稳定、主城饮用水源安全，有效保障松华坝饮用水源区群众生产生活, 切实落实松花坝水源保护区城乡居民参加城乡居民基本养老保险补助，业务科负责办理城乡居民参保登记、待遇核定、退保注销等具体工作，财务科负责资金的的审核与划拨工作；各街道协助参保人填写相关表格，及时将参保信息提交业务科，同时做好参保人的生存认证等工作，对符合享受松华坝水源保护区居民养老保险补助的人员，为其申报缴费补助。业务科对水源保护区缴费补助相关材料进行复核，将符合享受水源区缴费补助人员名单</w:t>
      </w:r>
      <w:r>
        <w:rPr>
          <w:rFonts w:hint="eastAsia" w:ascii="仿宋_GB2312" w:hAnsi="仿宋_GB2312" w:eastAsia="仿宋_GB2312" w:cs="仿宋_GB2312"/>
          <w:sz w:val="32"/>
          <w:szCs w:val="32"/>
          <w:lang w:eastAsia="zh-CN"/>
        </w:rPr>
        <w:t>及拨款审批单</w:t>
      </w:r>
      <w:r>
        <w:rPr>
          <w:rFonts w:hint="eastAsia" w:ascii="仿宋_GB2312" w:hAnsi="仿宋_GB2312" w:eastAsia="仿宋_GB2312" w:cs="仿宋_GB2312"/>
          <w:sz w:val="32"/>
          <w:szCs w:val="32"/>
        </w:rPr>
        <w:t>提交给财务科，财务科按规定拨付水源保护区养老补助资金</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为确保松华坝水库供水稳定、主城饮用水源安全，有效保障松华坝饮用水源区群众生产生活, 切实落实松华坝水源保护区城乡居民参加城乡居民基本养老保险补助，自愿</w:t>
      </w:r>
      <w:r>
        <w:rPr>
          <w:rFonts w:hint="eastAsia" w:ascii="仿宋_GB2312" w:hAnsi="仿宋_GB2312" w:eastAsia="仿宋_GB2312" w:cs="仿宋_GB2312"/>
          <w:sz w:val="32"/>
          <w:szCs w:val="32"/>
          <w:lang w:eastAsia="zh-CN"/>
        </w:rPr>
        <w:t>参</w:t>
      </w:r>
      <w:r>
        <w:rPr>
          <w:rFonts w:hint="eastAsia" w:ascii="仿宋_GB2312" w:hAnsi="仿宋_GB2312" w:eastAsia="仿宋_GB2312" w:cs="仿宋_GB2312"/>
          <w:sz w:val="32"/>
          <w:szCs w:val="32"/>
        </w:rPr>
        <w:t>加城乡居民基本养老保险并按时缴费的城乡居民享受200元参保缴费补助。</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松华坝水源区年满16周岁（不含在校学生）非国家机关和事业单位工作人员及不属于职工基本养老保险制度覆盖范围，并自愿参加城乡居民基本养老保险并按时缴费的城乡居民给以参保缴费补助，有效保障水源区基本养老保险应保尽保。</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ab/>
      </w:r>
      <w:r>
        <w:rPr>
          <w:rFonts w:hint="eastAsia" w:ascii="黑体" w:hAnsi="黑体" w:eastAsia="黑体" w:cs="黑体"/>
          <w:sz w:val="32"/>
          <w:szCs w:val="32"/>
        </w:rPr>
        <w:t>二、绩效评价工作情况</w:t>
      </w:r>
    </w:p>
    <w:p>
      <w:pPr>
        <w:pStyle w:val="8"/>
        <w:keepNext w:val="0"/>
        <w:keepLines w:val="0"/>
        <w:pageBreakBefore w:val="0"/>
        <w:widowControl w:val="0"/>
        <w:numPr>
          <w:ilvl w:val="0"/>
          <w:numId w:val="1"/>
        </w:numPr>
        <w:kinsoku/>
        <w:wordWrap/>
        <w:overflowPunct/>
        <w:topLinePunct/>
        <w:autoSpaceDE/>
        <w:autoSpaceDN/>
        <w:bidi w:val="0"/>
        <w:adjustRightInd/>
        <w:snapToGrid/>
        <w:spacing w:line="560" w:lineRule="exact"/>
        <w:ind w:firstLineChars="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绩效评价目的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1.前期调研。</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2.研究文件。</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3.绩效评价指标体系及工作方案的设计。</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1.绩效评价原则。包括科学规范、公开公正、绩效相关等原则。</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2.绩效评价方法。包括指标评价、数据采集和社会调查中所采用的方法。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（四）绩效评价实施过程</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1.数据填报和采集。</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2.社会调查。</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3.数据分析和撰写报告。</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（五）本次绩效评价的局限性</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评价维度较为单一。</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（一）评价结论</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1.评价结果</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年，盘龙区共有38304人享受了水源区缴费补助，拨付补助资金</w:t>
      </w:r>
      <w:r>
        <w:rPr>
          <w:rFonts w:hint="eastAsia" w:ascii="仿宋_GB2312" w:hAnsi="仿宋_GB2312" w:eastAsia="仿宋_GB2312" w:cs="仿宋_GB2312"/>
          <w:sz w:val="32"/>
          <w:szCs w:val="32"/>
          <w:lang w:val="en-US" w:eastAsia="zh-CN"/>
        </w:rPr>
        <w:t>7137000</w:t>
      </w:r>
      <w:r>
        <w:rPr>
          <w:rFonts w:hint="eastAsia" w:ascii="仿宋_GB2312" w:hAnsi="仿宋_GB2312" w:eastAsia="仿宋_GB2312" w:cs="仿宋_GB2312"/>
          <w:sz w:val="32"/>
          <w:szCs w:val="32"/>
        </w:rPr>
        <w:t>元。</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2.主要绩效</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切实落实水源区缴费补助。按照《盘龙区人民政府&lt;关于印发盘龙区松华坝饮用水源保护区扶持补助办法（试行）的通知&gt;》（盘政通〔2017〕1号）文件，自2016年1月1日起，盘龙区滇源、阿子营街道办事处符合水源保护区补助条件的居民；松华街道办事处所辖三家社区、小河社区、团结社区、大哨社区、双玉社区、大摆社区和新街社区的居民；双龙街道办事处所辖烧灰窑、蜜岭、旧关、小石桥、庄房居民小组的居民；龙泉街道办事处中坝社区所辖的中坝、郑家、张家寺、雨树居民小组，上坝社区所辖的竹园、上坝、回龙居民小组的居民。茨坝街道办事处花渔沟社区小哨居民小组的居民；松华坝水库一级保护区核心区搬迁移民与合法新增人口中符合条件的居民，符合城乡居民基本养老保险参保条件并自愿参保缴费，每人每年享受200元的参保缴费补助。</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（二）具体绩效分析</w:t>
      </w:r>
    </w:p>
    <w:p>
      <w:pPr>
        <w:keepNext w:val="0"/>
        <w:keepLines w:val="0"/>
        <w:pageBreakBefore w:val="0"/>
        <w:widowControl w:val="0"/>
        <w:kinsoku/>
        <w:wordWrap/>
        <w:overflowPunct/>
        <w:topLinePunct/>
        <w:autoSpaceDE/>
        <w:autoSpaceDN/>
        <w:bidi w:val="0"/>
        <w:adjustRightInd/>
        <w:snapToGrid/>
        <w:spacing w:line="560" w:lineRule="exact"/>
        <w:ind w:left="7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对照绩效评价指标体系逐项进行分析、评价并打分。</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四、成本效益分析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对资金使用方向、资金收入和支出结构；项目和资金管理情况；资金的节约性、资金使用效果；变化趋势等进行分析评价。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五、主要经验及做法、存在的问题和建议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建立健全内部控制制度，规范经办流程，确保及时拨付水源区缴费补助。</w:t>
      </w:r>
    </w:p>
    <w:p>
      <w:pPr>
        <w:keepNext w:val="0"/>
        <w:keepLines w:val="0"/>
        <w:pageBreakBefore w:val="0"/>
        <w:widowControl w:val="0"/>
        <w:kinsoku/>
        <w:wordWrap/>
        <w:overflowPunct/>
        <w:topLinePunct/>
        <w:autoSpaceDE/>
        <w:autoSpaceDN/>
        <w:bidi w:val="0"/>
        <w:adjustRightInd/>
        <w:snapToGrid/>
        <w:spacing w:line="560" w:lineRule="exact"/>
        <w:ind w:left="7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养老保险基层经办力量建设机制欠缺。随着城乡居民社会养老保险的覆盖面不断扩大，基层经办力量不足的矛盾逐渐凸显。目前大部分的基层经办人员都是没有正式的编制的临时就业人员，工作岗位调整和人员流动对业务经办水平提升造成了很大影响。</w:t>
      </w:r>
    </w:p>
    <w:p>
      <w:pPr>
        <w:pStyle w:val="8"/>
        <w:keepNext w:val="0"/>
        <w:keepLines w:val="0"/>
        <w:pageBreakBefore w:val="0"/>
        <w:widowControl w:val="0"/>
        <w:numPr>
          <w:ilvl w:val="0"/>
          <w:numId w:val="1"/>
        </w:numPr>
        <w:kinsoku/>
        <w:wordWrap/>
        <w:overflowPunct/>
        <w:topLinePunct/>
        <w:autoSpaceDE/>
        <w:autoSpaceDN/>
        <w:bidi w:val="0"/>
        <w:adjustRightInd/>
        <w:snapToGrid/>
        <w:spacing w:line="560" w:lineRule="exact"/>
        <w:ind w:firstLineChars="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建议和改进措施</w:t>
      </w:r>
    </w:p>
    <w:p>
      <w:pPr>
        <w:keepNext w:val="0"/>
        <w:keepLines w:val="0"/>
        <w:pageBreakBefore w:val="0"/>
        <w:widowControl w:val="0"/>
        <w:kinsoku/>
        <w:wordWrap/>
        <w:overflowPunct/>
        <w:topLinePunct/>
        <w:autoSpaceDE/>
        <w:autoSpaceDN/>
        <w:bidi w:val="0"/>
        <w:adjustRightInd/>
        <w:snapToGrid/>
        <w:spacing w:line="560" w:lineRule="exact"/>
        <w:ind w:left="7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增加基础经办人员业务培训，提升业务经办水平</w:t>
      </w:r>
    </w:p>
    <w:p>
      <w:pPr>
        <w:keepNext w:val="0"/>
        <w:keepLines w:val="0"/>
        <w:pageBreakBefore w:val="0"/>
        <w:widowControl w:val="0"/>
        <w:kinsoku/>
        <w:wordWrap/>
        <w:overflowPunct/>
        <w:topLinePunct/>
        <w:autoSpaceDE/>
        <w:autoSpaceDN/>
        <w:bidi w:val="0"/>
        <w:adjustRightInd/>
        <w:snapToGrid/>
        <w:spacing w:line="560" w:lineRule="exact"/>
        <w:ind w:left="7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keepNext w:val="0"/>
        <w:keepLines w:val="0"/>
        <w:pageBreakBefore w:val="0"/>
        <w:widowControl w:val="0"/>
        <w:kinsoku/>
        <w:wordWrap/>
        <w:overflow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附件1：项目支出绩效评价共性指标体系框架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附件2：项目申报表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autoSpaceDE/>
        <w:autoSpaceDN/>
        <w:bidi w:val="0"/>
        <w:adjustRightInd/>
        <w:snapToGrid/>
        <w:spacing w:line="560" w:lineRule="exac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fldChar w:fldCharType="begin"/>
    </w:r>
    <w:r>
      <w:instrText xml:space="preserve"> PAGE   \* MERGEFORMAT </w:instrText>
    </w:r>
    <w:r>
      <w:fldChar w:fldCharType="separate"/>
    </w:r>
    <w:r>
      <w:rPr>
        <w:lang w:val="zh-CN"/>
      </w:rPr>
      <w:t>2</w: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C1707"/>
    <w:multiLevelType w:val="multilevel"/>
    <w:tmpl w:val="138C1707"/>
    <w:lvl w:ilvl="0" w:tentative="0">
      <w:start w:val="1"/>
      <w:numFmt w:val="japaneseCounting"/>
      <w:lvlText w:val="（%1）"/>
      <w:lvlJc w:val="left"/>
      <w:pPr>
        <w:ind w:left="1420" w:hanging="720"/>
      </w:pPr>
      <w:rPr>
        <w:rFonts w:hint="default" w:ascii="楷体" w:eastAsia="楷体"/>
        <w:sz w:val="28"/>
        <w:lang w:val="en-US"/>
      </w:rPr>
    </w:lvl>
    <w:lvl w:ilvl="1" w:tentative="0">
      <w:start w:val="1"/>
      <w:numFmt w:val="lowerLetter"/>
      <w:lvlText w:val="%2)"/>
      <w:lvlJc w:val="left"/>
      <w:pPr>
        <w:ind w:left="1540" w:hanging="420"/>
      </w:pPr>
    </w:lvl>
    <w:lvl w:ilvl="2" w:tentative="0">
      <w:start w:val="1"/>
      <w:numFmt w:val="lowerRoman"/>
      <w:lvlText w:val="%3."/>
      <w:lvlJc w:val="right"/>
      <w:pPr>
        <w:ind w:left="1960" w:hanging="420"/>
      </w:pPr>
    </w:lvl>
    <w:lvl w:ilvl="3" w:tentative="0">
      <w:start w:val="1"/>
      <w:numFmt w:val="decimal"/>
      <w:lvlText w:val="%4."/>
      <w:lvlJc w:val="left"/>
      <w:pPr>
        <w:ind w:left="2380" w:hanging="420"/>
      </w:pPr>
    </w:lvl>
    <w:lvl w:ilvl="4" w:tentative="0">
      <w:start w:val="1"/>
      <w:numFmt w:val="lowerLetter"/>
      <w:lvlText w:val="%5)"/>
      <w:lvlJc w:val="left"/>
      <w:pPr>
        <w:ind w:left="2800" w:hanging="420"/>
      </w:pPr>
    </w:lvl>
    <w:lvl w:ilvl="5" w:tentative="0">
      <w:start w:val="1"/>
      <w:numFmt w:val="lowerRoman"/>
      <w:lvlText w:val="%6."/>
      <w:lvlJc w:val="right"/>
      <w:pPr>
        <w:ind w:left="3220" w:hanging="420"/>
      </w:pPr>
    </w:lvl>
    <w:lvl w:ilvl="6" w:tentative="0">
      <w:start w:val="1"/>
      <w:numFmt w:val="decimal"/>
      <w:lvlText w:val="%7."/>
      <w:lvlJc w:val="left"/>
      <w:pPr>
        <w:ind w:left="3640" w:hanging="420"/>
      </w:pPr>
    </w:lvl>
    <w:lvl w:ilvl="7" w:tentative="0">
      <w:start w:val="1"/>
      <w:numFmt w:val="lowerLetter"/>
      <w:lvlText w:val="%8)"/>
      <w:lvlJc w:val="left"/>
      <w:pPr>
        <w:ind w:left="4060" w:hanging="420"/>
      </w:pPr>
    </w:lvl>
    <w:lvl w:ilvl="8" w:tentative="0">
      <w:start w:val="1"/>
      <w:numFmt w:val="lowerRoman"/>
      <w:lvlText w:val="%9."/>
      <w:lvlJc w:val="right"/>
      <w:pPr>
        <w:ind w:left="44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BDD"/>
    <w:rsid w:val="00044DE9"/>
    <w:rsid w:val="00067BB4"/>
    <w:rsid w:val="000F31D3"/>
    <w:rsid w:val="0010491C"/>
    <w:rsid w:val="001E1A3F"/>
    <w:rsid w:val="001E2B39"/>
    <w:rsid w:val="00213C2C"/>
    <w:rsid w:val="002156B6"/>
    <w:rsid w:val="00222BC6"/>
    <w:rsid w:val="002268AE"/>
    <w:rsid w:val="0024635A"/>
    <w:rsid w:val="0026412E"/>
    <w:rsid w:val="002D1F8E"/>
    <w:rsid w:val="002D6E73"/>
    <w:rsid w:val="002F024E"/>
    <w:rsid w:val="003F394D"/>
    <w:rsid w:val="004238F6"/>
    <w:rsid w:val="004C4DC8"/>
    <w:rsid w:val="00507EF5"/>
    <w:rsid w:val="00521788"/>
    <w:rsid w:val="005A1069"/>
    <w:rsid w:val="005A648F"/>
    <w:rsid w:val="005E00C5"/>
    <w:rsid w:val="005F07C6"/>
    <w:rsid w:val="00622C9D"/>
    <w:rsid w:val="00642763"/>
    <w:rsid w:val="00654A45"/>
    <w:rsid w:val="00666786"/>
    <w:rsid w:val="00674CCB"/>
    <w:rsid w:val="00681D77"/>
    <w:rsid w:val="006857A1"/>
    <w:rsid w:val="006D425C"/>
    <w:rsid w:val="006E4F0F"/>
    <w:rsid w:val="00791276"/>
    <w:rsid w:val="00804C53"/>
    <w:rsid w:val="00834BDD"/>
    <w:rsid w:val="008A249B"/>
    <w:rsid w:val="008D62F3"/>
    <w:rsid w:val="008F10B4"/>
    <w:rsid w:val="00925B04"/>
    <w:rsid w:val="00946383"/>
    <w:rsid w:val="00970149"/>
    <w:rsid w:val="009870E0"/>
    <w:rsid w:val="009D1C6C"/>
    <w:rsid w:val="00A27C10"/>
    <w:rsid w:val="00A866D2"/>
    <w:rsid w:val="00A910AC"/>
    <w:rsid w:val="00A92437"/>
    <w:rsid w:val="00AC26DF"/>
    <w:rsid w:val="00B20E8E"/>
    <w:rsid w:val="00B570C3"/>
    <w:rsid w:val="00BB24E3"/>
    <w:rsid w:val="00BC291E"/>
    <w:rsid w:val="00BC4C07"/>
    <w:rsid w:val="00C333EC"/>
    <w:rsid w:val="00C82F3C"/>
    <w:rsid w:val="00C970A3"/>
    <w:rsid w:val="00CE6D87"/>
    <w:rsid w:val="00CE7B22"/>
    <w:rsid w:val="00D0702D"/>
    <w:rsid w:val="00D43EAD"/>
    <w:rsid w:val="00E2071F"/>
    <w:rsid w:val="00E42B80"/>
    <w:rsid w:val="00E76051"/>
    <w:rsid w:val="00F012EC"/>
    <w:rsid w:val="00F1110C"/>
    <w:rsid w:val="00F2241A"/>
    <w:rsid w:val="00F8309E"/>
    <w:rsid w:val="00FF6066"/>
    <w:rsid w:val="0200213D"/>
    <w:rsid w:val="046E6953"/>
    <w:rsid w:val="122D2FCB"/>
    <w:rsid w:val="126E7BBF"/>
    <w:rsid w:val="37E85014"/>
    <w:rsid w:val="3C396D64"/>
    <w:rsid w:val="6123518F"/>
    <w:rsid w:val="655C4276"/>
    <w:rsid w:val="66B94E7D"/>
    <w:rsid w:val="7B700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styleId="8">
    <w:name w:val="List Paragraph"/>
    <w:basedOn w:val="1"/>
    <w:qFormat/>
    <w:uiPriority w:val="34"/>
    <w:pPr>
      <w:ind w:firstLine="420" w:firstLineChars="200"/>
    </w:pPr>
  </w:style>
  <w:style w:type="paragraph" w:customStyle="1" w:styleId="9">
    <w:name w:val="列出段落1"/>
    <w:basedOn w:val="1"/>
    <w:uiPriority w:val="0"/>
    <w:pPr>
      <w:ind w:firstLine="420" w:firstLineChars="200"/>
    </w:pPr>
    <w:rPr>
      <w:rFonts w:ascii="Times New Roman" w:hAnsi="Times New Roman" w:eastAsia="宋体" w:cs="Calibri"/>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7</Pages>
  <Words>430</Words>
  <Characters>2455</Characters>
  <Lines>20</Lines>
  <Paragraphs>5</Paragraphs>
  <TotalTime>13</TotalTime>
  <ScaleCrop>false</ScaleCrop>
  <LinksUpToDate>false</LinksUpToDate>
  <CharactersWithSpaces>2880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2019-04-16T06:42:00Z</dcterms:created>
  <dc:creator>雨林木风</dc:creator>
  <cp:lastModifiedBy>Administrator</cp:lastModifiedBy>
  <cp:lastPrinted>2021-06-03T06:43:11Z</cp:lastPrinted>
  <dcterms:modified xsi:type="dcterms:W3CDTF">2021-06-03T06:48:44Z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9DE1F994362848ABBA72BC07FED430CA</vt:lpwstr>
  </property>
</Properties>
</file>