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20" w:after="120" w:line="480" w:lineRule="auto"/>
        <w:jc w:val="center"/>
        <w:rPr>
          <w:rFonts w:ascii="Times New Roman" w:hAnsi="Times New Roman" w:eastAsia="黑体"/>
          <w:b/>
          <w:bCs/>
          <w:sz w:val="52"/>
          <w:szCs w:val="52"/>
          <w:highlight w:val="none"/>
        </w:rPr>
      </w:pPr>
    </w:p>
    <w:p>
      <w:pPr>
        <w:jc w:val="center"/>
        <w:rPr>
          <w:rFonts w:hint="eastAsia" w:ascii="黑体" w:hAnsi="黑体" w:eastAsia="黑体" w:cs="黑体"/>
          <w:bCs/>
          <w:sz w:val="52"/>
          <w:szCs w:val="52"/>
          <w:highlight w:val="none"/>
        </w:rPr>
      </w:pPr>
      <w:r>
        <w:rPr>
          <w:rFonts w:hint="eastAsia" w:ascii="黑体" w:hAnsi="黑体" w:eastAsia="黑体" w:cs="黑体"/>
          <w:bCs/>
          <w:sz w:val="52"/>
          <w:szCs w:val="52"/>
          <w:highlight w:val="none"/>
          <w:lang w:val="en-US" w:eastAsia="zh-CN"/>
        </w:rPr>
        <w:t>城乡社区管理工作经费</w:t>
      </w:r>
      <w:r>
        <w:rPr>
          <w:rFonts w:hint="eastAsia" w:ascii="黑体" w:hAnsi="黑体" w:eastAsia="黑体" w:cs="黑体"/>
          <w:bCs/>
          <w:sz w:val="52"/>
          <w:szCs w:val="52"/>
          <w:highlight w:val="none"/>
        </w:rPr>
        <w:t>项目支出</w:t>
      </w:r>
    </w:p>
    <w:p>
      <w:pPr>
        <w:jc w:val="center"/>
        <w:rPr>
          <w:rFonts w:ascii="黑体" w:hAnsi="黑体" w:eastAsia="黑体" w:cs="黑体"/>
          <w:bCs/>
          <w:sz w:val="52"/>
          <w:szCs w:val="52"/>
          <w:highlight w:val="none"/>
        </w:rPr>
      </w:pPr>
      <w:r>
        <w:rPr>
          <w:rFonts w:hint="eastAsia" w:ascii="黑体" w:hAnsi="黑体" w:eastAsia="黑体" w:cs="黑体"/>
          <w:bCs/>
          <w:sz w:val="52"/>
          <w:szCs w:val="52"/>
          <w:highlight w:val="none"/>
        </w:rPr>
        <w:t>绩效自评报告</w:t>
      </w:r>
    </w:p>
    <w:p>
      <w:pPr>
        <w:jc w:val="center"/>
        <w:rPr>
          <w:rFonts w:ascii="黑体" w:hAnsi="黑体" w:eastAsia="黑体"/>
          <w:bCs/>
          <w:sz w:val="52"/>
          <w:szCs w:val="52"/>
          <w:highlight w:val="none"/>
        </w:rPr>
      </w:pPr>
      <w:r>
        <w:rPr>
          <w:rFonts w:hint="eastAsia" w:ascii="黑体" w:hAnsi="黑体" w:eastAsia="黑体" w:cs="黑体"/>
          <w:bCs/>
          <w:sz w:val="52"/>
          <w:szCs w:val="52"/>
          <w:highlight w:val="none"/>
        </w:rPr>
        <w:t>（</w:t>
      </w:r>
      <w:r>
        <w:rPr>
          <w:rFonts w:hint="eastAsia" w:ascii="黑体" w:hAnsi="黑体" w:eastAsia="黑体" w:cs="黑体"/>
          <w:bCs/>
          <w:sz w:val="52"/>
          <w:szCs w:val="52"/>
          <w:highlight w:val="none"/>
          <w:lang w:val="en-US" w:eastAsia="zh-CN"/>
        </w:rPr>
        <w:t>2020</w:t>
      </w:r>
      <w:r>
        <w:rPr>
          <w:rFonts w:hint="eastAsia" w:ascii="黑体" w:hAnsi="黑体" w:eastAsia="黑体" w:cs="黑体"/>
          <w:bCs/>
          <w:sz w:val="52"/>
          <w:szCs w:val="52"/>
          <w:highlight w:val="none"/>
        </w:rPr>
        <w:t>年度）</w:t>
      </w:r>
    </w:p>
    <w:p>
      <w:pPr>
        <w:spacing w:before="120" w:after="120" w:line="480" w:lineRule="auto"/>
        <w:jc w:val="center"/>
        <w:rPr>
          <w:rFonts w:ascii="Times New Roman" w:hAnsi="Times New Roman" w:eastAsia="黑体"/>
          <w:b/>
          <w:bCs/>
          <w:sz w:val="52"/>
          <w:szCs w:val="52"/>
          <w:highlight w:val="none"/>
        </w:rPr>
      </w:pPr>
    </w:p>
    <w:p>
      <w:pPr>
        <w:spacing w:before="120" w:after="120" w:line="480" w:lineRule="auto"/>
        <w:jc w:val="center"/>
        <w:rPr>
          <w:rFonts w:ascii="Times New Roman" w:hAnsi="Times New Roman"/>
          <w:b/>
          <w:bCs/>
          <w:sz w:val="44"/>
          <w:szCs w:val="44"/>
          <w:highlight w:val="none"/>
        </w:rPr>
      </w:pPr>
    </w:p>
    <w:p>
      <w:pPr>
        <w:spacing w:before="120" w:after="120" w:line="480" w:lineRule="auto"/>
        <w:jc w:val="center"/>
        <w:rPr>
          <w:rFonts w:ascii="Times New Roman" w:hAnsi="Times New Roman"/>
          <w:b/>
          <w:bCs/>
          <w:sz w:val="44"/>
          <w:szCs w:val="44"/>
          <w:highlight w:val="none"/>
        </w:rPr>
      </w:pPr>
    </w:p>
    <w:p>
      <w:pPr>
        <w:spacing w:before="120" w:after="120" w:line="480" w:lineRule="auto"/>
        <w:jc w:val="center"/>
        <w:rPr>
          <w:rFonts w:ascii="Times New Roman" w:hAnsi="Times New Roman" w:eastAsia="黑体"/>
          <w:b/>
          <w:bCs/>
          <w:sz w:val="44"/>
          <w:szCs w:val="44"/>
          <w:highlight w:val="none"/>
        </w:rPr>
      </w:pPr>
    </w:p>
    <w:p>
      <w:pPr>
        <w:keepNext w:val="0"/>
        <w:keepLines w:val="0"/>
        <w:pageBreakBefore w:val="0"/>
        <w:kinsoku/>
        <w:bidi w:val="0"/>
        <w:adjustRightInd w:val="0"/>
        <w:snapToGrid w:val="0"/>
        <w:spacing w:line="360" w:lineRule="auto"/>
        <w:ind w:left="-210" w:leftChars="-100" w:right="-210" w:rightChars="-100"/>
        <w:textAlignment w:val="auto"/>
        <w:rPr>
          <w:rFonts w:hint="default" w:ascii="宋体" w:hAnsi="宋体" w:eastAsia="宋体" w:cs="宋体"/>
          <w:b/>
          <w:bCs/>
          <w:sz w:val="28"/>
          <w:szCs w:val="28"/>
          <w:highlight w:val="none"/>
          <w:u w:val="single"/>
          <w:lang w:val="en-US" w:eastAsia="zh-CN"/>
        </w:rPr>
      </w:pPr>
      <w:r>
        <w:rPr>
          <w:rFonts w:hint="eastAsia" w:ascii="宋体" w:hAnsi="宋体" w:eastAsia="宋体" w:cs="宋体"/>
          <w:b/>
          <w:bCs/>
          <w:sz w:val="28"/>
          <w:szCs w:val="28"/>
          <w:highlight w:val="none"/>
        </w:rPr>
        <w:t>部门名称（公章）：</w:t>
      </w:r>
      <w:r>
        <w:rPr>
          <w:rFonts w:hint="eastAsia" w:ascii="宋体" w:hAnsi="宋体" w:eastAsia="宋体" w:cs="宋体"/>
          <w:b/>
          <w:bCs/>
          <w:sz w:val="28"/>
          <w:szCs w:val="28"/>
          <w:highlight w:val="none"/>
          <w:u w:val="single"/>
        </w:rPr>
        <w:t>昆明市盘龙区人民政府青云街道办事处</w:t>
      </w:r>
      <w:r>
        <w:rPr>
          <w:rFonts w:hint="eastAsia" w:ascii="宋体" w:hAnsi="宋体" w:cs="宋体"/>
          <w:b/>
          <w:bCs/>
          <w:sz w:val="28"/>
          <w:szCs w:val="28"/>
          <w:highlight w:val="none"/>
          <w:u w:val="single"/>
          <w:lang w:val="en-US" w:eastAsia="zh-CN"/>
        </w:rPr>
        <w:t xml:space="preserve">  </w:t>
      </w:r>
    </w:p>
    <w:p>
      <w:pPr>
        <w:keepNext w:val="0"/>
        <w:keepLines w:val="0"/>
        <w:pageBreakBefore w:val="0"/>
        <w:kinsoku/>
        <w:bidi w:val="0"/>
        <w:adjustRightInd w:val="0"/>
        <w:snapToGrid w:val="0"/>
        <w:spacing w:line="360" w:lineRule="auto"/>
        <w:ind w:left="-210" w:leftChars="-100" w:right="-210" w:rightChars="-100"/>
        <w:textAlignment w:val="auto"/>
        <w:rPr>
          <w:rFonts w:hint="eastAsia" w:ascii="宋体" w:hAnsi="宋体" w:eastAsia="宋体" w:cs="宋体"/>
          <w:b/>
          <w:bCs/>
          <w:sz w:val="28"/>
          <w:szCs w:val="28"/>
          <w:highlight w:val="none"/>
          <w:u w:val="none"/>
        </w:rPr>
      </w:pPr>
      <w:r>
        <w:rPr>
          <w:rFonts w:hint="eastAsia" w:ascii="宋体" w:hAnsi="宋体" w:eastAsia="宋体" w:cs="宋体"/>
          <w:b/>
          <w:bCs/>
          <w:sz w:val="28"/>
          <w:szCs w:val="28"/>
          <w:highlight w:val="none"/>
        </w:rPr>
        <w:t>项目单位：</w:t>
      </w:r>
      <w:r>
        <w:rPr>
          <w:rFonts w:hint="eastAsia" w:ascii="宋体" w:hAnsi="宋体" w:eastAsia="宋体" w:cs="宋体"/>
          <w:b/>
          <w:bCs/>
          <w:sz w:val="28"/>
          <w:szCs w:val="28"/>
          <w:highlight w:val="none"/>
          <w:u w:val="single"/>
        </w:rPr>
        <w:t>昆明市盘龙区人民政府青云街道办事处</w:t>
      </w:r>
      <w:r>
        <w:rPr>
          <w:rFonts w:hint="eastAsia" w:ascii="宋体" w:hAnsi="宋体" w:eastAsia="宋体" w:cs="宋体"/>
          <w:b/>
          <w:bCs/>
          <w:sz w:val="24"/>
          <w:szCs w:val="24"/>
          <w:highlight w:val="none"/>
          <w:u w:val="single"/>
        </w:rPr>
        <w:t xml:space="preserve"> </w:t>
      </w:r>
      <w:r>
        <w:rPr>
          <w:rFonts w:hint="eastAsia" w:ascii="宋体" w:hAnsi="宋体" w:cs="宋体"/>
          <w:b/>
          <w:bCs/>
          <w:sz w:val="24"/>
          <w:szCs w:val="24"/>
          <w:highlight w:val="none"/>
          <w:u w:val="single"/>
          <w:lang w:val="en-US" w:eastAsia="zh-CN"/>
        </w:rPr>
        <w:t xml:space="preserve">           </w:t>
      </w:r>
      <w:r>
        <w:rPr>
          <w:rFonts w:hint="eastAsia" w:ascii="宋体" w:hAnsi="宋体" w:eastAsia="宋体" w:cs="宋体"/>
          <w:b/>
          <w:bCs/>
          <w:sz w:val="24"/>
          <w:szCs w:val="24"/>
          <w:highlight w:val="none"/>
          <w:u w:val="none"/>
        </w:rPr>
        <w:t xml:space="preserve">  </w:t>
      </w:r>
      <w:r>
        <w:rPr>
          <w:rFonts w:hint="eastAsia" w:ascii="宋体" w:hAnsi="宋体" w:cs="宋体"/>
          <w:b/>
          <w:bCs/>
          <w:sz w:val="24"/>
          <w:szCs w:val="24"/>
          <w:highlight w:val="none"/>
          <w:u w:val="none"/>
          <w:lang w:val="en-US" w:eastAsia="zh-CN"/>
        </w:rPr>
        <w:t xml:space="preserve"> </w:t>
      </w:r>
      <w:r>
        <w:rPr>
          <w:rFonts w:hint="eastAsia" w:ascii="宋体" w:hAnsi="宋体" w:eastAsia="宋体" w:cs="宋体"/>
          <w:b/>
          <w:bCs/>
          <w:sz w:val="24"/>
          <w:szCs w:val="24"/>
          <w:highlight w:val="none"/>
          <w:u w:val="none"/>
        </w:rPr>
        <w:t xml:space="preserve"> </w:t>
      </w:r>
      <w:r>
        <w:rPr>
          <w:rFonts w:hint="eastAsia" w:ascii="宋体" w:hAnsi="宋体" w:eastAsia="宋体" w:cs="宋体"/>
          <w:b/>
          <w:bCs/>
          <w:sz w:val="28"/>
          <w:szCs w:val="28"/>
          <w:highlight w:val="none"/>
          <w:u w:val="none"/>
        </w:rPr>
        <w:t xml:space="preserve">   </w:t>
      </w:r>
    </w:p>
    <w:p>
      <w:pPr>
        <w:keepNext w:val="0"/>
        <w:keepLines w:val="0"/>
        <w:pageBreakBefore w:val="0"/>
        <w:kinsoku/>
        <w:bidi w:val="0"/>
        <w:adjustRightInd w:val="0"/>
        <w:snapToGrid w:val="0"/>
        <w:spacing w:line="360" w:lineRule="auto"/>
        <w:ind w:left="-210" w:leftChars="-100" w:right="-210" w:rightChars="-100"/>
        <w:textAlignment w:val="auto"/>
        <w:rPr>
          <w:rFonts w:hint="default" w:ascii="宋体" w:hAnsi="宋体" w:eastAsia="宋体" w:cs="宋体"/>
          <w:b/>
          <w:bCs/>
          <w:sz w:val="28"/>
          <w:szCs w:val="28"/>
          <w:highlight w:val="none"/>
          <w:u w:val="single"/>
          <w:lang w:val="en-US" w:eastAsia="zh-CN"/>
        </w:rPr>
      </w:pPr>
      <w:r>
        <w:rPr>
          <w:rFonts w:hint="eastAsia" w:ascii="宋体" w:hAnsi="宋体" w:eastAsia="宋体" w:cs="宋体"/>
          <w:b/>
          <w:bCs/>
          <w:sz w:val="28"/>
          <w:szCs w:val="28"/>
          <w:highlight w:val="none"/>
        </w:rPr>
        <w:t>主管部门：</w:t>
      </w:r>
      <w:r>
        <w:rPr>
          <w:rFonts w:hint="eastAsia" w:ascii="宋体" w:hAnsi="宋体" w:eastAsia="宋体" w:cs="宋体"/>
          <w:b/>
          <w:bCs/>
          <w:sz w:val="28"/>
          <w:szCs w:val="28"/>
          <w:highlight w:val="none"/>
          <w:u w:val="single"/>
        </w:rPr>
        <w:t>昆明市盘龙区财政局</w:t>
      </w:r>
      <w:r>
        <w:rPr>
          <w:rFonts w:hint="eastAsia" w:ascii="宋体" w:hAnsi="宋体" w:cs="宋体"/>
          <w:b/>
          <w:bCs/>
          <w:sz w:val="28"/>
          <w:szCs w:val="28"/>
          <w:highlight w:val="none"/>
          <w:u w:val="single"/>
          <w:lang w:val="en-US" w:eastAsia="zh-CN"/>
        </w:rPr>
        <w:t xml:space="preserve">                          </w:t>
      </w:r>
    </w:p>
    <w:p>
      <w:pPr>
        <w:keepNext w:val="0"/>
        <w:keepLines w:val="0"/>
        <w:pageBreakBefore w:val="0"/>
        <w:kinsoku/>
        <w:bidi w:val="0"/>
        <w:adjustRightInd w:val="0"/>
        <w:snapToGrid w:val="0"/>
        <w:spacing w:line="360" w:lineRule="auto"/>
        <w:ind w:left="-210" w:leftChars="-100" w:right="-210" w:rightChars="-100"/>
        <w:textAlignment w:val="auto"/>
        <w:rPr>
          <w:rFonts w:hint="default" w:ascii="宋体" w:hAnsi="宋体" w:eastAsia="宋体" w:cs="宋体"/>
          <w:b/>
          <w:bCs/>
          <w:sz w:val="28"/>
          <w:szCs w:val="28"/>
          <w:highlight w:val="none"/>
          <w:u w:val="single"/>
          <w:lang w:val="en-US" w:eastAsia="zh-CN"/>
        </w:rPr>
      </w:pPr>
      <w:r>
        <w:rPr>
          <w:rFonts w:hint="eastAsia" w:ascii="宋体" w:hAnsi="宋体" w:eastAsia="宋体" w:cs="宋体"/>
          <w:b/>
          <w:bCs/>
          <w:sz w:val="28"/>
          <w:szCs w:val="28"/>
          <w:highlight w:val="none"/>
        </w:rPr>
        <w:t>项目名称：</w:t>
      </w:r>
      <w:r>
        <w:rPr>
          <w:rFonts w:hint="eastAsia" w:ascii="宋体" w:hAnsi="宋体" w:cs="宋体"/>
          <w:b/>
          <w:bCs/>
          <w:sz w:val="28"/>
          <w:szCs w:val="28"/>
          <w:highlight w:val="none"/>
          <w:u w:val="single"/>
          <w:lang w:val="en-US" w:eastAsia="zh-CN"/>
        </w:rPr>
        <w:t xml:space="preserve">城乡社区管理工作经费                        </w:t>
      </w:r>
    </w:p>
    <w:p>
      <w:pPr>
        <w:keepNext w:val="0"/>
        <w:keepLines w:val="0"/>
        <w:pageBreakBefore w:val="0"/>
        <w:kinsoku/>
        <w:bidi w:val="0"/>
        <w:adjustRightInd w:val="0"/>
        <w:snapToGrid w:val="0"/>
        <w:spacing w:line="360" w:lineRule="auto"/>
        <w:ind w:left="-210" w:leftChars="-100" w:right="-210" w:rightChars="-100"/>
        <w:textAlignment w:val="auto"/>
        <w:rPr>
          <w:rFonts w:hint="default" w:ascii="宋体" w:hAnsi="宋体" w:eastAsia="宋体" w:cs="宋体"/>
          <w:b/>
          <w:bCs/>
          <w:sz w:val="28"/>
          <w:szCs w:val="28"/>
          <w:highlight w:val="none"/>
          <w:u w:val="single"/>
          <w:lang w:val="en-US" w:eastAsia="zh-CN"/>
        </w:rPr>
      </w:pPr>
      <w:r>
        <w:rPr>
          <w:rFonts w:hint="eastAsia" w:ascii="宋体" w:hAnsi="宋体" w:eastAsia="宋体" w:cs="宋体"/>
          <w:b/>
          <w:bCs/>
          <w:sz w:val="28"/>
          <w:szCs w:val="28"/>
          <w:highlight w:val="none"/>
        </w:rPr>
        <w:t>绩效自评日期：</w:t>
      </w:r>
      <w:r>
        <w:rPr>
          <w:rFonts w:hint="eastAsia" w:ascii="宋体" w:hAnsi="宋体" w:cs="宋体"/>
          <w:b/>
          <w:bCs/>
          <w:sz w:val="28"/>
          <w:szCs w:val="28"/>
          <w:highlight w:val="none"/>
          <w:u w:val="single"/>
          <w:lang w:val="en-US" w:eastAsia="zh-CN"/>
        </w:rPr>
        <w:t>2021</w:t>
      </w:r>
      <w:r>
        <w:rPr>
          <w:rFonts w:hint="eastAsia" w:ascii="宋体" w:hAnsi="宋体" w:eastAsia="宋体" w:cs="宋体"/>
          <w:b/>
          <w:bCs/>
          <w:sz w:val="28"/>
          <w:szCs w:val="28"/>
          <w:highlight w:val="none"/>
          <w:u w:val="single"/>
        </w:rPr>
        <w:t>年</w:t>
      </w:r>
      <w:r>
        <w:rPr>
          <w:rFonts w:hint="eastAsia" w:ascii="宋体" w:hAnsi="宋体" w:cs="宋体"/>
          <w:b/>
          <w:bCs/>
          <w:sz w:val="28"/>
          <w:szCs w:val="28"/>
          <w:highlight w:val="none"/>
          <w:u w:val="single"/>
          <w:lang w:val="en-US" w:eastAsia="zh-CN"/>
        </w:rPr>
        <w:t>5</w:t>
      </w:r>
      <w:r>
        <w:rPr>
          <w:rFonts w:hint="eastAsia" w:ascii="宋体" w:hAnsi="宋体" w:eastAsia="宋体" w:cs="宋体"/>
          <w:b/>
          <w:bCs/>
          <w:sz w:val="28"/>
          <w:szCs w:val="28"/>
          <w:highlight w:val="none"/>
          <w:u w:val="single"/>
        </w:rPr>
        <w:t>月</w:t>
      </w:r>
      <w:r>
        <w:rPr>
          <w:rFonts w:hint="eastAsia" w:ascii="宋体" w:hAnsi="宋体" w:cs="宋体"/>
          <w:b/>
          <w:bCs/>
          <w:sz w:val="28"/>
          <w:szCs w:val="28"/>
          <w:highlight w:val="none"/>
          <w:u w:val="single"/>
          <w:lang w:val="en-US" w:eastAsia="zh-CN"/>
        </w:rPr>
        <w:t>7</w:t>
      </w:r>
      <w:r>
        <w:rPr>
          <w:rFonts w:hint="eastAsia" w:ascii="宋体" w:hAnsi="宋体" w:eastAsia="宋体" w:cs="宋体"/>
          <w:b/>
          <w:bCs/>
          <w:sz w:val="28"/>
          <w:szCs w:val="28"/>
          <w:highlight w:val="none"/>
          <w:u w:val="single"/>
        </w:rPr>
        <w:t>日</w:t>
      </w:r>
      <w:r>
        <w:rPr>
          <w:rFonts w:hint="eastAsia" w:ascii="宋体" w:hAnsi="宋体" w:cs="宋体"/>
          <w:b/>
          <w:bCs/>
          <w:sz w:val="28"/>
          <w:szCs w:val="28"/>
          <w:highlight w:val="none"/>
          <w:u w:val="single"/>
          <w:lang w:val="en-US" w:eastAsia="zh-CN"/>
        </w:rPr>
        <w:t xml:space="preserve">                          </w:t>
      </w:r>
    </w:p>
    <w:p>
      <w:pPr>
        <w:spacing w:line="360" w:lineRule="auto"/>
        <w:ind w:left="1218" w:leftChars="580"/>
        <w:rPr>
          <w:rFonts w:ascii="Times New Roman" w:hAnsi="Times New Roman" w:eastAsia="黑体"/>
          <w:b/>
          <w:bCs/>
          <w:sz w:val="28"/>
          <w:szCs w:val="28"/>
          <w:highlight w:val="none"/>
        </w:rPr>
      </w:pPr>
    </w:p>
    <w:p>
      <w:pPr>
        <w:jc w:val="center"/>
        <w:rPr>
          <w:rFonts w:hint="default" w:ascii="Times New Roman" w:hAnsi="Times New Roman" w:eastAsia="黑体" w:cs="黑体"/>
          <w:b/>
          <w:bCs/>
          <w:sz w:val="28"/>
          <w:szCs w:val="28"/>
          <w:highlight w:val="none"/>
          <w:lang w:val="en-US" w:eastAsia="zh-CN"/>
        </w:rPr>
      </w:pPr>
      <w:r>
        <w:rPr>
          <w:rFonts w:ascii="Times New Roman" w:hAnsi="Times New Roman" w:eastAsia="黑体"/>
          <w:b/>
          <w:bCs/>
          <w:sz w:val="28"/>
          <w:szCs w:val="28"/>
          <w:highlight w:val="none"/>
        </w:rPr>
        <w:t>20</w:t>
      </w:r>
      <w:r>
        <w:rPr>
          <w:rFonts w:hint="eastAsia" w:ascii="Times New Roman" w:hAnsi="Times New Roman" w:eastAsia="黑体"/>
          <w:b/>
          <w:bCs/>
          <w:sz w:val="28"/>
          <w:szCs w:val="28"/>
          <w:highlight w:val="none"/>
          <w:lang w:val="en-US" w:eastAsia="zh-CN"/>
        </w:rPr>
        <w:t>21</w:t>
      </w:r>
      <w:r>
        <w:rPr>
          <w:rFonts w:hint="eastAsia" w:ascii="Times New Roman" w:hAnsi="Times New Roman" w:eastAsia="黑体" w:cs="黑体"/>
          <w:b/>
          <w:bCs/>
          <w:sz w:val="28"/>
          <w:szCs w:val="28"/>
          <w:highlight w:val="none"/>
        </w:rPr>
        <w:t>年</w:t>
      </w:r>
      <w:r>
        <w:rPr>
          <w:rFonts w:hint="eastAsia" w:ascii="Times New Roman" w:hAnsi="Times New Roman" w:eastAsia="黑体" w:cs="黑体"/>
          <w:b/>
          <w:bCs/>
          <w:sz w:val="28"/>
          <w:szCs w:val="28"/>
          <w:highlight w:val="none"/>
          <w:lang w:val="en-US" w:eastAsia="zh-CN"/>
        </w:rPr>
        <w:t>5</w:t>
      </w:r>
      <w:r>
        <w:rPr>
          <w:rFonts w:hint="eastAsia" w:ascii="Times New Roman" w:hAnsi="Times New Roman" w:eastAsia="黑体" w:cs="黑体"/>
          <w:b/>
          <w:bCs/>
          <w:sz w:val="28"/>
          <w:szCs w:val="28"/>
          <w:highlight w:val="none"/>
        </w:rPr>
        <w:t>月</w:t>
      </w:r>
    </w:p>
    <w:p>
      <w:pPr>
        <w:jc w:val="center"/>
        <w:rPr>
          <w:rFonts w:ascii="Times New Roman" w:hAnsi="Times New Roman" w:eastAsia="黑体" w:cs="黑体"/>
          <w:b/>
          <w:bCs/>
          <w:sz w:val="28"/>
          <w:szCs w:val="28"/>
          <w:highlight w:val="none"/>
        </w:rPr>
      </w:pPr>
    </w:p>
    <w:p>
      <w:pPr>
        <w:jc w:val="center"/>
        <w:rPr>
          <w:rFonts w:ascii="Times New Roman" w:hAnsi="Times New Roman" w:eastAsia="黑体" w:cs="黑体"/>
          <w:b/>
          <w:bCs/>
          <w:sz w:val="28"/>
          <w:szCs w:val="28"/>
          <w:highlight w:val="none"/>
        </w:rPr>
      </w:pPr>
    </w:p>
    <w:p>
      <w:pPr>
        <w:jc w:val="both"/>
        <w:rPr>
          <w:rFonts w:ascii="Times New Roman" w:hAnsi="Times New Roman" w:eastAsia="仿宋_GB2312"/>
          <w:b/>
          <w:bCs/>
          <w:sz w:val="28"/>
          <w:szCs w:val="28"/>
          <w:highlight w:val="none"/>
        </w:rPr>
      </w:pPr>
    </w:p>
    <w:p>
      <w:pPr>
        <w:widowControl/>
        <w:jc w:val="left"/>
        <w:rPr>
          <w:rFonts w:ascii="Times New Roman" w:hAnsi="Times New Roman" w:eastAsia="仿宋_GB2312"/>
          <w:b/>
          <w:bCs/>
          <w:sz w:val="28"/>
          <w:szCs w:val="28"/>
          <w:highlight w:val="none"/>
        </w:rPr>
        <w:sectPr>
          <w:pgSz w:w="11906" w:h="16838"/>
          <w:pgMar w:top="1440" w:right="1800" w:bottom="1440" w:left="1800" w:header="851" w:footer="992" w:gutter="0"/>
          <w:cols w:space="425" w:num="1"/>
          <w:titlePg/>
          <w:docGrid w:type="lines" w:linePitch="312" w:charSpace="0"/>
        </w:sectPr>
      </w:pPr>
    </w:p>
    <w:p>
      <w:pPr>
        <w:spacing w:line="440" w:lineRule="exact"/>
        <w:jc w:val="center"/>
        <w:rPr>
          <w:rFonts w:hint="eastAsia" w:ascii="方正小标宋_GBK" w:eastAsia="方正小标宋_GBK"/>
          <w:sz w:val="36"/>
          <w:szCs w:val="36"/>
          <w:highlight w:val="none"/>
          <w:lang w:val="en-US" w:eastAsia="zh-CN"/>
        </w:rPr>
      </w:pPr>
      <w:bookmarkStart w:id="0" w:name="_GoBack"/>
      <w:bookmarkEnd w:id="0"/>
    </w:p>
    <w:p>
      <w:pPr>
        <w:spacing w:line="440" w:lineRule="exact"/>
        <w:jc w:val="center"/>
        <w:rPr>
          <w:rFonts w:ascii="楷体" w:hAnsi="楷体" w:eastAsia="楷体"/>
          <w:szCs w:val="32"/>
          <w:highlight w:val="none"/>
        </w:rPr>
      </w:pPr>
      <w:r>
        <w:rPr>
          <w:rFonts w:hint="eastAsia" w:ascii="方正小标宋_GBK" w:eastAsia="方正小标宋_GBK"/>
          <w:sz w:val="36"/>
          <w:szCs w:val="36"/>
          <w:highlight w:val="none"/>
          <w:lang w:val="en-US" w:eastAsia="zh-CN"/>
        </w:rPr>
        <w:t>城乡社区管理工作</w:t>
      </w:r>
      <w:r>
        <w:rPr>
          <w:rFonts w:hint="eastAsia" w:ascii="方正小标宋_GBK" w:eastAsia="方正小标宋_GBK"/>
          <w:sz w:val="36"/>
          <w:szCs w:val="36"/>
          <w:highlight w:val="none"/>
        </w:rPr>
        <w:t>项目支出绩效自评报告</w:t>
      </w:r>
    </w:p>
    <w:p>
      <w:pPr>
        <w:topLinePunct/>
        <w:spacing w:line="440" w:lineRule="exact"/>
        <w:rPr>
          <w:rFonts w:ascii="黑体" w:eastAsia="黑体"/>
          <w:szCs w:val="32"/>
          <w:highlight w:val="none"/>
        </w:rPr>
      </w:pPr>
    </w:p>
    <w:p>
      <w:pPr>
        <w:keepNext w:val="0"/>
        <w:keepLines w:val="0"/>
        <w:pageBreakBefore w:val="0"/>
        <w:widowControl w:val="0"/>
        <w:kinsoku/>
        <w:wordWrap/>
        <w:overflowPunct/>
        <w:topLinePunct/>
        <w:autoSpaceDE/>
        <w:autoSpaceDN/>
        <w:bidi w:val="0"/>
        <w:adjustRightInd/>
        <w:snapToGrid/>
        <w:spacing w:line="360" w:lineRule="auto"/>
        <w:ind w:firstLine="643" w:firstLineChars="200"/>
        <w:textAlignment w:val="auto"/>
        <w:rPr>
          <w:rFonts w:hint="eastAsia" w:ascii="仿宋" w:hAnsi="仿宋" w:eastAsia="仿宋" w:cs="仿宋"/>
          <w:b/>
          <w:bCs/>
          <w:sz w:val="32"/>
          <w:szCs w:val="32"/>
          <w:highlight w:val="none"/>
        </w:rPr>
      </w:pPr>
      <w:r>
        <w:rPr>
          <w:rFonts w:hint="eastAsia" w:ascii="仿宋" w:hAnsi="仿宋" w:eastAsia="仿宋" w:cs="仿宋"/>
          <w:b/>
          <w:bCs/>
          <w:sz w:val="32"/>
          <w:szCs w:val="32"/>
          <w:highlight w:val="none"/>
        </w:rPr>
        <w:t>一、项目基本情况</w:t>
      </w:r>
    </w:p>
    <w:p>
      <w:pPr>
        <w:keepNext w:val="0"/>
        <w:keepLines w:val="0"/>
        <w:pageBreakBefore w:val="0"/>
        <w:widowControl w:val="0"/>
        <w:kinsoku/>
        <w:wordWrap/>
        <w:overflowPunct/>
        <w:topLinePunct/>
        <w:autoSpaceDE/>
        <w:autoSpaceDN/>
        <w:bidi w:val="0"/>
        <w:adjustRightInd/>
        <w:snapToGrid/>
        <w:spacing w:line="360" w:lineRule="auto"/>
        <w:ind w:firstLine="643" w:firstLineChars="200"/>
        <w:textAlignment w:val="auto"/>
        <w:rPr>
          <w:rFonts w:hint="eastAsia" w:ascii="仿宋" w:hAnsi="仿宋" w:eastAsia="仿宋" w:cs="仿宋"/>
          <w:sz w:val="32"/>
          <w:szCs w:val="32"/>
          <w:highlight w:val="none"/>
        </w:rPr>
      </w:pPr>
      <w:r>
        <w:rPr>
          <w:rFonts w:hint="eastAsia" w:ascii="仿宋" w:hAnsi="仿宋" w:eastAsia="仿宋" w:cs="仿宋"/>
          <w:b/>
          <w:bCs/>
          <w:sz w:val="32"/>
          <w:szCs w:val="32"/>
          <w:highlight w:val="none"/>
        </w:rPr>
        <w:t>（一）项目概况</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lang w:val="en-US" w:eastAsia="zh-CN"/>
        </w:rPr>
        <w:t>项目</w:t>
      </w:r>
      <w:r>
        <w:rPr>
          <w:rFonts w:hint="eastAsia" w:ascii="仿宋" w:hAnsi="仿宋" w:eastAsia="仿宋" w:cs="仿宋"/>
          <w:sz w:val="32"/>
          <w:szCs w:val="32"/>
          <w:highlight w:val="none"/>
        </w:rPr>
        <w:t>立项背景及目的</w:t>
      </w:r>
    </w:p>
    <w:p>
      <w:pPr>
        <w:keepNext w:val="0"/>
        <w:keepLines w:val="0"/>
        <w:pageBreakBefore w:val="0"/>
        <w:widowControl w:val="0"/>
        <w:numPr>
          <w:ilvl w:val="0"/>
          <w:numId w:val="0"/>
        </w:numPr>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在区人民政府的领导下，以街道为主导，以社区组织和社区成员为依托，结合行政与法律、经济与教育、功德与情感等手段，合理调配和利用社区资源，发展社区事业，提高社区成员的生存质量，促进社区经济和社会协调发展过程。</w:t>
      </w:r>
    </w:p>
    <w:p>
      <w:pPr>
        <w:pStyle w:val="2"/>
        <w:rPr>
          <w:rFonts w:hint="eastAsia" w:ascii="仿宋" w:hAnsi="仿宋" w:eastAsia="仿宋" w:cs="仿宋"/>
          <w:sz w:val="32"/>
          <w:szCs w:val="32"/>
          <w:lang w:val="en-US" w:eastAsia="zh-CN"/>
        </w:rPr>
      </w:pPr>
      <w:r>
        <w:rPr>
          <w:rFonts w:hint="eastAsia" w:ascii="仿宋" w:hAnsi="仿宋" w:eastAsia="仿宋" w:cs="仿宋"/>
          <w:sz w:val="32"/>
          <w:szCs w:val="32"/>
          <w:highlight w:val="none"/>
          <w:lang w:val="en-US" w:eastAsia="zh-CN"/>
        </w:rPr>
        <w:t>2、项目实施</w:t>
      </w:r>
      <w:r>
        <w:rPr>
          <w:rFonts w:hint="eastAsia" w:ascii="仿宋" w:hAnsi="仿宋" w:eastAsia="仿宋" w:cs="仿宋"/>
          <w:sz w:val="32"/>
          <w:szCs w:val="32"/>
          <w:highlight w:val="none"/>
        </w:rPr>
        <w:t>目的</w:t>
      </w:r>
    </w:p>
    <w:p>
      <w:pPr>
        <w:keepNext w:val="0"/>
        <w:keepLines w:val="0"/>
        <w:pageBreakBefore w:val="0"/>
        <w:widowControl w:val="0"/>
        <w:numPr>
          <w:ilvl w:val="0"/>
          <w:numId w:val="0"/>
        </w:numPr>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紧紧围绕统筹推进“五位一体”总体布局和协调推进“四个全面”战略布局，坚持以基层党组织建设为关键、政府治理为主导、居民需求为导向、改革创新为动力，健全体系、整合资源、增强能力，完善城乡社区治理体制，通过科学有效的城乡社区治理，加快形成城乡经济社会发展一体化新格局，实现青云街道科学发展新跨越。完善社区、村基层管理体制和基层民主自治制度，提高社区现代化水平和矛盾化解能力，努力把青云街道建设成为和谐有序、绿色文明、创新包容、共建共享的幸福家园。</w:t>
      </w:r>
    </w:p>
    <w:p>
      <w:pPr>
        <w:keepNext w:val="0"/>
        <w:keepLines w:val="0"/>
        <w:pageBreakBefore w:val="0"/>
        <w:widowControl w:val="0"/>
        <w:numPr>
          <w:ilvl w:val="0"/>
          <w:numId w:val="0"/>
        </w:numPr>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3、</w:t>
      </w:r>
      <w:r>
        <w:rPr>
          <w:rFonts w:hint="eastAsia" w:ascii="仿宋" w:hAnsi="仿宋" w:eastAsia="仿宋" w:cs="仿宋"/>
          <w:sz w:val="32"/>
          <w:szCs w:val="32"/>
          <w:highlight w:val="none"/>
        </w:rPr>
        <w:t>项目实施情况</w:t>
      </w:r>
    </w:p>
    <w:p>
      <w:pPr>
        <w:ind w:firstLine="640" w:firstLineChars="200"/>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2020年度城乡社区管理工作经费预算资金为210.88万元，2020年城乡社区管理工作经费实际支出210.88万，完成进度的100%。经费的投入完善了办事处辖区范围内各城乡社区基础设施建设，形成了街道多元化共治社区治理，保障了辖区城乡社区管理工作有序进行。街道充分利用有限的资金，科学组织，严格控制标准，注重维护和完善使用功能，对资金使用严格财经纪律，专款专用，确保资金使用效率。</w:t>
      </w:r>
    </w:p>
    <w:p>
      <w:pPr>
        <w:keepNext w:val="0"/>
        <w:keepLines w:val="0"/>
        <w:pageBreakBefore w:val="0"/>
        <w:widowControl w:val="0"/>
        <w:numPr>
          <w:ilvl w:val="0"/>
          <w:numId w:val="0"/>
        </w:numPr>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4、</w:t>
      </w:r>
      <w:r>
        <w:rPr>
          <w:rFonts w:hint="eastAsia" w:ascii="仿宋" w:hAnsi="仿宋" w:eastAsia="仿宋" w:cs="仿宋"/>
          <w:sz w:val="32"/>
          <w:szCs w:val="32"/>
          <w:highlight w:val="none"/>
        </w:rPr>
        <w:t>资金来源及使用情况</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 xml:space="preserve">该项目资金来源于本级财政拨付，根据盘财预追〔2020〕9-54号城乡社区管理工作经费文件要求，城乡社区管理工作经费财政申报预算下拨经费为210.88万元，由部门决算表得出，年末决算数为210.88万元，预算资金执行率达到100%。列支项目主要为劳务费154.51万元；委托业务费52.39万元，办公费3.98万元。 </w:t>
      </w:r>
    </w:p>
    <w:p>
      <w:pPr>
        <w:keepNext w:val="0"/>
        <w:keepLines w:val="0"/>
        <w:pageBreakBefore w:val="0"/>
        <w:widowControl w:val="0"/>
        <w:numPr>
          <w:ilvl w:val="0"/>
          <w:numId w:val="0"/>
        </w:numPr>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5、</w:t>
      </w:r>
      <w:r>
        <w:rPr>
          <w:rFonts w:hint="eastAsia" w:ascii="仿宋" w:hAnsi="仿宋" w:eastAsia="仿宋" w:cs="仿宋"/>
          <w:sz w:val="32"/>
          <w:szCs w:val="32"/>
          <w:highlight w:val="none"/>
        </w:rPr>
        <w:t>组织及管理情况</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项目组织情况：由行政办统一安排，对每个明细项目实施时间进行精细化分解。实施者做好成本控制、进度跟踪、结果检查工作，管理者做好总体把控工作，确保绩效目标保质保量，准时完成。</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项目实施流程：年初按照部门计划及上年总结实施项目预算申报，区财政下达预算资金，在使用项目资金时，严格按照单位各项财务制度进行审批，过会审批后在支付项目资金。项目实施过程中严格按照盘龙区区级预算绩效跟踪管理暂行办法规定完成项目进度，绩效跟踪过程中，对年初各项预算指标出现偏差的及时进行调整纠偏。年末按照预算和绩效管理一体化要求，结合自身业务特点，优化预算管理流程，完善内控制度，明确单位内部绩效目标设置、监控、评价和审核的责任分工，加强财务与业务工作紧密衔接。业务科室按照预算绩效评价的相关规定，按照批复的绩效目标组织预算执行，绩效评价小组根据设定的绩效目标开展绩效监控、绩效自评和绩效评价。</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成立工作小组，建立绩效目标监控机制，及时掌握绩效目标阶段性完成结果，及时纠正偏差。组织专业人员，积极向区委咨询学习，以应对项目实施中可能存在的难点或风险。跟踪资金使用情况，以确保资金使用率达到100%。</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 xml:space="preserve">资金拨付流程：项目各项经费支出均通过党工委会议讨论决定，通过相关报账手续后，由财务科进行资金拨付。项目实际支出与项目计划投入资金的用途相符，资金的拨付有完整的审批程序和手续，符合项目预算批复或合同规定的用途，不超标列支相关费用，做到专款专用，不截留、挤占、挪用、虚列支出。 </w:t>
      </w:r>
    </w:p>
    <w:p>
      <w:pPr>
        <w:keepNext w:val="0"/>
        <w:keepLines w:val="0"/>
        <w:pageBreakBefore w:val="0"/>
        <w:widowControl w:val="0"/>
        <w:kinsoku/>
        <w:wordWrap/>
        <w:overflowPunct/>
        <w:topLinePunct/>
        <w:autoSpaceDE/>
        <w:autoSpaceDN/>
        <w:bidi w:val="0"/>
        <w:adjustRightInd/>
        <w:snapToGrid/>
        <w:spacing w:line="360" w:lineRule="auto"/>
        <w:ind w:firstLine="643" w:firstLineChars="200"/>
        <w:textAlignment w:val="auto"/>
        <w:rPr>
          <w:rFonts w:hint="eastAsia" w:ascii="仿宋" w:hAnsi="仿宋" w:eastAsia="仿宋" w:cs="仿宋"/>
          <w:b/>
          <w:bCs/>
          <w:sz w:val="32"/>
          <w:szCs w:val="32"/>
          <w:highlight w:val="none"/>
          <w:lang w:val="en-US" w:eastAsia="zh-CN"/>
        </w:rPr>
      </w:pPr>
      <w:r>
        <w:rPr>
          <w:rFonts w:hint="eastAsia" w:ascii="仿宋" w:hAnsi="仿宋" w:eastAsia="仿宋" w:cs="仿宋"/>
          <w:b/>
          <w:bCs/>
          <w:sz w:val="32"/>
          <w:szCs w:val="32"/>
          <w:highlight w:val="none"/>
          <w:lang w:val="en-US" w:eastAsia="zh-CN"/>
        </w:rPr>
        <w:t>（二）绩效目标</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1、总目标</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以推进城乡社区治理体系和治理能力现代化为主要目标，加快形成社区（村）党组织领导，社区居（村）委会为主导，社区（村）各类服务机构、社会组织、驻区单位等社会力量和社区居民多元参与、共同治理的工作体系，构建“五级治理”为基础纵向到底、共商共治为主要内容横向无限的立体工作模式，形成街道多元化共治社区治理新格局。</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2、年度目标</w:t>
      </w:r>
    </w:p>
    <w:p>
      <w:pPr>
        <w:keepNext w:val="0"/>
        <w:keepLines w:val="0"/>
        <w:pageBreakBefore w:val="0"/>
        <w:widowControl w:val="0"/>
        <w:kinsoku/>
        <w:wordWrap/>
        <w:overflowPunct/>
        <w:topLinePunct/>
        <w:autoSpaceDE/>
        <w:autoSpaceDN/>
        <w:bidi w:val="0"/>
        <w:adjustRightInd/>
        <w:snapToGrid/>
        <w:spacing w:line="360" w:lineRule="auto"/>
        <w:ind w:firstLine="320" w:firstLineChars="1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产出目标：健全各社区人员队伍，在小区、庭院、楼栋设立“五级治理”管理人员公示牌，制定居务公开制度、居民代表提案制度，规范社区居委会。健全街道、社区发展治理工作机构，优化社区党组织设置，推进区域化党建。</w:t>
      </w:r>
    </w:p>
    <w:p>
      <w:pPr>
        <w:keepNext w:val="0"/>
        <w:keepLines w:val="0"/>
        <w:pageBreakBefore w:val="0"/>
        <w:widowControl w:val="0"/>
        <w:kinsoku/>
        <w:wordWrap/>
        <w:overflowPunct/>
        <w:topLinePunct/>
        <w:autoSpaceDE/>
        <w:autoSpaceDN/>
        <w:bidi w:val="0"/>
        <w:adjustRightInd/>
        <w:snapToGrid/>
        <w:spacing w:line="360" w:lineRule="auto"/>
        <w:ind w:firstLine="320" w:firstLineChars="1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效果目标：完成社区党群服务中心规范化建设使得辖区内的经济、社会、环境效应能持续运行，提升辖区居民满意度。</w:t>
      </w:r>
    </w:p>
    <w:p>
      <w:pPr>
        <w:keepNext w:val="0"/>
        <w:keepLines w:val="0"/>
        <w:pageBreakBefore w:val="0"/>
        <w:widowControl w:val="0"/>
        <w:kinsoku/>
        <w:wordWrap/>
        <w:overflowPunct/>
        <w:topLinePunct/>
        <w:autoSpaceDE/>
        <w:autoSpaceDN/>
        <w:bidi w:val="0"/>
        <w:adjustRightInd/>
        <w:snapToGrid/>
        <w:spacing w:line="360" w:lineRule="auto"/>
        <w:ind w:firstLine="321" w:firstLineChars="100"/>
        <w:textAlignment w:val="auto"/>
        <w:rPr>
          <w:rFonts w:hint="eastAsia" w:ascii="仿宋" w:hAnsi="仿宋" w:eastAsia="仿宋" w:cs="仿宋"/>
          <w:b/>
          <w:bCs/>
          <w:sz w:val="32"/>
          <w:szCs w:val="32"/>
          <w:highlight w:val="none"/>
          <w:lang w:val="en-US" w:eastAsia="zh-CN"/>
        </w:rPr>
      </w:pPr>
      <w:r>
        <w:rPr>
          <w:rFonts w:hint="eastAsia" w:ascii="仿宋" w:hAnsi="仿宋" w:eastAsia="仿宋" w:cs="仿宋"/>
          <w:b/>
          <w:bCs/>
          <w:sz w:val="32"/>
          <w:szCs w:val="32"/>
          <w:highlight w:val="none"/>
          <w:lang w:val="en-US" w:eastAsia="zh-CN"/>
        </w:rPr>
        <w:t>二、绩效评价工作情况</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（一）绩效评价目的</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（二）</w:t>
      </w:r>
      <w:r>
        <w:rPr>
          <w:rFonts w:hint="eastAsia" w:ascii="仿宋" w:hAnsi="仿宋" w:eastAsia="仿宋" w:cs="仿宋"/>
          <w:sz w:val="32"/>
          <w:szCs w:val="32"/>
          <w:highlight w:val="none"/>
        </w:rPr>
        <w:t>绩效评价指标体系及工作方案的设计</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1、绩效评价指标体系</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rPr>
      </w:pPr>
      <w:r>
        <w:rPr>
          <w:rFonts w:hint="eastAsia" w:ascii="仿宋" w:hAnsi="仿宋" w:eastAsia="仿宋" w:cs="仿宋"/>
          <w:color w:val="auto"/>
          <w:sz w:val="32"/>
          <w:szCs w:val="32"/>
          <w:highlight w:val="none"/>
        </w:rPr>
        <w:t>根据项目内容，评价指标体系按照项目决策、项目管理和项目绩效三个方面分成七个二级指标、二十个三级指标、三十</w:t>
      </w:r>
      <w:r>
        <w:rPr>
          <w:rFonts w:hint="eastAsia" w:ascii="仿宋" w:hAnsi="仿宋" w:eastAsia="仿宋" w:cs="仿宋"/>
          <w:color w:val="auto"/>
          <w:sz w:val="32"/>
          <w:szCs w:val="32"/>
          <w:highlight w:val="none"/>
          <w:lang w:val="en-US" w:eastAsia="zh-CN"/>
        </w:rPr>
        <w:t>三</w:t>
      </w:r>
      <w:r>
        <w:rPr>
          <w:rFonts w:hint="eastAsia" w:ascii="仿宋" w:hAnsi="仿宋" w:eastAsia="仿宋" w:cs="仿宋"/>
          <w:color w:val="auto"/>
          <w:sz w:val="32"/>
          <w:szCs w:val="32"/>
          <w:highlight w:val="none"/>
        </w:rPr>
        <w:t>个四级指标，按照不同权重对项目绩效进行量化评价。每项评价指标都制定了具体</w:t>
      </w:r>
      <w:r>
        <w:rPr>
          <w:rFonts w:hint="eastAsia" w:ascii="仿宋" w:hAnsi="仿宋" w:eastAsia="仿宋" w:cs="仿宋"/>
          <w:sz w:val="32"/>
          <w:szCs w:val="32"/>
          <w:highlight w:val="none"/>
        </w:rPr>
        <w:t>的考核内容和评价标准，对项目绩效给出一个相对客观、准确的评价。根据评分项目权重设定优先梯次</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经过项目具体实施情况，问卷调查</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意见听取等流程最终确定评分结果。</w:t>
      </w:r>
    </w:p>
    <w:p>
      <w:pPr>
        <w:keepNext w:val="0"/>
        <w:keepLines w:val="0"/>
        <w:pageBreakBefore w:val="0"/>
        <w:widowControl w:val="0"/>
        <w:numPr>
          <w:ilvl w:val="0"/>
          <w:numId w:val="0"/>
        </w:numPr>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2、</w:t>
      </w:r>
      <w:r>
        <w:rPr>
          <w:rFonts w:hint="eastAsia" w:ascii="仿宋" w:hAnsi="仿宋" w:eastAsia="仿宋" w:cs="仿宋"/>
          <w:sz w:val="32"/>
          <w:szCs w:val="32"/>
          <w:highlight w:val="none"/>
        </w:rPr>
        <w:t>工作方案的设计</w:t>
      </w:r>
    </w:p>
    <w:p>
      <w:pPr>
        <w:keepNext w:val="0"/>
        <w:keepLines w:val="0"/>
        <w:pageBreakBefore w:val="0"/>
        <w:widowControl w:val="0"/>
        <w:numPr>
          <w:ilvl w:val="0"/>
          <w:numId w:val="0"/>
        </w:numPr>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项目科室自评，根据资金管理使用情况进行自查，形成项目绩效报告（包括资金投入，使用情况，项目实施情况，取得的成果，存在的问题等）。财务科对项目资金拨付、管理、使用情况进行总结分析，按照设定的绩效评价指标进行绩效评价，最后形成综合绩效评价报告。</w:t>
      </w:r>
    </w:p>
    <w:p>
      <w:pPr>
        <w:keepNext w:val="0"/>
        <w:keepLines w:val="0"/>
        <w:pageBreakBefore w:val="0"/>
        <w:widowControl w:val="0"/>
        <w:numPr>
          <w:ilvl w:val="0"/>
          <w:numId w:val="0"/>
        </w:numPr>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lang w:val="en-US" w:eastAsia="zh-CN"/>
        </w:rPr>
        <w:t>三</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绩效评价原则、评价方法</w:t>
      </w:r>
    </w:p>
    <w:p>
      <w:pPr>
        <w:keepNext w:val="0"/>
        <w:keepLines w:val="0"/>
        <w:pageBreakBefore w:val="0"/>
        <w:widowControl w:val="0"/>
        <w:numPr>
          <w:ilvl w:val="0"/>
          <w:numId w:val="0"/>
        </w:numPr>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绩效评价原则</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（1）本次绩效自评遵循科学规范原则，严格执行规定的程序，按照科学可行的要求，采用定量与定性分析相结合的方法。</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（2）公正公开原则。本次绩效评价符合真实、客观、公正的要求，依法公开并接受监督。</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（3）绩效相关原则。本次绩效评价针对具体支出及其产出绩效进行，评价结果应当清晰反映支出和产出绩效之间的紧密对应关系。</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2、绩效评价方法</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根据本项目具体实施情况、核对财务数据、查阅规章制度资料、进行问卷调查、听取意见反馈等方式进行，对项目各目标进行分别评价、询问查证法、公众评议法等方法，现场评价与资料评价相结合，重点关注本项目实施情况和实施效果，对资金使用和项目实施情况进行综合分析，做出总体性评价。</w:t>
      </w:r>
    </w:p>
    <w:p>
      <w:pPr>
        <w:keepNext w:val="0"/>
        <w:keepLines w:val="0"/>
        <w:pageBreakBefore w:val="0"/>
        <w:widowControl w:val="0"/>
        <w:numPr>
          <w:ilvl w:val="0"/>
          <w:numId w:val="0"/>
        </w:numPr>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lang w:eastAsia="zh-CN"/>
        </w:rPr>
      </w:pPr>
      <w:r>
        <w:rPr>
          <w:rFonts w:hint="eastAsia" w:ascii="仿宋" w:hAnsi="仿宋" w:eastAsia="仿宋" w:cs="仿宋"/>
          <w:sz w:val="32"/>
          <w:szCs w:val="32"/>
          <w:highlight w:val="none"/>
          <w:lang w:eastAsia="zh-CN"/>
        </w:rPr>
        <w:t>（四）绩效评价实施过程</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1、前期准备、组织实施。根据绩效评价的相关要求，青云街道办事处成立了绩效评价工作小组，商讨制定了评价方案，明确所需资料清单，进行了人员安排及时间确定等准备工作。</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2、分析评价。⑴核实数据。对2020年度部门整体支出数据的准确性、真实性进行核实，将2020年度和2019年度部门整体支出情况进行比较分析。⑵查阅资料。查阅2020年度预算安排、预算追加、资金管理、经费支出、资产管理、政府采购等相关文件资料和财务凭证。⑶实地查看。现场查看实物资产等。⑷归纳汇总。结合资料进行综合分析、归纳汇总，开展自评。⑸评价组对各项评价指标进行分析讨论。⑹形成绩效评价报告。</w:t>
      </w:r>
    </w:p>
    <w:p>
      <w:pPr>
        <w:keepNext w:val="0"/>
        <w:keepLines w:val="0"/>
        <w:pageBreakBefore w:val="0"/>
        <w:widowControl w:val="0"/>
        <w:numPr>
          <w:ilvl w:val="0"/>
          <w:numId w:val="0"/>
        </w:numPr>
        <w:kinsoku/>
        <w:wordWrap/>
        <w:overflowPunct/>
        <w:topLinePunct/>
        <w:autoSpaceDE/>
        <w:autoSpaceDN/>
        <w:bidi w:val="0"/>
        <w:adjustRightInd/>
        <w:snapToGrid/>
        <w:spacing w:line="360" w:lineRule="auto"/>
        <w:ind w:firstLine="320" w:firstLineChars="1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lang w:val="en-US" w:eastAsia="zh-CN"/>
        </w:rPr>
        <w:t>五）</w:t>
      </w:r>
      <w:r>
        <w:rPr>
          <w:rFonts w:hint="eastAsia" w:ascii="仿宋" w:hAnsi="仿宋" w:eastAsia="仿宋" w:cs="仿宋"/>
          <w:sz w:val="32"/>
          <w:szCs w:val="32"/>
          <w:highlight w:val="none"/>
        </w:rPr>
        <w:t>本次绩效评价的局限性</w:t>
      </w:r>
    </w:p>
    <w:p>
      <w:pPr>
        <w:keepNext w:val="0"/>
        <w:keepLines w:val="0"/>
        <w:pageBreakBefore w:val="0"/>
        <w:widowControl w:val="0"/>
        <w:kinsoku/>
        <w:wordWrap/>
        <w:overflowPunct/>
        <w:topLinePunct/>
        <w:autoSpaceDE/>
        <w:autoSpaceDN/>
        <w:bidi w:val="0"/>
        <w:adjustRightInd/>
        <w:snapToGrid/>
        <w:spacing w:line="360" w:lineRule="auto"/>
        <w:ind w:firstLine="320" w:firstLineChars="1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该项目绩效评价指标设定时，一些指标难以量化细化，如成本指标的具体明细、社会效益指标、生态效益指标、可持续影响指标，这对全面反映项目绩效可能存在一定的局限性。</w:t>
      </w:r>
    </w:p>
    <w:p>
      <w:pPr>
        <w:keepNext w:val="0"/>
        <w:keepLines w:val="0"/>
        <w:pageBreakBefore w:val="0"/>
        <w:widowControl w:val="0"/>
        <w:kinsoku/>
        <w:wordWrap/>
        <w:overflowPunct/>
        <w:topLinePunct/>
        <w:autoSpaceDE/>
        <w:autoSpaceDN/>
        <w:bidi w:val="0"/>
        <w:adjustRightInd/>
        <w:snapToGrid/>
        <w:spacing w:line="360" w:lineRule="auto"/>
        <w:ind w:firstLine="321" w:firstLineChars="100"/>
        <w:textAlignment w:val="auto"/>
        <w:rPr>
          <w:rFonts w:hint="eastAsia" w:ascii="仿宋" w:hAnsi="仿宋" w:eastAsia="仿宋" w:cs="仿宋"/>
          <w:b/>
          <w:bCs/>
          <w:sz w:val="32"/>
          <w:szCs w:val="32"/>
          <w:highlight w:val="none"/>
        </w:rPr>
      </w:pPr>
      <w:r>
        <w:rPr>
          <w:rFonts w:hint="eastAsia" w:ascii="仿宋" w:hAnsi="仿宋" w:eastAsia="仿宋" w:cs="仿宋"/>
          <w:b/>
          <w:bCs/>
          <w:sz w:val="32"/>
          <w:szCs w:val="32"/>
          <w:highlight w:val="none"/>
        </w:rPr>
        <w:t>三、评价结论和绩效分析</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（一）评价结论</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评价结果</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预算编制合理，各项支出均按规定使用，以勤俭节约、量力而行为原则，严格坚持合理适用、量力而行，充分利用有限的资金，科学组织，严格控制标准，注重维护和完善使用功能，对资金使用严格财经纪律，专款专用，确保了资金的使用效率。综合项目的投入、产出及效益我处自评为99分，自评结果为优。</w:t>
      </w:r>
    </w:p>
    <w:p>
      <w:pPr>
        <w:keepNext w:val="0"/>
        <w:keepLines w:val="0"/>
        <w:pageBreakBefore w:val="0"/>
        <w:widowControl w:val="0"/>
        <w:numPr>
          <w:ilvl w:val="0"/>
          <w:numId w:val="0"/>
        </w:numPr>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2、</w:t>
      </w:r>
      <w:r>
        <w:rPr>
          <w:rFonts w:hint="eastAsia" w:ascii="仿宋" w:hAnsi="仿宋" w:eastAsia="仿宋" w:cs="仿宋"/>
          <w:sz w:val="32"/>
          <w:szCs w:val="32"/>
          <w:highlight w:val="none"/>
        </w:rPr>
        <w:t>主要绩效</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健全街道、社区发展治理工作机构，优化社区党组织设置，推进区域化党建。完成社区党群服务中心规范化建设。完成8个社区人员队伍，在小区、庭院、楼栋设立“五级治理”管理人员公示牌，制定居务公开制度、居民代表提案制度，规范社区居委会。</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lang w:val="en-US" w:eastAsia="zh-CN"/>
        </w:rPr>
        <w:t>二）</w:t>
      </w:r>
      <w:r>
        <w:rPr>
          <w:rFonts w:hint="eastAsia" w:ascii="仿宋" w:hAnsi="仿宋" w:eastAsia="仿宋" w:cs="仿宋"/>
          <w:sz w:val="32"/>
          <w:szCs w:val="32"/>
          <w:highlight w:val="none"/>
        </w:rPr>
        <w:t>具体绩效分析</w:t>
      </w:r>
    </w:p>
    <w:p>
      <w:pPr>
        <w:keepNext w:val="0"/>
        <w:keepLines w:val="0"/>
        <w:pageBreakBefore w:val="0"/>
        <w:widowControl w:val="0"/>
        <w:numPr>
          <w:ilvl w:val="0"/>
          <w:numId w:val="0"/>
        </w:numPr>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项目决策：该项目立项与部门中长期规划目标匹配，绩效目标设定合理，设定的绩效目标与事业发展规划相关。能完整地反映预期产出和效果。该项自评得分19分。（扣分原因：项目年初设定各项指标时，部分指标值未做到细化量化）</w:t>
      </w:r>
    </w:p>
    <w:p>
      <w:pPr>
        <w:keepNext w:val="0"/>
        <w:keepLines w:val="0"/>
        <w:pageBreakBefore w:val="0"/>
        <w:widowControl w:val="0"/>
        <w:numPr>
          <w:ilvl w:val="0"/>
          <w:numId w:val="0"/>
        </w:numPr>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目标管理：该项目资金的使用符合预算批复的用途，不存在截留、挤占、挪用、虚列支出等情况，项目资金的使用严格按照《青云道办事处财务管理制度》中的相关规定进行，制度健全、完善、有效。资金的拨付具备完整的审批程序和手续，符合相关制度规定，不存在违反相关财务管理制度的情况。该项自评得分20分。</w:t>
      </w:r>
    </w:p>
    <w:p>
      <w:pPr>
        <w:keepNext w:val="0"/>
        <w:keepLines w:val="0"/>
        <w:pageBreakBefore w:val="0"/>
        <w:widowControl w:val="0"/>
        <w:numPr>
          <w:ilvl w:val="0"/>
          <w:numId w:val="0"/>
        </w:numPr>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项目绩效：该项目资金的投入完善了办事处辖区范围内基础设施建设，推进了市政维护，保障了我处城市管理工作有序进行。城市小区卫生、秩序更加干净整洁，老旧小区管理进一步规范，数字城管案件处理及时，市民投诉减少，城市管理工作有序推进。项目实施以来产生了良好社会效益，对辖区环境产生了积极的影响，项目产出的经济、社会、环境效应能持续运行，项目运行以来的政策制度能持续执行，居民满意度达到98%以上。该项自评得分60分。</w:t>
      </w:r>
    </w:p>
    <w:p>
      <w:pPr>
        <w:keepNext w:val="0"/>
        <w:keepLines w:val="0"/>
        <w:pageBreakBefore w:val="0"/>
        <w:widowControl w:val="0"/>
        <w:numPr>
          <w:ilvl w:val="0"/>
          <w:numId w:val="0"/>
        </w:numPr>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综合以上项目支出绩效体系，城乡社区管理工作经费项目绩效自评总分99分。</w:t>
      </w:r>
    </w:p>
    <w:p>
      <w:pPr>
        <w:keepNext w:val="0"/>
        <w:keepLines w:val="0"/>
        <w:pageBreakBefore w:val="0"/>
        <w:widowControl w:val="0"/>
        <w:numPr>
          <w:ilvl w:val="0"/>
          <w:numId w:val="0"/>
        </w:numPr>
        <w:kinsoku/>
        <w:wordWrap/>
        <w:overflowPunct/>
        <w:topLinePunct/>
        <w:autoSpaceDE/>
        <w:autoSpaceDN/>
        <w:bidi w:val="0"/>
        <w:adjustRightInd/>
        <w:snapToGrid/>
        <w:spacing w:line="360" w:lineRule="auto"/>
        <w:ind w:firstLine="643" w:firstLineChars="200"/>
        <w:textAlignment w:val="auto"/>
        <w:rPr>
          <w:rFonts w:hint="eastAsia" w:ascii="仿宋" w:hAnsi="仿宋" w:eastAsia="仿宋" w:cs="仿宋"/>
          <w:sz w:val="32"/>
          <w:szCs w:val="32"/>
          <w:highlight w:val="none"/>
        </w:rPr>
      </w:pPr>
      <w:r>
        <w:rPr>
          <w:rFonts w:hint="eastAsia" w:ascii="仿宋" w:hAnsi="仿宋" w:eastAsia="仿宋" w:cs="仿宋"/>
          <w:b/>
          <w:bCs/>
          <w:sz w:val="32"/>
          <w:szCs w:val="32"/>
          <w:highlight w:val="none"/>
          <w:lang w:val="en-US" w:eastAsia="zh-CN"/>
        </w:rPr>
        <w:t>四、</w:t>
      </w:r>
      <w:r>
        <w:rPr>
          <w:rFonts w:hint="eastAsia" w:ascii="仿宋" w:hAnsi="仿宋" w:eastAsia="仿宋" w:cs="仿宋"/>
          <w:b/>
          <w:bCs/>
          <w:sz w:val="32"/>
          <w:szCs w:val="32"/>
          <w:highlight w:val="none"/>
        </w:rPr>
        <w:t>成本效益分析</w:t>
      </w:r>
    </w:p>
    <w:p>
      <w:pPr>
        <w:keepNext w:val="0"/>
        <w:keepLines w:val="0"/>
        <w:pageBreakBefore w:val="0"/>
        <w:widowControl w:val="0"/>
        <w:numPr>
          <w:ilvl w:val="0"/>
          <w:numId w:val="0"/>
        </w:numPr>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城乡管理工作经费2020年财政资金预算申报金额为210.88万元，财政实际下拨资金为210.88万元，其中：劳务费154.51万元，约占总算金额的73.27%；委托业务费52.39万元，约占总算金额的24.84%，办公费3.98万元，约占总算金额的1.89%。 年末资金已全部用完，无结余，项目资金使用率达到100%，资金管理合理、使用有效。</w:t>
      </w:r>
    </w:p>
    <w:p>
      <w:pPr>
        <w:keepNext w:val="0"/>
        <w:keepLines w:val="0"/>
        <w:pageBreakBefore w:val="0"/>
        <w:widowControl w:val="0"/>
        <w:kinsoku/>
        <w:wordWrap/>
        <w:overflowPunct/>
        <w:topLinePunct/>
        <w:autoSpaceDE/>
        <w:autoSpaceDN/>
        <w:bidi w:val="0"/>
        <w:adjustRightInd/>
        <w:snapToGrid/>
        <w:spacing w:line="360" w:lineRule="auto"/>
        <w:ind w:firstLine="321" w:firstLineChars="100"/>
        <w:textAlignment w:val="auto"/>
        <w:rPr>
          <w:rFonts w:hint="eastAsia" w:ascii="仿宋" w:hAnsi="仿宋" w:eastAsia="仿宋" w:cs="仿宋"/>
          <w:b/>
          <w:bCs/>
          <w:sz w:val="32"/>
          <w:szCs w:val="32"/>
          <w:highlight w:val="none"/>
        </w:rPr>
      </w:pPr>
      <w:r>
        <w:rPr>
          <w:rFonts w:hint="eastAsia" w:ascii="仿宋" w:hAnsi="仿宋" w:eastAsia="仿宋" w:cs="仿宋"/>
          <w:b/>
          <w:bCs/>
          <w:sz w:val="32"/>
          <w:szCs w:val="32"/>
          <w:highlight w:val="none"/>
        </w:rPr>
        <w:t>五、主要经验及做法、存在的问题和建议</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（一）主要经验及做法</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 xml:space="preserve">1、进一步加强了预算管理，加大预算执行力度，确保实现预算管理的科学化、公开化、透明化。在妥善使用财政资金的同时，开源节流，在争取多渠道筹措资金的基础上，树立节俭办学意识，科学合理有效地使用资金。 </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 xml:space="preserve">2、树立了以全面预算管理、绩效评价管理、审批制度管理和审核制度管理为主要内容的管理理念，使我街道办的财务工作从单纯的申请资金、记账、出纳为主的报账型的工作方式，逐步转向事前参与决策、事中管理控制、事后绩效评价的新型财务管理模式。 </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（二）存在的问题</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1、在目标设定方面，针对项目资金的目标实现，由于项目本身属于日常公用经费类的资金，涉及难以量化的因素，部分定性与定量指标匹配缺乏可衡量性和时效性。</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 xml:space="preserve">2、项目的绩效评价方法和评价体系不够完善，需根据项目的差异性、特殊性进一步完善项目的绩效评价方法和评价体系。 </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（三）建议和改进措施</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1、项目负责人应该加强对绩效管理的重视程度，在日常工作中应该对量化指标化进行一个统计，年末进行汇总，确保对项目资金的使用情况有一个全面的掌握。</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2、在按照上年资金使用情况、工作开展前的计划、调研与统计进行预估预算时，还应该考虑实际项目、工作开展期间，项目、工作的变动调整等情况来预估预算。</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3、强化领导，建立健全绩效自评组织体系；结合实际，确定考评范围及考评指标，在充分发挥历年开展目标考核经验的基础上结合上年实际，研究确定年度绩效考核范围和考评指标；制定指标做到全面、合理、公正，坚持定性与定量相结合，以定量为主，80%以上的指标进行量化。</w:t>
      </w:r>
    </w:p>
    <w:p>
      <w:pPr>
        <w:keepNext w:val="0"/>
        <w:keepLines w:val="0"/>
        <w:pageBreakBefore w:val="0"/>
        <w:widowControl w:val="0"/>
        <w:kinsoku/>
        <w:wordWrap/>
        <w:overflowPunct/>
        <w:topLinePunct/>
        <w:autoSpaceDE/>
        <w:autoSpaceDN/>
        <w:bidi w:val="0"/>
        <w:adjustRightInd/>
        <w:snapToGrid/>
        <w:spacing w:line="360" w:lineRule="auto"/>
        <w:ind w:firstLine="800" w:firstLineChars="250"/>
        <w:textAlignment w:val="auto"/>
        <w:rPr>
          <w:rFonts w:hint="eastAsia" w:ascii="仿宋" w:hAnsi="仿宋" w:eastAsia="仿宋" w:cs="仿宋"/>
          <w:sz w:val="32"/>
          <w:szCs w:val="32"/>
          <w:highlight w:val="none"/>
          <w:lang w:val="en-US" w:eastAsia="zh-CN"/>
        </w:rPr>
      </w:pPr>
    </w:p>
    <w:p>
      <w:pPr>
        <w:keepNext w:val="0"/>
        <w:keepLines w:val="0"/>
        <w:pageBreakBefore w:val="0"/>
        <w:widowControl w:val="0"/>
        <w:kinsoku/>
        <w:wordWrap/>
        <w:overflowPunct/>
        <w:autoSpaceDE/>
        <w:autoSpaceDN/>
        <w:bidi w:val="0"/>
        <w:adjustRightInd/>
        <w:snapToGrid/>
        <w:spacing w:line="360" w:lineRule="auto"/>
        <w:ind w:firstLine="643" w:firstLineChars="200"/>
        <w:jc w:val="both"/>
        <w:textAlignment w:val="auto"/>
        <w:rPr>
          <w:rFonts w:hint="eastAsia" w:ascii="仿宋" w:hAnsi="仿宋" w:eastAsia="仿宋" w:cs="仿宋"/>
          <w:b/>
          <w:bCs/>
          <w:sz w:val="32"/>
          <w:szCs w:val="32"/>
          <w:highlight w:val="none"/>
        </w:rPr>
      </w:pPr>
      <w:r>
        <w:rPr>
          <w:rFonts w:hint="eastAsia" w:ascii="仿宋" w:hAnsi="仿宋" w:eastAsia="仿宋" w:cs="仿宋"/>
          <w:b/>
          <w:bCs/>
          <w:sz w:val="32"/>
          <w:szCs w:val="32"/>
          <w:highlight w:val="none"/>
          <w:lang w:val="en-US" w:eastAsia="zh-CN"/>
        </w:rPr>
        <w:t>六、</w:t>
      </w:r>
      <w:r>
        <w:rPr>
          <w:rFonts w:hint="eastAsia" w:ascii="仿宋" w:hAnsi="仿宋" w:eastAsia="仿宋" w:cs="仿宋"/>
          <w:b/>
          <w:bCs/>
          <w:sz w:val="32"/>
          <w:szCs w:val="32"/>
          <w:highlight w:val="none"/>
        </w:rPr>
        <w:t>佐证材料</w:t>
      </w:r>
    </w:p>
    <w:p>
      <w:pPr>
        <w:keepNext w:val="0"/>
        <w:keepLines w:val="0"/>
        <w:pageBreakBefore w:val="0"/>
        <w:widowControl w:val="0"/>
        <w:kinsoku/>
        <w:wordWrap/>
        <w:overflowPunct/>
        <w:autoSpaceDE/>
        <w:autoSpaceDN/>
        <w:bidi w:val="0"/>
        <w:adjustRightInd/>
        <w:snapToGrid/>
        <w:spacing w:line="360" w:lineRule="auto"/>
        <w:ind w:left="879" w:leftChars="266" w:hanging="320" w:hangingChars="1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绩效评价指标体系；</w:t>
      </w:r>
    </w:p>
    <w:p>
      <w:pPr>
        <w:keepNext w:val="0"/>
        <w:keepLines w:val="0"/>
        <w:pageBreakBefore w:val="0"/>
        <w:widowControl w:val="0"/>
        <w:kinsoku/>
        <w:wordWrap/>
        <w:overflowPunct/>
        <w:autoSpaceDE/>
        <w:autoSpaceDN/>
        <w:bidi w:val="0"/>
        <w:adjustRightInd/>
        <w:snapToGrid/>
        <w:spacing w:line="360" w:lineRule="auto"/>
        <w:ind w:left="879" w:leftChars="266" w:hanging="320" w:hangingChars="1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2</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基础数据表（进行成本效益分析需采集的数据）；</w:t>
      </w:r>
    </w:p>
    <w:p>
      <w:pPr>
        <w:keepNext w:val="0"/>
        <w:keepLines w:val="0"/>
        <w:pageBreakBefore w:val="0"/>
        <w:widowControl w:val="0"/>
        <w:kinsoku/>
        <w:wordWrap/>
        <w:overflowPunct/>
        <w:autoSpaceDE/>
        <w:autoSpaceDN/>
        <w:bidi w:val="0"/>
        <w:adjustRightInd/>
        <w:snapToGrid/>
        <w:spacing w:line="360" w:lineRule="auto"/>
        <w:ind w:left="879" w:leftChars="266" w:hanging="320" w:hangingChars="1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3</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社会调查问卷分析报告；</w:t>
      </w:r>
    </w:p>
    <w:p>
      <w:pPr>
        <w:keepNext w:val="0"/>
        <w:keepLines w:val="0"/>
        <w:pageBreakBefore w:val="0"/>
        <w:widowControl w:val="0"/>
        <w:kinsoku/>
        <w:wordWrap/>
        <w:overflowPunct/>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4</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①市政府相关规划、决策、批复；②立项申请、批复文件；③绩效目标申报表。</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方正小标宋_GBK">
    <w:altName w:val="微软雅黑"/>
    <w:panose1 w:val="00000000000000000000"/>
    <w:charset w:val="86"/>
    <w:family w:val="script"/>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2A587A"/>
    <w:rsid w:val="05FE1A03"/>
    <w:rsid w:val="0ABB10DB"/>
    <w:rsid w:val="0C0D1934"/>
    <w:rsid w:val="0CBB6CD3"/>
    <w:rsid w:val="0CD57CD6"/>
    <w:rsid w:val="0D37359E"/>
    <w:rsid w:val="0F102902"/>
    <w:rsid w:val="117C0BC1"/>
    <w:rsid w:val="165B4BF4"/>
    <w:rsid w:val="18D610A4"/>
    <w:rsid w:val="1CEB1E2D"/>
    <w:rsid w:val="245D0CD0"/>
    <w:rsid w:val="273A07DA"/>
    <w:rsid w:val="276E3A44"/>
    <w:rsid w:val="293C7098"/>
    <w:rsid w:val="29BC7124"/>
    <w:rsid w:val="2DF07D39"/>
    <w:rsid w:val="321573DC"/>
    <w:rsid w:val="32D47AE4"/>
    <w:rsid w:val="338E41F4"/>
    <w:rsid w:val="348D3014"/>
    <w:rsid w:val="38166C55"/>
    <w:rsid w:val="3CFA1A87"/>
    <w:rsid w:val="40B6419E"/>
    <w:rsid w:val="445569C7"/>
    <w:rsid w:val="472E3439"/>
    <w:rsid w:val="4BE443BA"/>
    <w:rsid w:val="4CBA7C3B"/>
    <w:rsid w:val="4E071D9E"/>
    <w:rsid w:val="51636403"/>
    <w:rsid w:val="53207470"/>
    <w:rsid w:val="580511B7"/>
    <w:rsid w:val="585E310D"/>
    <w:rsid w:val="591C6AC9"/>
    <w:rsid w:val="59246F6F"/>
    <w:rsid w:val="5B6D15E6"/>
    <w:rsid w:val="5BD6627E"/>
    <w:rsid w:val="610E2EB2"/>
    <w:rsid w:val="61455B59"/>
    <w:rsid w:val="64757D2C"/>
    <w:rsid w:val="682A7BFC"/>
    <w:rsid w:val="683413F9"/>
    <w:rsid w:val="6BF2636F"/>
    <w:rsid w:val="70CB3AEB"/>
    <w:rsid w:val="71F776A2"/>
    <w:rsid w:val="7C244180"/>
    <w:rsid w:val="7C2570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qFormat/>
    <w:uiPriority w:val="9"/>
    <w:pPr>
      <w:keepNext/>
      <w:keepLines/>
      <w:spacing w:before="340" w:after="330" w:line="578" w:lineRule="auto"/>
      <w:outlineLvl w:val="0"/>
    </w:pPr>
    <w:rPr>
      <w:b/>
      <w:bCs/>
      <w:kern w:val="44"/>
      <w:sz w:val="44"/>
      <w:szCs w:val="44"/>
    </w:rPr>
  </w:style>
  <w:style w:type="character" w:default="1" w:styleId="9">
    <w:name w:val="Default Paragraph Font"/>
    <w:semiHidden/>
    <w:qFormat/>
    <w:uiPriority w:val="0"/>
  </w:style>
  <w:style w:type="table" w:default="1" w:styleId="8">
    <w:name w:val="Normal Table"/>
    <w:semiHidden/>
    <w:qFormat/>
    <w:uiPriority w:val="0"/>
    <w:tblPr>
      <w:tblLayout w:type="fixed"/>
      <w:tblCellMar>
        <w:top w:w="0" w:type="dxa"/>
        <w:left w:w="108" w:type="dxa"/>
        <w:bottom w:w="0" w:type="dxa"/>
        <w:right w:w="108" w:type="dxa"/>
      </w:tblCellMar>
    </w:tblPr>
  </w:style>
  <w:style w:type="paragraph" w:customStyle="1" w:styleId="2">
    <w:name w:val="Normal Indent1"/>
    <w:basedOn w:val="1"/>
    <w:qFormat/>
    <w:uiPriority w:val="0"/>
    <w:pPr>
      <w:ind w:firstLine="420" w:firstLineChars="200"/>
    </w:pPr>
    <w:rPr>
      <w:rFonts w:ascii="Times New Roman" w:hAnsi="Times New Roman" w:eastAsia="宋体" w:cs="Times New Roman"/>
    </w:rPr>
  </w:style>
  <w:style w:type="paragraph" w:styleId="4">
    <w:name w:val="annotation text"/>
    <w:basedOn w:val="1"/>
    <w:qFormat/>
    <w:uiPriority w:val="0"/>
    <w:pPr>
      <w:jc w:val="left"/>
    </w:pPr>
  </w:style>
  <w:style w:type="paragraph" w:styleId="5">
    <w:name w:val="footer"/>
    <w:basedOn w:val="1"/>
    <w:unhideWhenUsed/>
    <w:qFormat/>
    <w:uiPriority w:val="99"/>
    <w:pPr>
      <w:tabs>
        <w:tab w:val="center" w:pos="4153"/>
        <w:tab w:val="right" w:pos="8306"/>
      </w:tabs>
      <w:snapToGrid w:val="0"/>
      <w:jc w:val="left"/>
    </w:pPr>
    <w:rPr>
      <w:kern w:val="0"/>
      <w:sz w:val="18"/>
      <w:szCs w:val="18"/>
    </w:rPr>
  </w:style>
  <w:style w:type="paragraph" w:styleId="6">
    <w:name w:val="header"/>
    <w:basedOn w:val="1"/>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paragraph" w:customStyle="1" w:styleId="10">
    <w:name w:val="正文 A"/>
    <w:qFormat/>
    <w:uiPriority w:val="99"/>
    <w:pPr>
      <w:spacing w:after="200" w:line="276" w:lineRule="auto"/>
    </w:pPr>
    <w:rPr>
      <w:rFonts w:ascii="Calibri" w:hAnsi="Calibri" w:eastAsia="宋体" w:cs="Calibri"/>
      <w:color w:val="000000"/>
      <w:sz w:val="22"/>
      <w:szCs w:val="22"/>
      <w:u w:val="none" w:color="000000"/>
      <w:lang w:val="en-US" w:eastAsia="zh-CN" w:bidi="ar-SA"/>
    </w:rPr>
  </w:style>
  <w:style w:type="paragraph" w:customStyle="1" w:styleId="11">
    <w:name w:val="TOC 标题1"/>
    <w:basedOn w:val="3"/>
    <w:next w:val="1"/>
    <w:qFormat/>
    <w:uiPriority w:val="99"/>
    <w:pPr>
      <w:widowControl/>
      <w:spacing w:before="480" w:after="0" w:line="276" w:lineRule="auto"/>
      <w:jc w:val="left"/>
      <w:outlineLvl w:val="9"/>
    </w:pPr>
    <w:rPr>
      <w:rFonts w:ascii="Cambria" w:hAnsi="Cambria" w:eastAsia="宋体" w:cs="Cambria"/>
      <w:color w:val="365F91"/>
      <w:kern w:val="0"/>
      <w:sz w:val="28"/>
      <w:szCs w:val="2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2020-03-26T12:33:00Z</dcterms:created>
  <dc:creator>Administrator</dc:creator>
  <cp:lastModifiedBy>Administrator</cp:lastModifiedBy>
  <dcterms:modified xsi:type="dcterms:W3CDTF">2021-09-23T06:58:34Z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y fmtid="{D5CDD505-2E9C-101B-9397-08002B2CF9AE}" pid="3" name="ICV">
    <vt:lpwstr>163416B0FEAE4DA5BA22FE6C26914FB9</vt:lpwstr>
  </property>
</Properties>
</file>