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left="630" w:hanging="840" w:hangingChars="300"/>
        <w:jc w:val="left"/>
        <w:rPr>
          <w:rFonts w:ascii="方正小标宋_GBK" w:eastAsia="方正小标宋_GBK"/>
          <w:sz w:val="28"/>
          <w:szCs w:val="28"/>
        </w:rPr>
      </w:pPr>
      <w:r>
        <w:rPr>
          <w:rFonts w:hint="eastAsia" w:ascii="方正小标宋_GBK" w:eastAsia="方正小标宋_GBK"/>
          <w:sz w:val="28"/>
          <w:szCs w:val="28"/>
        </w:rPr>
        <w:t>附件5：项目支出绩效评价报告</w:t>
      </w:r>
    </w:p>
    <w:p>
      <w:pPr>
        <w:ind w:left="0" w:leftChars="0" w:firstLine="0" w:firstLineChars="0"/>
        <w:jc w:val="both"/>
        <w:outlineLvl w:val="9"/>
        <w:rPr>
          <w:rFonts w:hint="eastAsia" w:ascii="黑体" w:hAnsi="黑体" w:eastAsia="黑体" w:cs="黑体"/>
          <w:b/>
          <w:bCs/>
          <w:sz w:val="52"/>
          <w:szCs w:val="52"/>
          <w:lang w:eastAsia="zh-CN"/>
        </w:rPr>
      </w:pPr>
      <w:bookmarkStart w:id="0" w:name="_Toc27048"/>
    </w:p>
    <w:p>
      <w:pPr>
        <w:bidi w:val="0"/>
        <w:ind w:left="0" w:leftChars="0" w:firstLine="0" w:firstLineChars="0"/>
        <w:jc w:val="center"/>
        <w:rPr>
          <w:rFonts w:hint="eastAsia" w:ascii="黑体" w:hAnsi="黑体" w:eastAsia="黑体" w:cs="黑体"/>
          <w:b/>
          <w:bCs/>
          <w:sz w:val="52"/>
          <w:szCs w:val="52"/>
        </w:rPr>
      </w:pPr>
      <w:r>
        <w:rPr>
          <w:rFonts w:hint="eastAsia" w:ascii="黑体" w:hAnsi="黑体" w:eastAsia="黑体" w:cs="黑体"/>
          <w:b/>
          <w:bCs/>
          <w:sz w:val="52"/>
          <w:szCs w:val="52"/>
          <w:lang w:eastAsia="zh-CN"/>
        </w:rPr>
        <w:t>昆明市盘龙区人民政府鼓楼街道办事处</w:t>
      </w:r>
      <w:r>
        <w:rPr>
          <w:rFonts w:hint="eastAsia" w:ascii="黑体" w:hAnsi="黑体" w:eastAsia="黑体" w:cs="黑体"/>
          <w:b/>
          <w:bCs/>
          <w:sz w:val="52"/>
          <w:szCs w:val="52"/>
        </w:rPr>
        <w:t>项目支出绩效自评报告</w:t>
      </w:r>
      <w:bookmarkEnd w:id="0"/>
    </w:p>
    <w:p>
      <w:pPr>
        <w:bidi w:val="0"/>
        <w:jc w:val="center"/>
        <w:rPr>
          <w:rFonts w:hint="eastAsia" w:ascii="黑体" w:hAnsi="黑体" w:eastAsia="黑体" w:cs="黑体"/>
          <w:b/>
          <w:bCs/>
          <w:sz w:val="52"/>
          <w:szCs w:val="52"/>
        </w:rPr>
      </w:pPr>
      <w:bookmarkStart w:id="1" w:name="_Toc23930"/>
      <w:r>
        <w:rPr>
          <w:rFonts w:hint="eastAsia" w:ascii="黑体" w:hAnsi="黑体" w:eastAsia="黑体" w:cs="黑体"/>
          <w:b/>
          <w:bCs/>
          <w:sz w:val="52"/>
          <w:szCs w:val="52"/>
        </w:rPr>
        <w:t>（</w:t>
      </w:r>
      <w:r>
        <w:rPr>
          <w:rFonts w:hint="eastAsia" w:ascii="黑体" w:hAnsi="黑体" w:eastAsia="黑体" w:cs="黑体"/>
          <w:b/>
          <w:bCs/>
          <w:sz w:val="52"/>
          <w:szCs w:val="52"/>
          <w:lang w:val="en-US" w:eastAsia="zh-CN"/>
        </w:rPr>
        <w:t>2020</w:t>
      </w:r>
      <w:r>
        <w:rPr>
          <w:rFonts w:hint="eastAsia" w:ascii="黑体" w:hAnsi="黑体" w:eastAsia="黑体" w:cs="黑体"/>
          <w:b/>
          <w:bCs/>
          <w:sz w:val="52"/>
          <w:szCs w:val="52"/>
        </w:rPr>
        <w:t>年度）</w:t>
      </w:r>
      <w:bookmarkEnd w:id="1"/>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line="360" w:lineRule="auto"/>
        <w:rPr>
          <w:rFonts w:hint="eastAsia" w:ascii="Times New Roman" w:hAnsi="Times New Roman" w:eastAsia="黑体" w:cs="黑体"/>
          <w:b/>
          <w:bCs/>
          <w:sz w:val="28"/>
          <w:szCs w:val="28"/>
          <w:u w:val="single"/>
        </w:rPr>
      </w:pP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u w:val="single"/>
        </w:rPr>
        <w:t>昆明市盘龙区人民政府鼓楼街道办事处</w:t>
      </w:r>
    </w:p>
    <w:p>
      <w:pPr>
        <w:pStyle w:val="2"/>
        <w:rPr>
          <w:rFonts w:hint="eastAsia" w:ascii="Times New Roman" w:hAnsi="Times New Roman" w:eastAsia="黑体" w:cs="黑体"/>
          <w:b/>
          <w:bCs/>
          <w:sz w:val="28"/>
          <w:szCs w:val="28"/>
          <w:lang w:eastAsia="zh-CN"/>
        </w:rPr>
      </w:pPr>
      <w:r>
        <w:rPr>
          <w:rFonts w:hint="eastAsia" w:ascii="Times New Roman" w:hAnsi="Times New Roman" w:eastAsia="黑体" w:cs="黑体"/>
          <w:b/>
          <w:bCs/>
          <w:sz w:val="28"/>
          <w:szCs w:val="28"/>
        </w:rPr>
        <w:t>项目单位</w:t>
      </w:r>
      <w:r>
        <w:rPr>
          <w:rFonts w:hint="eastAsia" w:ascii="Times New Roman" w:hAnsi="Times New Roman" w:eastAsia="黑体" w:cs="黑体"/>
          <w:b/>
          <w:bCs/>
          <w:sz w:val="28"/>
          <w:szCs w:val="28"/>
          <w:lang w:eastAsia="zh-CN"/>
        </w:rPr>
        <w:t>：</w:t>
      </w:r>
      <w:r>
        <w:rPr>
          <w:rFonts w:hint="eastAsia" w:ascii="Times New Roman" w:hAnsi="Times New Roman" w:eastAsia="黑体" w:cs="黑体"/>
          <w:b/>
          <w:bCs/>
          <w:sz w:val="28"/>
          <w:szCs w:val="28"/>
          <w:u w:val="single"/>
        </w:rPr>
        <w:t>昆明市盘龙区人民政府鼓楼街道办事处</w:t>
      </w:r>
    </w:p>
    <w:p>
      <w:pPr>
        <w:pStyle w:val="3"/>
        <w:rPr>
          <w:rFonts w:hint="eastAsia" w:ascii="Times New Roman" w:hAnsi="Times New Roman" w:eastAsia="黑体" w:cs="黑体"/>
          <w:b/>
          <w:bCs/>
          <w:sz w:val="28"/>
          <w:szCs w:val="28"/>
        </w:rPr>
      </w:pPr>
      <w:r>
        <w:rPr>
          <w:rFonts w:hint="eastAsia" w:ascii="Times New Roman" w:hAnsi="Times New Roman" w:eastAsia="黑体" w:cs="黑体"/>
          <w:b/>
          <w:bCs/>
          <w:sz w:val="28"/>
          <w:szCs w:val="28"/>
        </w:rPr>
        <w:t>主管部门：</w:t>
      </w:r>
      <w:r>
        <w:rPr>
          <w:rFonts w:hint="eastAsia" w:ascii="Times New Roman" w:hAnsi="Times New Roman" w:eastAsia="黑体" w:cs="黑体"/>
          <w:b/>
          <w:bCs/>
          <w:sz w:val="28"/>
          <w:szCs w:val="28"/>
          <w:u w:val="single"/>
        </w:rPr>
        <w:t>昆明市盘龙区人民政府鼓楼街道办事处</w:t>
      </w:r>
    </w:p>
    <w:p>
      <w:pPr>
        <w:rPr>
          <w:rFonts w:hint="eastAsia" w:ascii="Times New Roman" w:hAnsi="Times New Roman" w:eastAsia="黑体" w:cs="黑体"/>
          <w:b/>
          <w:bCs/>
          <w:sz w:val="28"/>
          <w:szCs w:val="28"/>
          <w:u w:val="single"/>
        </w:rPr>
      </w:pPr>
      <w:r>
        <w:rPr>
          <w:rFonts w:hint="eastAsia" w:ascii="Times New Roman" w:hAnsi="Times New Roman" w:eastAsia="黑体" w:cs="黑体"/>
          <w:b/>
          <w:bCs/>
          <w:sz w:val="28"/>
          <w:szCs w:val="28"/>
        </w:rPr>
        <w:t>项目名称：</w:t>
      </w:r>
    </w:p>
    <w:p>
      <w:pPr>
        <w:pStyle w:val="2"/>
      </w:pPr>
      <w:r>
        <w:rPr>
          <w:rFonts w:hint="eastAsia" w:ascii="Times New Roman" w:hAnsi="Times New Roman" w:eastAsia="黑体" w:cs="黑体"/>
          <w:b/>
          <w:bCs/>
          <w:sz w:val="28"/>
          <w:szCs w:val="28"/>
        </w:rPr>
        <w:t>绩效自评日期：</w:t>
      </w:r>
      <w:r>
        <w:rPr>
          <w:rFonts w:hint="eastAsia" w:eastAsia="黑体" w:cs="黑体"/>
          <w:b/>
          <w:bCs/>
          <w:sz w:val="28"/>
          <w:szCs w:val="28"/>
          <w:u w:val="single"/>
          <w:lang w:val="en-US" w:eastAsia="zh-CN"/>
        </w:rPr>
        <w:t>2021年5月10日至5月28日</w:t>
      </w:r>
    </w:p>
    <w:p>
      <w:pPr>
        <w:jc w:val="center"/>
        <w:rPr>
          <w:rFonts w:ascii="Times New Roman" w:hAnsi="Times New Roman" w:eastAsia="黑体" w:cs="黑体"/>
          <w:b/>
          <w:bCs/>
          <w:sz w:val="28"/>
          <w:szCs w:val="28"/>
          <w:u w:val="none"/>
        </w:rPr>
      </w:pPr>
      <w:r>
        <w:rPr>
          <w:rFonts w:hint="eastAsia" w:eastAsia="黑体" w:cs="黑体"/>
          <w:b/>
          <w:bCs/>
          <w:sz w:val="28"/>
          <w:szCs w:val="28"/>
          <w:u w:val="none"/>
          <w:lang w:val="en-US" w:eastAsia="zh-CN"/>
        </w:rPr>
        <w:t>2021年5月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pgSz w:w="11906" w:h="16838"/>
          <w:pgMar w:top="1440" w:right="1800" w:bottom="1440" w:left="1800" w:header="851" w:footer="992" w:gutter="0"/>
          <w:cols w:space="425" w:num="1"/>
          <w:titlePg/>
          <w:docGrid w:type="lines" w:linePitch="312" w:charSpace="0"/>
        </w:sectPr>
      </w:pPr>
    </w:p>
    <w:p>
      <w:pPr>
        <w:pStyle w:val="11"/>
        <w:widowControl w:val="0"/>
        <w:spacing w:after="0" w:line="360" w:lineRule="auto"/>
        <w:ind w:left="60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9"/>
        <w:tblpPr w:leftFromText="180" w:rightFromText="180" w:vertAnchor="text" w:horzAnchor="margin" w:tblpY="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7"/>
        <w:gridCol w:w="1639"/>
        <w:gridCol w:w="1703"/>
        <w:gridCol w:w="1704"/>
        <w:gridCol w:w="17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noWrap w:val="0"/>
            <w:vAlign w:val="center"/>
          </w:tcPr>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1639" w:type="dxa"/>
            <w:noWrap w:val="0"/>
            <w:vAlign w:val="center"/>
          </w:tcPr>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1703" w:type="dxa"/>
            <w:noWrap w:val="0"/>
            <w:vAlign w:val="center"/>
          </w:tcPr>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职务/职称</w:t>
            </w:r>
          </w:p>
        </w:tc>
        <w:tc>
          <w:tcPr>
            <w:tcW w:w="1704" w:type="dxa"/>
            <w:noWrap w:val="0"/>
            <w:vAlign w:val="center"/>
          </w:tcPr>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单位/处室</w:t>
            </w:r>
          </w:p>
        </w:tc>
        <w:tc>
          <w:tcPr>
            <w:tcW w:w="1704" w:type="dxa"/>
            <w:noWrap w:val="0"/>
            <w:vAlign w:val="center"/>
          </w:tcPr>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noWrap w:val="0"/>
            <w:vAlign w:val="center"/>
          </w:tcPr>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组长</w:t>
            </w:r>
          </w:p>
        </w:tc>
        <w:tc>
          <w:tcPr>
            <w:tcW w:w="1639" w:type="dxa"/>
            <w:noWrap w:val="0"/>
            <w:vAlign w:val="center"/>
          </w:tcPr>
          <w:p>
            <w:pPr>
              <w:pStyle w:val="11"/>
              <w:widowControl w:val="0"/>
              <w:spacing w:after="0" w:line="24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TW"/>
              </w:rPr>
              <w:t>李涛</w:t>
            </w:r>
          </w:p>
        </w:tc>
        <w:tc>
          <w:tcPr>
            <w:tcW w:w="1703" w:type="dxa"/>
            <w:noWrap w:val="0"/>
            <w:vAlign w:val="center"/>
          </w:tcPr>
          <w:p>
            <w:pPr>
              <w:pStyle w:val="11"/>
              <w:widowControl w:val="0"/>
              <w:spacing w:after="0" w:line="24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单位负责人</w:t>
            </w:r>
          </w:p>
        </w:tc>
        <w:tc>
          <w:tcPr>
            <w:tcW w:w="1704" w:type="dxa"/>
            <w:noWrap w:val="0"/>
            <w:vAlign w:val="center"/>
          </w:tcPr>
          <w:p>
            <w:pPr>
              <w:pStyle w:val="11"/>
              <w:widowControl w:val="0"/>
              <w:spacing w:after="0" w:line="24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办公室</w:t>
            </w:r>
          </w:p>
        </w:tc>
        <w:tc>
          <w:tcPr>
            <w:tcW w:w="1704" w:type="dxa"/>
            <w:noWrap w:val="0"/>
            <w:vAlign w:val="center"/>
          </w:tcPr>
          <w:p>
            <w:pPr>
              <w:pStyle w:val="11"/>
              <w:widowControl w:val="0"/>
              <w:spacing w:after="0" w:line="24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noWrap w:val="0"/>
            <w:vAlign w:val="center"/>
          </w:tcPr>
          <w:p>
            <w:pPr>
              <w:pStyle w:val="11"/>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1639" w:type="dxa"/>
            <w:noWrap w:val="0"/>
            <w:vAlign w:val="center"/>
          </w:tcPr>
          <w:p>
            <w:pPr>
              <w:pStyle w:val="11"/>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雷文霖</w:t>
            </w:r>
          </w:p>
        </w:tc>
        <w:tc>
          <w:tcPr>
            <w:tcW w:w="1703" w:type="dxa"/>
            <w:noWrap w:val="0"/>
            <w:vAlign w:val="center"/>
          </w:tcPr>
          <w:p>
            <w:pPr>
              <w:pStyle w:val="11"/>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财务负责人</w:t>
            </w:r>
          </w:p>
        </w:tc>
        <w:tc>
          <w:tcPr>
            <w:tcW w:w="1704" w:type="dxa"/>
            <w:noWrap w:val="0"/>
            <w:vAlign w:val="center"/>
          </w:tcPr>
          <w:p>
            <w:pPr>
              <w:pStyle w:val="11"/>
              <w:widowControl w:val="0"/>
              <w:spacing w:after="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办公室</w:t>
            </w:r>
          </w:p>
        </w:tc>
        <w:tc>
          <w:tcPr>
            <w:tcW w:w="1704" w:type="dxa"/>
            <w:noWrap w:val="0"/>
            <w:vAlign w:val="center"/>
          </w:tcPr>
          <w:p>
            <w:pPr>
              <w:pStyle w:val="11"/>
              <w:widowControl w:val="0"/>
              <w:spacing w:after="0" w:line="36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noWrap w:val="0"/>
            <w:vAlign w:val="center"/>
          </w:tcPr>
          <w:p>
            <w:pPr>
              <w:pStyle w:val="11"/>
              <w:widowControl w:val="0"/>
              <w:spacing w:after="0" w:line="360" w:lineRule="auto"/>
              <w:jc w:val="center"/>
              <w:rPr>
                <w:rFonts w:ascii="Times New Roman" w:hAnsi="Times New Roman" w:eastAsia="黑体" w:cs="黑体"/>
                <w:color w:val="000000"/>
                <w:kern w:val="2"/>
                <w:sz w:val="24"/>
                <w:szCs w:val="24"/>
                <w:u w:val="none" w:color="000000"/>
                <w:lang w:val="zh-TW" w:eastAsia="zh-CN" w:bidi="ar-SA"/>
              </w:rPr>
            </w:pPr>
            <w:r>
              <w:rPr>
                <w:rFonts w:hint="eastAsia" w:ascii="Times New Roman" w:hAnsi="Times New Roman" w:eastAsia="黑体" w:cs="黑体"/>
                <w:kern w:val="2"/>
                <w:sz w:val="24"/>
                <w:szCs w:val="24"/>
                <w:lang w:val="zh-TW"/>
              </w:rPr>
              <w:t>成员</w:t>
            </w:r>
          </w:p>
        </w:tc>
        <w:tc>
          <w:tcPr>
            <w:tcW w:w="1639" w:type="dxa"/>
            <w:noWrap w:val="0"/>
            <w:vAlign w:val="center"/>
          </w:tcPr>
          <w:p>
            <w:pPr>
              <w:widowControl/>
              <w:spacing w:line="555" w:lineRule="atLeast"/>
              <w:ind w:firstLine="480" w:firstLineChars="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杨绍珍</w:t>
            </w:r>
          </w:p>
        </w:tc>
        <w:tc>
          <w:tcPr>
            <w:tcW w:w="1703" w:type="dxa"/>
            <w:noWrap w:val="0"/>
            <w:vAlign w:val="center"/>
          </w:tcPr>
          <w:p>
            <w:pPr>
              <w:widowControl/>
              <w:spacing w:line="555" w:lineRule="atLeast"/>
              <w:ind w:left="0" w:leftChars="0" w:firstLine="240" w:firstLineChars="10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TW" w:bidi="ar-SA"/>
              </w:rPr>
              <w:t>财政所长</w:t>
            </w:r>
          </w:p>
        </w:tc>
        <w:tc>
          <w:tcPr>
            <w:tcW w:w="1704" w:type="dxa"/>
            <w:noWrap w:val="0"/>
            <w:vAlign w:val="center"/>
          </w:tcPr>
          <w:p>
            <w:pPr>
              <w:widowControl/>
              <w:ind w:firstLine="480" w:firstLineChars="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TW" w:bidi="ar-SA"/>
              </w:rPr>
              <w:t>财政所</w:t>
            </w:r>
          </w:p>
        </w:tc>
        <w:tc>
          <w:tcPr>
            <w:tcW w:w="1704" w:type="dxa"/>
            <w:noWrap w:val="0"/>
            <w:vAlign w:val="center"/>
          </w:tcPr>
          <w:p>
            <w:pPr>
              <w:pStyle w:val="11"/>
              <w:widowControl w:val="0"/>
              <w:spacing w:after="0" w:line="36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noWrap w:val="0"/>
            <w:vAlign w:val="center"/>
          </w:tcPr>
          <w:p>
            <w:pPr>
              <w:pStyle w:val="11"/>
              <w:widowControl w:val="0"/>
              <w:spacing w:after="0" w:line="360" w:lineRule="auto"/>
              <w:jc w:val="center"/>
              <w:rPr>
                <w:rFonts w:hint="eastAsia" w:ascii="Times New Roman" w:hAnsi="Times New Roman" w:eastAsia="黑体" w:cs="黑体"/>
                <w:color w:val="000000"/>
                <w:kern w:val="2"/>
                <w:sz w:val="24"/>
                <w:szCs w:val="24"/>
                <w:u w:val="none" w:color="000000"/>
                <w:lang w:val="zh-TW" w:eastAsia="zh-CN" w:bidi="ar-SA"/>
              </w:rPr>
            </w:pPr>
            <w:r>
              <w:rPr>
                <w:rFonts w:hint="eastAsia" w:ascii="Times New Roman" w:hAnsi="Times New Roman" w:eastAsia="黑体" w:cs="黑体"/>
                <w:kern w:val="2"/>
                <w:sz w:val="24"/>
                <w:szCs w:val="24"/>
                <w:lang w:val="zh-TW"/>
              </w:rPr>
              <w:t>成员</w:t>
            </w:r>
          </w:p>
        </w:tc>
        <w:tc>
          <w:tcPr>
            <w:tcW w:w="1639" w:type="dxa"/>
            <w:noWrap w:val="0"/>
            <w:vAlign w:val="center"/>
          </w:tcPr>
          <w:p>
            <w:pPr>
              <w:widowControl/>
              <w:spacing w:line="555" w:lineRule="atLeast"/>
              <w:ind w:firstLine="480" w:firstLineChars="0"/>
              <w:jc w:val="both"/>
              <w:rPr>
                <w:rFonts w:hint="eastAsia" w:ascii="Times New Roman" w:hAnsi="Times New Roman" w:eastAsia="黑体" w:cs="黑体"/>
                <w:color w:val="000000"/>
                <w:kern w:val="2"/>
                <w:sz w:val="24"/>
                <w:szCs w:val="24"/>
                <w:u w:val="none" w:color="000000"/>
                <w:lang w:val="en-US" w:eastAsia="zh-CN" w:bidi="ar-SA"/>
              </w:rPr>
            </w:pPr>
            <w:r>
              <w:rPr>
                <w:rFonts w:hint="eastAsia" w:ascii="Times New Roman" w:hAnsi="Times New Roman" w:eastAsia="黑体" w:cs="黑体"/>
                <w:color w:val="000000"/>
                <w:kern w:val="2"/>
                <w:sz w:val="24"/>
                <w:szCs w:val="24"/>
                <w:u w:val="none" w:color="000000"/>
                <w:lang w:val="en-US" w:eastAsia="zh-CN" w:bidi="ar-SA"/>
              </w:rPr>
              <w:t>李思雨</w:t>
            </w:r>
          </w:p>
        </w:tc>
        <w:tc>
          <w:tcPr>
            <w:tcW w:w="1703" w:type="dxa"/>
            <w:noWrap w:val="0"/>
            <w:vAlign w:val="center"/>
          </w:tcPr>
          <w:p>
            <w:pPr>
              <w:widowControl/>
              <w:spacing w:line="555" w:lineRule="atLeast"/>
              <w:ind w:left="0" w:leftChars="0" w:firstLine="240" w:firstLineChars="10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行政办主任</w:t>
            </w:r>
          </w:p>
        </w:tc>
        <w:tc>
          <w:tcPr>
            <w:tcW w:w="1704" w:type="dxa"/>
            <w:noWrap w:val="0"/>
            <w:vAlign w:val="center"/>
          </w:tcPr>
          <w:p>
            <w:pPr>
              <w:widowControl/>
              <w:ind w:firstLine="480" w:firstLineChars="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行政办</w:t>
            </w:r>
          </w:p>
        </w:tc>
        <w:tc>
          <w:tcPr>
            <w:tcW w:w="1704" w:type="dxa"/>
            <w:noWrap w:val="0"/>
            <w:vAlign w:val="center"/>
          </w:tcPr>
          <w:p>
            <w:pPr>
              <w:pStyle w:val="11"/>
              <w:widowControl w:val="0"/>
              <w:spacing w:after="0" w:line="36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noWrap w:val="0"/>
            <w:vAlign w:val="center"/>
          </w:tcPr>
          <w:p>
            <w:pPr>
              <w:pStyle w:val="11"/>
              <w:widowControl w:val="0"/>
              <w:spacing w:after="0" w:line="360" w:lineRule="auto"/>
              <w:jc w:val="center"/>
              <w:rPr>
                <w:rFonts w:ascii="Times New Roman" w:hAnsi="Times New Roman" w:eastAsia="黑体" w:cs="黑体"/>
                <w:color w:val="000000"/>
                <w:kern w:val="2"/>
                <w:sz w:val="24"/>
                <w:szCs w:val="24"/>
                <w:u w:val="none" w:color="000000"/>
                <w:lang w:val="zh-TW" w:eastAsia="zh-CN" w:bidi="ar-SA"/>
              </w:rPr>
            </w:pPr>
            <w:r>
              <w:rPr>
                <w:rFonts w:hint="eastAsia" w:ascii="Times New Roman" w:hAnsi="Times New Roman" w:eastAsia="黑体" w:cs="黑体"/>
                <w:kern w:val="2"/>
                <w:sz w:val="24"/>
                <w:szCs w:val="24"/>
                <w:lang w:val="zh-TW"/>
              </w:rPr>
              <w:t>成员</w:t>
            </w:r>
          </w:p>
        </w:tc>
        <w:tc>
          <w:tcPr>
            <w:tcW w:w="1639" w:type="dxa"/>
            <w:noWrap w:val="0"/>
            <w:vAlign w:val="center"/>
          </w:tcPr>
          <w:p>
            <w:pPr>
              <w:widowControl/>
              <w:spacing w:line="555" w:lineRule="atLeast"/>
              <w:ind w:firstLine="480" w:firstLineChars="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杨霞</w:t>
            </w:r>
          </w:p>
        </w:tc>
        <w:tc>
          <w:tcPr>
            <w:tcW w:w="1703" w:type="dxa"/>
            <w:noWrap w:val="0"/>
            <w:vAlign w:val="center"/>
          </w:tcPr>
          <w:p>
            <w:pPr>
              <w:widowControl/>
              <w:spacing w:line="555" w:lineRule="atLeast"/>
              <w:ind w:left="0" w:leftChars="0" w:firstLine="240" w:firstLineChars="10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党办副主任</w:t>
            </w:r>
          </w:p>
        </w:tc>
        <w:tc>
          <w:tcPr>
            <w:tcW w:w="1704" w:type="dxa"/>
            <w:noWrap w:val="0"/>
            <w:vAlign w:val="center"/>
          </w:tcPr>
          <w:p>
            <w:pPr>
              <w:widowControl/>
              <w:ind w:firstLine="480" w:firstLineChars="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党办</w:t>
            </w:r>
          </w:p>
        </w:tc>
        <w:tc>
          <w:tcPr>
            <w:tcW w:w="1704" w:type="dxa"/>
            <w:noWrap w:val="0"/>
            <w:vAlign w:val="center"/>
          </w:tcPr>
          <w:p>
            <w:pPr>
              <w:pStyle w:val="11"/>
              <w:widowControl w:val="0"/>
              <w:spacing w:after="0" w:line="36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noWrap w:val="0"/>
            <w:vAlign w:val="center"/>
          </w:tcPr>
          <w:p>
            <w:pPr>
              <w:pStyle w:val="11"/>
              <w:widowControl w:val="0"/>
              <w:spacing w:after="0" w:line="360" w:lineRule="auto"/>
              <w:jc w:val="center"/>
              <w:rPr>
                <w:rFonts w:ascii="Times New Roman" w:hAnsi="Times New Roman" w:eastAsia="黑体" w:cs="黑体"/>
                <w:color w:val="000000"/>
                <w:kern w:val="2"/>
                <w:sz w:val="24"/>
                <w:szCs w:val="24"/>
                <w:u w:val="none" w:color="000000"/>
                <w:lang w:val="zh-TW" w:eastAsia="zh-CN" w:bidi="ar-SA"/>
              </w:rPr>
            </w:pPr>
            <w:r>
              <w:rPr>
                <w:rFonts w:hint="eastAsia" w:ascii="Times New Roman" w:hAnsi="Times New Roman" w:eastAsia="黑体" w:cs="黑体"/>
                <w:kern w:val="2"/>
                <w:sz w:val="24"/>
                <w:szCs w:val="24"/>
                <w:lang w:val="zh-TW"/>
              </w:rPr>
              <w:t>成员</w:t>
            </w:r>
          </w:p>
        </w:tc>
        <w:tc>
          <w:tcPr>
            <w:tcW w:w="1639" w:type="dxa"/>
            <w:noWrap w:val="0"/>
            <w:vAlign w:val="center"/>
          </w:tcPr>
          <w:p>
            <w:pPr>
              <w:widowControl/>
              <w:spacing w:line="555" w:lineRule="atLeast"/>
              <w:ind w:firstLine="480" w:firstLineChars="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卢敏</w:t>
            </w:r>
          </w:p>
        </w:tc>
        <w:tc>
          <w:tcPr>
            <w:tcW w:w="1703" w:type="dxa"/>
            <w:noWrap w:val="0"/>
            <w:vAlign w:val="center"/>
          </w:tcPr>
          <w:p>
            <w:pPr>
              <w:widowControl/>
              <w:spacing w:line="555" w:lineRule="atLeast"/>
              <w:ind w:left="0" w:leftChars="0" w:firstLine="240" w:firstLineChars="10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社区科科长</w:t>
            </w:r>
          </w:p>
        </w:tc>
        <w:tc>
          <w:tcPr>
            <w:tcW w:w="1704" w:type="dxa"/>
            <w:noWrap w:val="0"/>
            <w:vAlign w:val="center"/>
          </w:tcPr>
          <w:p>
            <w:pPr>
              <w:widowControl/>
              <w:spacing w:line="555" w:lineRule="atLeast"/>
              <w:ind w:firstLine="480" w:firstLineChars="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社区科</w:t>
            </w:r>
          </w:p>
        </w:tc>
        <w:tc>
          <w:tcPr>
            <w:tcW w:w="1704" w:type="dxa"/>
            <w:noWrap w:val="0"/>
            <w:vAlign w:val="center"/>
          </w:tcPr>
          <w:p>
            <w:pPr>
              <w:pStyle w:val="11"/>
              <w:widowControl w:val="0"/>
              <w:spacing w:after="0" w:line="36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767" w:type="dxa"/>
            <w:noWrap w:val="0"/>
            <w:vAlign w:val="center"/>
          </w:tcPr>
          <w:p>
            <w:pPr>
              <w:pStyle w:val="11"/>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成员</w:t>
            </w:r>
          </w:p>
        </w:tc>
        <w:tc>
          <w:tcPr>
            <w:tcW w:w="1639" w:type="dxa"/>
            <w:noWrap w:val="0"/>
            <w:vAlign w:val="center"/>
          </w:tcPr>
          <w:p>
            <w:pPr>
              <w:widowControl/>
              <w:spacing w:line="555" w:lineRule="atLeast"/>
              <w:ind w:firstLine="480" w:firstLineChars="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李亚武</w:t>
            </w:r>
          </w:p>
        </w:tc>
        <w:tc>
          <w:tcPr>
            <w:tcW w:w="1703" w:type="dxa"/>
            <w:noWrap w:val="0"/>
            <w:vAlign w:val="center"/>
          </w:tcPr>
          <w:p>
            <w:pPr>
              <w:widowControl/>
              <w:spacing w:line="555" w:lineRule="atLeast"/>
              <w:ind w:left="0" w:leftChars="0" w:firstLine="240" w:firstLineChars="10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工作人员</w:t>
            </w:r>
          </w:p>
        </w:tc>
        <w:tc>
          <w:tcPr>
            <w:tcW w:w="1704" w:type="dxa"/>
            <w:noWrap w:val="0"/>
            <w:vAlign w:val="center"/>
          </w:tcPr>
          <w:p>
            <w:pPr>
              <w:widowControl/>
              <w:ind w:firstLine="480" w:firstLineChars="0"/>
              <w:jc w:val="both"/>
              <w:rPr>
                <w:rFonts w:hint="eastAsia" w:ascii="Times New Roman" w:hAnsi="Times New Roman" w:eastAsia="黑体" w:cs="黑体"/>
                <w:color w:val="000000"/>
                <w:kern w:val="2"/>
                <w:sz w:val="24"/>
                <w:szCs w:val="24"/>
                <w:u w:val="none" w:color="000000"/>
                <w:lang w:val="zh-TW" w:eastAsia="zh-TW" w:bidi="ar-SA"/>
              </w:rPr>
            </w:pPr>
            <w:r>
              <w:rPr>
                <w:rFonts w:hint="eastAsia" w:ascii="Times New Roman" w:hAnsi="Times New Roman" w:eastAsia="黑体" w:cs="黑体"/>
                <w:color w:val="000000"/>
                <w:kern w:val="2"/>
                <w:sz w:val="24"/>
                <w:szCs w:val="24"/>
                <w:u w:val="none" w:color="000000"/>
                <w:lang w:val="zh-TW" w:eastAsia="zh-CN" w:bidi="ar-SA"/>
              </w:rPr>
              <w:t>城管科</w:t>
            </w:r>
          </w:p>
        </w:tc>
        <w:tc>
          <w:tcPr>
            <w:tcW w:w="1704" w:type="dxa"/>
            <w:noWrap w:val="0"/>
            <w:vAlign w:val="center"/>
          </w:tcPr>
          <w:p>
            <w:pPr>
              <w:pStyle w:val="11"/>
              <w:widowControl w:val="0"/>
              <w:spacing w:after="0" w:line="360" w:lineRule="auto"/>
              <w:jc w:val="center"/>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0" w:hRule="atLeast"/>
        </w:trPr>
        <w:tc>
          <w:tcPr>
            <w:tcW w:w="8517" w:type="dxa"/>
            <w:gridSpan w:val="5"/>
            <w:noWrap w:val="0"/>
            <w:vAlign w:val="center"/>
          </w:tcPr>
          <w:p>
            <w:pPr>
              <w:pStyle w:val="11"/>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11"/>
              <w:widowControl w:val="0"/>
              <w:spacing w:after="0" w:line="360" w:lineRule="auto"/>
              <w:jc w:val="center"/>
              <w:rPr>
                <w:rFonts w:ascii="Times New Roman" w:hAnsi="Times New Roman" w:eastAsia="黑体" w:cs="黑体"/>
                <w:kern w:val="2"/>
                <w:sz w:val="24"/>
                <w:szCs w:val="24"/>
                <w:lang w:val="zh-TW"/>
              </w:rPr>
            </w:pPr>
          </w:p>
          <w:p>
            <w:pPr>
              <w:pStyle w:val="11"/>
              <w:widowControl w:val="0"/>
              <w:spacing w:after="0" w:line="360" w:lineRule="auto"/>
              <w:jc w:val="center"/>
              <w:rPr>
                <w:rFonts w:ascii="Times New Roman" w:hAnsi="Times New Roman" w:eastAsia="黑体" w:cs="黑体"/>
                <w:kern w:val="2"/>
                <w:sz w:val="24"/>
                <w:szCs w:val="24"/>
                <w:lang w:val="zh-TW"/>
              </w:rPr>
            </w:pPr>
          </w:p>
          <w:p>
            <w:pPr>
              <w:pStyle w:val="11"/>
              <w:widowControl w:val="0"/>
              <w:wordWrap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2" w:hRule="atLeast"/>
        </w:trPr>
        <w:tc>
          <w:tcPr>
            <w:tcW w:w="8517" w:type="dxa"/>
            <w:gridSpan w:val="5"/>
            <w:noWrap w:val="0"/>
            <w:vAlign w:val="center"/>
          </w:tcPr>
          <w:p>
            <w:pPr>
              <w:pStyle w:val="11"/>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11"/>
              <w:widowControl w:val="0"/>
              <w:spacing w:after="0" w:line="360" w:lineRule="auto"/>
              <w:jc w:val="center"/>
              <w:rPr>
                <w:rFonts w:ascii="Times New Roman" w:hAnsi="Times New Roman" w:eastAsia="黑体" w:cs="黑体"/>
                <w:kern w:val="2"/>
                <w:sz w:val="24"/>
                <w:szCs w:val="24"/>
                <w:lang w:val="zh-TW"/>
              </w:rPr>
            </w:pPr>
          </w:p>
          <w:p>
            <w:pPr>
              <w:pStyle w:val="11"/>
              <w:widowControl w:val="0"/>
              <w:spacing w:after="0" w:line="360" w:lineRule="auto"/>
              <w:jc w:val="center"/>
              <w:rPr>
                <w:rFonts w:ascii="Times New Roman" w:hAnsi="Times New Roman" w:eastAsia="黑体" w:cs="黑体"/>
                <w:kern w:val="2"/>
                <w:sz w:val="24"/>
                <w:szCs w:val="24"/>
                <w:lang w:val="zh-TW"/>
              </w:rPr>
            </w:pPr>
          </w:p>
          <w:p>
            <w:pPr>
              <w:pStyle w:val="11"/>
              <w:widowControl w:val="0"/>
              <w:wordWrap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bl>
    <w:p>
      <w:pPr>
        <w:pStyle w:val="11"/>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11"/>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sdt>
      <w:sdtPr>
        <w:rPr>
          <w:rFonts w:ascii="宋体" w:hAnsi="宋体" w:eastAsia="宋体" w:cs="Times New Roman"/>
          <w:b/>
          <w:bCs/>
          <w:kern w:val="2"/>
          <w:sz w:val="32"/>
          <w:szCs w:val="32"/>
          <w:lang w:val="en-US" w:eastAsia="zh-CN" w:bidi="ar-SA"/>
        </w:rPr>
        <w:id w:val="147480614"/>
        <w15:color w:val="DBDBDB"/>
        <w:docPartObj>
          <w:docPartGallery w:val="Table of Contents"/>
          <w:docPartUnique/>
        </w:docPartObj>
      </w:sdtPr>
      <w:sdtEndPr>
        <w:rPr>
          <w:rFonts w:ascii="宋体" w:hAnsi="宋体" w:eastAsia="宋体" w:cs="Times New Roman"/>
          <w:b/>
          <w:bCs/>
          <w:kern w:val="2"/>
          <w:sz w:val="32"/>
          <w:szCs w:val="32"/>
          <w:lang w:val="en-US" w:eastAsia="zh-CN" w:bidi="ar-SA"/>
        </w:rPr>
      </w:sdtEndPr>
      <w:sdtContent>
        <w:p>
          <w:pPr>
            <w:spacing w:before="0" w:beforeLines="0" w:after="0" w:afterLines="0" w:line="240" w:lineRule="auto"/>
            <w:ind w:left="0" w:leftChars="0" w:right="0" w:rightChars="0" w:firstLine="0" w:firstLineChars="0"/>
            <w:jc w:val="center"/>
            <w:rPr>
              <w:b/>
              <w:bCs/>
              <w:sz w:val="32"/>
              <w:szCs w:val="32"/>
            </w:rPr>
          </w:pPr>
          <w:r>
            <w:rPr>
              <w:rFonts w:ascii="宋体" w:hAnsi="宋体" w:eastAsia="宋体"/>
              <w:b/>
              <w:bCs/>
              <w:sz w:val="32"/>
              <w:szCs w:val="32"/>
            </w:rPr>
            <w:t>目</w:t>
          </w:r>
          <w:r>
            <w:rPr>
              <w:rFonts w:hint="eastAsia" w:ascii="宋体" w:hAnsi="宋体" w:eastAsia="宋体"/>
              <w:b/>
              <w:bCs/>
              <w:sz w:val="32"/>
              <w:szCs w:val="32"/>
              <w:lang w:val="en-US" w:eastAsia="zh-CN"/>
            </w:rPr>
            <w:t xml:space="preserve"> </w:t>
          </w:r>
          <w:r>
            <w:rPr>
              <w:rFonts w:ascii="宋体" w:hAnsi="宋体" w:eastAsia="宋体"/>
              <w:b/>
              <w:bCs/>
              <w:sz w:val="32"/>
              <w:szCs w:val="32"/>
            </w:rPr>
            <w:t>录</w:t>
          </w:r>
        </w:p>
        <w:p>
          <w:pPr>
            <w:pStyle w:val="3"/>
            <w:tabs>
              <w:tab w:val="right" w:leader="dot" w:pos="8306"/>
            </w:tabs>
          </w:pPr>
          <w:r>
            <w:fldChar w:fldCharType="begin"/>
          </w:r>
          <w:r>
            <w:instrText xml:space="preserve">TOC \o "1-3" \h \u </w:instrText>
          </w:r>
          <w:r>
            <w:fldChar w:fldCharType="separate"/>
          </w:r>
          <w:r>
            <w:fldChar w:fldCharType="begin"/>
          </w:r>
          <w:r>
            <w:instrText xml:space="preserve"> HYPERLINK \l _Toc10263 </w:instrText>
          </w:r>
          <w:r>
            <w:fldChar w:fldCharType="separate"/>
          </w:r>
          <w:r>
            <w:rPr>
              <w:rFonts w:hint="eastAsia"/>
            </w:rPr>
            <w:t>摘要</w:t>
          </w:r>
          <w:r>
            <w:tab/>
          </w:r>
          <w:r>
            <w:fldChar w:fldCharType="begin"/>
          </w:r>
          <w:r>
            <w:instrText xml:space="preserve"> PAGEREF _Toc10263 \h </w:instrText>
          </w:r>
          <w:r>
            <w:fldChar w:fldCharType="separate"/>
          </w:r>
          <w:r>
            <w:t>4</w:t>
          </w:r>
          <w:r>
            <w:fldChar w:fldCharType="end"/>
          </w:r>
          <w:r>
            <w:fldChar w:fldCharType="end"/>
          </w:r>
        </w:p>
        <w:p>
          <w:pPr>
            <w:pStyle w:val="3"/>
            <w:tabs>
              <w:tab w:val="right" w:leader="dot" w:pos="8306"/>
            </w:tabs>
          </w:pPr>
          <w:r>
            <w:fldChar w:fldCharType="begin"/>
          </w:r>
          <w:r>
            <w:instrText xml:space="preserve"> HYPERLINK \l _Toc4951 </w:instrText>
          </w:r>
          <w:r>
            <w:fldChar w:fldCharType="separate"/>
          </w:r>
          <w:r>
            <w:rPr>
              <w:rFonts w:hint="eastAsia"/>
            </w:rPr>
            <w:t>一、 项目概况</w:t>
          </w:r>
          <w:r>
            <w:tab/>
          </w:r>
          <w:r>
            <w:fldChar w:fldCharType="begin"/>
          </w:r>
          <w:r>
            <w:instrText xml:space="preserve"> PAGEREF _Toc4951 \h </w:instrText>
          </w:r>
          <w:r>
            <w:fldChar w:fldCharType="separate"/>
          </w:r>
          <w:r>
            <w:t>4</w:t>
          </w:r>
          <w:r>
            <w:fldChar w:fldCharType="end"/>
          </w:r>
          <w:r>
            <w:fldChar w:fldCharType="end"/>
          </w:r>
        </w:p>
        <w:p>
          <w:pPr>
            <w:pStyle w:val="3"/>
            <w:tabs>
              <w:tab w:val="right" w:leader="dot" w:pos="8306"/>
            </w:tabs>
          </w:pPr>
          <w:r>
            <w:fldChar w:fldCharType="begin"/>
          </w:r>
          <w:r>
            <w:instrText xml:space="preserve"> HYPERLINK \l _Toc8051 </w:instrText>
          </w:r>
          <w:r>
            <w:fldChar w:fldCharType="separate"/>
          </w:r>
          <w:r>
            <w:rPr>
              <w:rFonts w:hint="eastAsia"/>
            </w:rPr>
            <w:t>二、 评价结论</w:t>
          </w:r>
          <w:r>
            <w:tab/>
          </w:r>
          <w:r>
            <w:fldChar w:fldCharType="begin"/>
          </w:r>
          <w:r>
            <w:instrText xml:space="preserve"> PAGEREF _Toc8051 \h </w:instrText>
          </w:r>
          <w:r>
            <w:fldChar w:fldCharType="separate"/>
          </w:r>
          <w:r>
            <w:t>5</w:t>
          </w:r>
          <w:r>
            <w:fldChar w:fldCharType="end"/>
          </w:r>
          <w:r>
            <w:fldChar w:fldCharType="end"/>
          </w:r>
        </w:p>
        <w:p>
          <w:pPr>
            <w:pStyle w:val="3"/>
            <w:tabs>
              <w:tab w:val="right" w:leader="dot" w:pos="8306"/>
            </w:tabs>
          </w:pPr>
          <w:r>
            <w:fldChar w:fldCharType="begin"/>
          </w:r>
          <w:r>
            <w:instrText xml:space="preserve"> HYPERLINK \l _Toc1724 </w:instrText>
          </w:r>
          <w:r>
            <w:fldChar w:fldCharType="separate"/>
          </w:r>
          <w:r>
            <w:rPr>
              <w:rFonts w:hint="eastAsia"/>
            </w:rPr>
            <w:t>三、经验、问题和建议</w:t>
          </w:r>
          <w:r>
            <w:tab/>
          </w:r>
          <w:r>
            <w:fldChar w:fldCharType="begin"/>
          </w:r>
          <w:r>
            <w:instrText xml:space="preserve"> PAGEREF _Toc1724 \h </w:instrText>
          </w:r>
          <w:r>
            <w:fldChar w:fldCharType="separate"/>
          </w:r>
          <w:r>
            <w:t>5</w:t>
          </w:r>
          <w:r>
            <w:fldChar w:fldCharType="end"/>
          </w:r>
          <w:r>
            <w:fldChar w:fldCharType="end"/>
          </w:r>
        </w:p>
        <w:p>
          <w:pPr>
            <w:pStyle w:val="8"/>
            <w:tabs>
              <w:tab w:val="right" w:leader="dot" w:pos="8306"/>
            </w:tabs>
          </w:pPr>
          <w:r>
            <w:fldChar w:fldCharType="begin"/>
          </w:r>
          <w:r>
            <w:instrText xml:space="preserve"> HYPERLINK \l _Toc3705 </w:instrText>
          </w:r>
          <w:r>
            <w:fldChar w:fldCharType="separate"/>
          </w:r>
          <w:r>
            <w:rPr>
              <w:rFonts w:hint="eastAsia"/>
            </w:rPr>
            <w:t>1.主要经验及做法</w:t>
          </w:r>
          <w:r>
            <w:tab/>
          </w:r>
          <w:r>
            <w:fldChar w:fldCharType="begin"/>
          </w:r>
          <w:r>
            <w:instrText xml:space="preserve"> PAGEREF _Toc3705 \h </w:instrText>
          </w:r>
          <w:r>
            <w:fldChar w:fldCharType="separate"/>
          </w:r>
          <w:r>
            <w:t>5</w:t>
          </w:r>
          <w:r>
            <w:fldChar w:fldCharType="end"/>
          </w:r>
          <w:r>
            <w:fldChar w:fldCharType="end"/>
          </w:r>
        </w:p>
        <w:p>
          <w:pPr>
            <w:pStyle w:val="8"/>
            <w:tabs>
              <w:tab w:val="right" w:leader="dot" w:pos="8306"/>
            </w:tabs>
          </w:pPr>
          <w:r>
            <w:fldChar w:fldCharType="begin"/>
          </w:r>
          <w:r>
            <w:instrText xml:space="preserve"> HYPERLINK \l _Toc23849 </w:instrText>
          </w:r>
          <w:r>
            <w:fldChar w:fldCharType="separate"/>
          </w:r>
          <w:r>
            <w:rPr>
              <w:rFonts w:hint="eastAsia"/>
            </w:rPr>
            <w:t>2. 存在的问题</w:t>
          </w:r>
          <w:r>
            <w:tab/>
          </w:r>
          <w:r>
            <w:fldChar w:fldCharType="begin"/>
          </w:r>
          <w:r>
            <w:instrText xml:space="preserve"> PAGEREF _Toc23849 \h </w:instrText>
          </w:r>
          <w:r>
            <w:fldChar w:fldCharType="separate"/>
          </w:r>
          <w:r>
            <w:t>6</w:t>
          </w:r>
          <w:r>
            <w:fldChar w:fldCharType="end"/>
          </w:r>
          <w:r>
            <w:fldChar w:fldCharType="end"/>
          </w:r>
        </w:p>
        <w:p>
          <w:pPr>
            <w:pStyle w:val="8"/>
            <w:tabs>
              <w:tab w:val="right" w:leader="dot" w:pos="8306"/>
            </w:tabs>
          </w:pPr>
          <w:r>
            <w:fldChar w:fldCharType="begin"/>
          </w:r>
          <w:r>
            <w:instrText xml:space="preserve"> HYPERLINK \l _Toc9041 </w:instrText>
          </w:r>
          <w:r>
            <w:fldChar w:fldCharType="separate"/>
          </w:r>
          <w:r>
            <w:rPr>
              <w:rFonts w:hint="eastAsia"/>
            </w:rPr>
            <w:t>3. 改进措施及建议</w:t>
          </w:r>
          <w:r>
            <w:tab/>
          </w:r>
          <w:r>
            <w:fldChar w:fldCharType="begin"/>
          </w:r>
          <w:r>
            <w:instrText xml:space="preserve"> PAGEREF _Toc9041 \h </w:instrText>
          </w:r>
          <w:r>
            <w:fldChar w:fldCharType="separate"/>
          </w:r>
          <w:r>
            <w:t>6</w:t>
          </w:r>
          <w:r>
            <w:fldChar w:fldCharType="end"/>
          </w:r>
          <w:r>
            <w:fldChar w:fldCharType="end"/>
          </w:r>
        </w:p>
        <w:p>
          <w:pPr>
            <w:pStyle w:val="3"/>
            <w:tabs>
              <w:tab w:val="right" w:leader="dot" w:pos="8306"/>
            </w:tabs>
          </w:pPr>
          <w:r>
            <w:fldChar w:fldCharType="begin"/>
          </w:r>
          <w:r>
            <w:instrText xml:space="preserve"> HYPERLINK \l _Toc20066 </w:instrText>
          </w:r>
          <w:r>
            <w:fldChar w:fldCharType="separate"/>
          </w:r>
          <w:r>
            <w:rPr>
              <w:rFonts w:hint="eastAsia"/>
            </w:rPr>
            <w:t>政府行政运行经费项目支出绩效自评报告</w:t>
          </w:r>
          <w:r>
            <w:tab/>
          </w:r>
          <w:r>
            <w:fldChar w:fldCharType="begin"/>
          </w:r>
          <w:r>
            <w:instrText xml:space="preserve"> PAGEREF _Toc20066 \h </w:instrText>
          </w:r>
          <w:r>
            <w:fldChar w:fldCharType="separate"/>
          </w:r>
          <w:r>
            <w:t>7</w:t>
          </w:r>
          <w:r>
            <w:fldChar w:fldCharType="end"/>
          </w:r>
          <w:r>
            <w:fldChar w:fldCharType="end"/>
          </w:r>
        </w:p>
        <w:p>
          <w:pPr>
            <w:pStyle w:val="8"/>
            <w:tabs>
              <w:tab w:val="right" w:leader="dot" w:pos="8306"/>
            </w:tabs>
          </w:pPr>
          <w:r>
            <w:fldChar w:fldCharType="begin"/>
          </w:r>
          <w:r>
            <w:instrText xml:space="preserve"> HYPERLINK \l _Toc22528 </w:instrText>
          </w:r>
          <w:r>
            <w:fldChar w:fldCharType="separate"/>
          </w:r>
          <w:r>
            <w:rPr>
              <w:rFonts w:hint="eastAsia"/>
            </w:rPr>
            <w:t>一、项目基本情况</w:t>
          </w:r>
          <w:r>
            <w:tab/>
          </w:r>
          <w:r>
            <w:fldChar w:fldCharType="begin"/>
          </w:r>
          <w:r>
            <w:instrText xml:space="preserve"> PAGEREF _Toc22528 \h </w:instrText>
          </w:r>
          <w:r>
            <w:fldChar w:fldCharType="separate"/>
          </w:r>
          <w:r>
            <w:t>7</w:t>
          </w:r>
          <w:r>
            <w:fldChar w:fldCharType="end"/>
          </w:r>
          <w:r>
            <w:fldChar w:fldCharType="end"/>
          </w:r>
        </w:p>
        <w:p>
          <w:pPr>
            <w:pStyle w:val="7"/>
            <w:tabs>
              <w:tab w:val="right" w:leader="dot" w:pos="8306"/>
            </w:tabs>
          </w:pPr>
          <w:r>
            <w:fldChar w:fldCharType="begin"/>
          </w:r>
          <w:r>
            <w:instrText xml:space="preserve"> HYPERLINK \l _Toc20578 </w:instrText>
          </w:r>
          <w:r>
            <w:fldChar w:fldCharType="separate"/>
          </w:r>
          <w:r>
            <w:rPr>
              <w:rFonts w:hint="eastAsia"/>
              <w:lang w:eastAsia="zh-CN"/>
            </w:rPr>
            <w:t>（一）项目概况</w:t>
          </w:r>
          <w:r>
            <w:tab/>
          </w:r>
          <w:r>
            <w:fldChar w:fldCharType="begin"/>
          </w:r>
          <w:r>
            <w:instrText xml:space="preserve"> PAGEREF _Toc20578 \h </w:instrText>
          </w:r>
          <w:r>
            <w:fldChar w:fldCharType="separate"/>
          </w:r>
          <w:r>
            <w:t>7</w:t>
          </w:r>
          <w:r>
            <w:fldChar w:fldCharType="end"/>
          </w:r>
          <w:r>
            <w:fldChar w:fldCharType="end"/>
          </w:r>
        </w:p>
        <w:p>
          <w:pPr>
            <w:pStyle w:val="7"/>
            <w:tabs>
              <w:tab w:val="right" w:leader="dot" w:pos="8306"/>
            </w:tabs>
          </w:pPr>
          <w:r>
            <w:fldChar w:fldCharType="begin"/>
          </w:r>
          <w:r>
            <w:instrText xml:space="preserve"> HYPERLINK \l _Toc18044 </w:instrText>
          </w:r>
          <w:r>
            <w:fldChar w:fldCharType="separate"/>
          </w:r>
          <w:r>
            <w:rPr>
              <w:rFonts w:hint="eastAsia"/>
              <w:lang w:eastAsia="zh-CN"/>
            </w:rPr>
            <w:t>（二）绩效目标</w:t>
          </w:r>
          <w:r>
            <w:tab/>
          </w:r>
          <w:r>
            <w:fldChar w:fldCharType="begin"/>
          </w:r>
          <w:r>
            <w:instrText xml:space="preserve"> PAGEREF _Toc18044 \h </w:instrText>
          </w:r>
          <w:r>
            <w:fldChar w:fldCharType="separate"/>
          </w:r>
          <w:r>
            <w:t>9</w:t>
          </w:r>
          <w:r>
            <w:fldChar w:fldCharType="end"/>
          </w:r>
          <w:r>
            <w:fldChar w:fldCharType="end"/>
          </w:r>
        </w:p>
        <w:p>
          <w:pPr>
            <w:pStyle w:val="8"/>
            <w:tabs>
              <w:tab w:val="right" w:leader="dot" w:pos="8306"/>
            </w:tabs>
          </w:pPr>
          <w:r>
            <w:fldChar w:fldCharType="begin"/>
          </w:r>
          <w:r>
            <w:instrText xml:space="preserve"> HYPERLINK \l _Toc10657 </w:instrText>
          </w:r>
          <w:r>
            <w:fldChar w:fldCharType="separate"/>
          </w:r>
          <w:r>
            <w:rPr>
              <w:rFonts w:hint="eastAsia"/>
            </w:rPr>
            <w:t>二、绩效评价工作情况</w:t>
          </w:r>
          <w:r>
            <w:tab/>
          </w:r>
          <w:r>
            <w:fldChar w:fldCharType="begin"/>
          </w:r>
          <w:r>
            <w:instrText xml:space="preserve"> PAGEREF _Toc10657 \h </w:instrText>
          </w:r>
          <w:r>
            <w:fldChar w:fldCharType="separate"/>
          </w:r>
          <w:r>
            <w:t>10</w:t>
          </w:r>
          <w:r>
            <w:fldChar w:fldCharType="end"/>
          </w:r>
          <w:r>
            <w:fldChar w:fldCharType="end"/>
          </w:r>
        </w:p>
        <w:p>
          <w:pPr>
            <w:pStyle w:val="8"/>
            <w:tabs>
              <w:tab w:val="right" w:leader="dot" w:pos="8306"/>
            </w:tabs>
          </w:pPr>
          <w:r>
            <w:fldChar w:fldCharType="begin"/>
          </w:r>
          <w:r>
            <w:instrText xml:space="preserve"> HYPERLINK \l _Toc17991 </w:instrText>
          </w:r>
          <w:r>
            <w:fldChar w:fldCharType="separate"/>
          </w:r>
          <w:r>
            <w:rPr>
              <w:rFonts w:hint="eastAsia"/>
            </w:rPr>
            <w:t>三、评价结论和绩效分析</w:t>
          </w:r>
          <w:r>
            <w:tab/>
          </w:r>
          <w:r>
            <w:fldChar w:fldCharType="begin"/>
          </w:r>
          <w:r>
            <w:instrText xml:space="preserve"> PAGEREF _Toc17991 \h </w:instrText>
          </w:r>
          <w:r>
            <w:fldChar w:fldCharType="separate"/>
          </w:r>
          <w:r>
            <w:t>12</w:t>
          </w:r>
          <w:r>
            <w:fldChar w:fldCharType="end"/>
          </w:r>
          <w:r>
            <w:fldChar w:fldCharType="end"/>
          </w:r>
        </w:p>
        <w:p>
          <w:pPr>
            <w:pStyle w:val="8"/>
            <w:tabs>
              <w:tab w:val="right" w:leader="dot" w:pos="8306"/>
            </w:tabs>
          </w:pPr>
          <w:r>
            <w:fldChar w:fldCharType="begin"/>
          </w:r>
          <w:r>
            <w:instrText xml:space="preserve"> HYPERLINK \l _Toc6848 </w:instrText>
          </w:r>
          <w:r>
            <w:fldChar w:fldCharType="separate"/>
          </w:r>
          <w:r>
            <w:rPr>
              <w:rFonts w:hint="eastAsia"/>
              <w:lang w:eastAsia="zh-CN"/>
            </w:rPr>
            <w:t>四、</w:t>
          </w:r>
          <w:r>
            <w:rPr>
              <w:rFonts w:hint="eastAsia"/>
            </w:rPr>
            <w:t>成本效益分析</w:t>
          </w:r>
          <w:r>
            <w:tab/>
          </w:r>
          <w:r>
            <w:fldChar w:fldCharType="begin"/>
          </w:r>
          <w:r>
            <w:instrText xml:space="preserve"> PAGEREF _Toc6848 \h </w:instrText>
          </w:r>
          <w:r>
            <w:fldChar w:fldCharType="separate"/>
          </w:r>
          <w:r>
            <w:t>25</w:t>
          </w:r>
          <w:r>
            <w:fldChar w:fldCharType="end"/>
          </w:r>
          <w:r>
            <w:fldChar w:fldCharType="end"/>
          </w:r>
        </w:p>
        <w:p>
          <w:pPr>
            <w:pStyle w:val="8"/>
            <w:tabs>
              <w:tab w:val="right" w:leader="dot" w:pos="8306"/>
            </w:tabs>
          </w:pPr>
          <w:r>
            <w:fldChar w:fldCharType="begin"/>
          </w:r>
          <w:r>
            <w:instrText xml:space="preserve"> HYPERLINK \l _Toc26633 </w:instrText>
          </w:r>
          <w:r>
            <w:fldChar w:fldCharType="separate"/>
          </w:r>
          <w:r>
            <w:rPr>
              <w:rFonts w:hint="eastAsia"/>
            </w:rPr>
            <w:t>五、主要经验及做法、存在的问题和建议</w:t>
          </w:r>
          <w:r>
            <w:tab/>
          </w:r>
          <w:r>
            <w:fldChar w:fldCharType="begin"/>
          </w:r>
          <w:r>
            <w:instrText xml:space="preserve"> PAGEREF _Toc26633 \h </w:instrText>
          </w:r>
          <w:r>
            <w:fldChar w:fldCharType="separate"/>
          </w:r>
          <w:r>
            <w:t>26</w:t>
          </w:r>
          <w:r>
            <w:fldChar w:fldCharType="end"/>
          </w:r>
          <w:r>
            <w:fldChar w:fldCharType="end"/>
          </w:r>
        </w:p>
        <w:p>
          <w:pPr>
            <w:pStyle w:val="7"/>
            <w:tabs>
              <w:tab w:val="right" w:leader="dot" w:pos="8306"/>
            </w:tabs>
          </w:pPr>
          <w:r>
            <w:fldChar w:fldCharType="begin"/>
          </w:r>
          <w:r>
            <w:instrText xml:space="preserve"> HYPERLINK \l _Toc581 </w:instrText>
          </w:r>
          <w:r>
            <w:fldChar w:fldCharType="separate"/>
          </w:r>
          <w:r>
            <w:rPr>
              <w:rFonts w:hint="eastAsia"/>
              <w:lang w:eastAsia="zh-CN"/>
            </w:rPr>
            <w:t>（一）主要经验及做法</w:t>
          </w:r>
          <w:r>
            <w:tab/>
          </w:r>
          <w:r>
            <w:fldChar w:fldCharType="begin"/>
          </w:r>
          <w:r>
            <w:instrText xml:space="preserve"> PAGEREF _Toc581 \h </w:instrText>
          </w:r>
          <w:r>
            <w:fldChar w:fldCharType="separate"/>
          </w:r>
          <w:r>
            <w:t>26</w:t>
          </w:r>
          <w:r>
            <w:fldChar w:fldCharType="end"/>
          </w:r>
          <w:r>
            <w:fldChar w:fldCharType="end"/>
          </w:r>
        </w:p>
        <w:p>
          <w:pPr>
            <w:pStyle w:val="7"/>
            <w:tabs>
              <w:tab w:val="right" w:leader="dot" w:pos="8306"/>
            </w:tabs>
          </w:pPr>
          <w:r>
            <w:fldChar w:fldCharType="begin"/>
          </w:r>
          <w:r>
            <w:instrText xml:space="preserve"> HYPERLINK \l _Toc18105 </w:instrText>
          </w:r>
          <w:r>
            <w:fldChar w:fldCharType="separate"/>
          </w:r>
          <w:r>
            <w:rPr>
              <w:rFonts w:hint="eastAsia"/>
              <w:lang w:eastAsia="zh-CN"/>
            </w:rPr>
            <w:t>（二）</w:t>
          </w:r>
          <w:r>
            <w:rPr>
              <w:rFonts w:hint="eastAsia"/>
            </w:rPr>
            <w:t>存在的问题</w:t>
          </w:r>
          <w:r>
            <w:tab/>
          </w:r>
          <w:r>
            <w:fldChar w:fldCharType="begin"/>
          </w:r>
          <w:r>
            <w:instrText xml:space="preserve"> PAGEREF _Toc18105 \h </w:instrText>
          </w:r>
          <w:r>
            <w:fldChar w:fldCharType="separate"/>
          </w:r>
          <w:r>
            <w:t>27</w:t>
          </w:r>
          <w:r>
            <w:fldChar w:fldCharType="end"/>
          </w:r>
          <w:r>
            <w:fldChar w:fldCharType="end"/>
          </w:r>
        </w:p>
        <w:p>
          <w:pPr>
            <w:pStyle w:val="7"/>
            <w:tabs>
              <w:tab w:val="right" w:leader="dot" w:pos="8306"/>
            </w:tabs>
          </w:pPr>
          <w:r>
            <w:fldChar w:fldCharType="begin"/>
          </w:r>
          <w:r>
            <w:instrText xml:space="preserve"> HYPERLINK \l _Toc13202 </w:instrText>
          </w:r>
          <w:r>
            <w:fldChar w:fldCharType="separate"/>
          </w:r>
          <w:r>
            <w:rPr>
              <w:rFonts w:hint="eastAsia"/>
            </w:rPr>
            <w:t>（三）建议和改进措施</w:t>
          </w:r>
          <w:r>
            <w:tab/>
          </w:r>
          <w:r>
            <w:fldChar w:fldCharType="begin"/>
          </w:r>
          <w:r>
            <w:instrText xml:space="preserve"> PAGEREF _Toc13202 \h </w:instrText>
          </w:r>
          <w:r>
            <w:fldChar w:fldCharType="separate"/>
          </w:r>
          <w:r>
            <w:t>27</w:t>
          </w:r>
          <w:r>
            <w:fldChar w:fldCharType="end"/>
          </w:r>
          <w:r>
            <w:fldChar w:fldCharType="end"/>
          </w:r>
        </w:p>
        <w:p>
          <w:r>
            <w:fldChar w:fldCharType="end"/>
          </w:r>
        </w:p>
      </w:sdtContent>
    </w:sdt>
    <w:p>
      <w:pPr>
        <w:rPr>
          <w:rFonts w:ascii="方正小标宋_GBK" w:hAnsi="黑体" w:eastAsia="方正小标宋_GBK"/>
          <w:szCs w:val="32"/>
        </w:rPr>
      </w:pPr>
      <w:r>
        <w:rPr>
          <w:rFonts w:ascii="方正小标宋_GBK" w:hAnsi="黑体" w:eastAsia="方正小标宋_GBK"/>
          <w:szCs w:val="32"/>
        </w:rPr>
        <w:br w:type="page"/>
      </w:r>
    </w:p>
    <w:p>
      <w:pPr>
        <w:pStyle w:val="2"/>
      </w:pPr>
    </w:p>
    <w:p>
      <w:pPr>
        <w:bidi w:val="0"/>
        <w:ind w:left="0" w:leftChars="0" w:firstLine="0" w:firstLineChars="0"/>
        <w:jc w:val="center"/>
        <w:rPr>
          <w:rFonts w:hint="eastAsia" w:ascii="黑体" w:hAnsi="黑体" w:eastAsia="黑体" w:cs="黑体"/>
          <w:b/>
          <w:bCs/>
          <w:sz w:val="52"/>
          <w:szCs w:val="52"/>
        </w:rPr>
      </w:pPr>
      <w:r>
        <w:rPr>
          <w:rFonts w:hint="eastAsia" w:ascii="黑体" w:hAnsi="黑体" w:eastAsia="黑体" w:cs="黑体"/>
          <w:b/>
          <w:bCs/>
          <w:sz w:val="52"/>
          <w:szCs w:val="52"/>
        </w:rPr>
        <w:t>昆明市盘龙区人民政府鼓楼街道办事处项目支出绩效自评报告</w:t>
      </w:r>
    </w:p>
    <w:p>
      <w:pPr>
        <w:spacing w:line="440" w:lineRule="exact"/>
        <w:ind w:firstLine="600" w:firstLineChars="200"/>
        <w:jc w:val="left"/>
        <w:rPr>
          <w:rFonts w:ascii="黑体" w:hAnsi="黑体" w:eastAsia="黑体"/>
          <w:szCs w:val="32"/>
        </w:rPr>
      </w:pPr>
    </w:p>
    <w:p>
      <w:pPr>
        <w:pStyle w:val="4"/>
        <w:bidi w:val="0"/>
        <w:rPr>
          <w:rFonts w:hint="eastAsia"/>
        </w:rPr>
      </w:pPr>
      <w:bookmarkStart w:id="2" w:name="_Toc10263"/>
      <w:r>
        <w:rPr>
          <w:rFonts w:hint="eastAsia"/>
        </w:rPr>
        <w:t>摘要</w:t>
      </w:r>
      <w:bookmarkEnd w:id="2"/>
    </w:p>
    <w:p>
      <w:pPr>
        <w:bidi w:val="0"/>
      </w:pPr>
      <w:r>
        <w:rPr>
          <w:rFonts w:hint="eastAsia"/>
        </w:rPr>
        <w:t xml:space="preserve"> </w:t>
      </w:r>
      <w:r>
        <w:rPr>
          <w:rFonts w:hint="eastAsia"/>
          <w:lang w:eastAsia="zh-CN"/>
        </w:rPr>
        <w:t>“街道吹哨、部门报到”工作经费项目</w:t>
      </w:r>
      <w:r>
        <w:rPr>
          <w:rFonts w:hint="eastAsia"/>
        </w:rPr>
        <w:t>坚持以人民为中心，以推进机构职能优化协同高效为着力点，积极推进街道管理体制机制创新，推动基层治理重心下移，通过赋权、下沉、增效，进一步做强街道、做优社区、做实系统、做活治理，构建党建引领、街道吹哨、部门报到、服务群众的工作机制，形成“三级联动、多方参与”的基层治理格局，为盘龙全面建成小康社会，奋力开启改革发展新征程，高质量推进区域性国际中心城市核心城区建设提供有力保证。</w:t>
      </w:r>
    </w:p>
    <w:p>
      <w:pPr>
        <w:pStyle w:val="4"/>
        <w:numPr>
          <w:ilvl w:val="0"/>
          <w:numId w:val="1"/>
        </w:numPr>
        <w:bidi w:val="0"/>
        <w:rPr>
          <w:rFonts w:hint="eastAsia"/>
        </w:rPr>
      </w:pPr>
      <w:bookmarkStart w:id="3" w:name="_Toc4951"/>
      <w:r>
        <w:rPr>
          <w:rFonts w:hint="eastAsia"/>
        </w:rPr>
        <w:t>项目概况</w:t>
      </w:r>
      <w:bookmarkEnd w:id="3"/>
    </w:p>
    <w:p>
      <w:pPr>
        <w:bidi w:val="0"/>
        <w:rPr>
          <w:rFonts w:hint="eastAsia"/>
          <w:lang w:eastAsia="zh-CN"/>
        </w:rPr>
      </w:pPr>
      <w:r>
        <w:rPr>
          <w:rFonts w:hint="eastAsia"/>
        </w:rPr>
        <w:t>项目立项背景</w:t>
      </w:r>
      <w:r>
        <w:rPr>
          <w:rFonts w:hint="eastAsia"/>
          <w:lang w:eastAsia="zh-CN"/>
        </w:rPr>
        <w:t>：本项目根据中共昆明市盘龙区委办公室+昆明市盘龙区人民政府办公室印发《盘龙区关于党建引领基层治理推动实现+“街道吹哨、部门报到”实施方案》的通知（盘办通〔2019〕59号），关于印发《关于建立“街道吹哨、部门报到”工作机制+落实街道对综合事项统筹调度权的实施办法（试行）》的通知（盘政办通〔2019〕83号）立项。</w:t>
      </w:r>
    </w:p>
    <w:p>
      <w:pPr>
        <w:bidi w:val="0"/>
        <w:rPr>
          <w:rFonts w:hint="eastAsia"/>
          <w:lang w:eastAsia="zh-CN"/>
        </w:rPr>
      </w:pPr>
      <w:r>
        <w:rPr>
          <w:rFonts w:hint="eastAsia"/>
        </w:rPr>
        <w:t>项目</w:t>
      </w:r>
      <w:r>
        <w:rPr>
          <w:rFonts w:hint="eastAsia"/>
          <w:lang w:eastAsia="zh-CN"/>
        </w:rPr>
        <w:t>目的：坚持以人民为中心，以推进机构职能优化协同高效为着力点，积极推进街道管理体制机制创新，推动基层治理重心下移，通过赋权、下沉、增效，进一步做强街道、做优社区、做实系统、做活治理，构建党建引领、街道吹哨、部门报到、服务群众的工作机制，形成“三级联动、多方参与”的基层治理格局，为盘龙全面建成小康社会。</w:t>
      </w:r>
    </w:p>
    <w:p>
      <w:pPr>
        <w:bidi w:val="0"/>
        <w:rPr>
          <w:rFonts w:hint="eastAsia"/>
          <w:lang w:eastAsia="zh-CN"/>
        </w:rPr>
      </w:pPr>
      <w:r>
        <w:rPr>
          <w:rFonts w:hint="eastAsia"/>
          <w:lang w:eastAsia="zh-CN"/>
        </w:rPr>
        <w:t>预算收支情况</w:t>
      </w:r>
      <w:r>
        <w:rPr>
          <w:rFonts w:hint="eastAsia"/>
          <w:lang w:eastAsia="zh-CN"/>
        </w:rPr>
        <w:t>：本项目资金收入200万元，全部为一般公共预算拨款，本年度已全部支付完毕，主要用于城管中队、村级代理、临时人员、经济发展服务中心劳务费等开支。</w:t>
      </w:r>
    </w:p>
    <w:p>
      <w:pPr>
        <w:pStyle w:val="4"/>
        <w:numPr>
          <w:ilvl w:val="0"/>
          <w:numId w:val="1"/>
        </w:numPr>
        <w:bidi w:val="0"/>
        <w:rPr>
          <w:rFonts w:hint="eastAsia"/>
        </w:rPr>
      </w:pPr>
      <w:bookmarkStart w:id="4" w:name="_Toc8051"/>
      <w:r>
        <w:rPr>
          <w:rFonts w:hint="eastAsia"/>
        </w:rPr>
        <w:t>评价结论</w:t>
      </w:r>
      <w:bookmarkEnd w:id="4"/>
    </w:p>
    <w:p>
      <w:pPr>
        <w:bidi w:val="0"/>
        <w:rPr>
          <w:rFonts w:hint="eastAsia"/>
          <w:lang w:eastAsia="zh-CN"/>
        </w:rPr>
      </w:pPr>
      <w:r>
        <w:rPr>
          <w:rFonts w:hint="eastAsia"/>
          <w:lang w:eastAsia="zh-CN"/>
        </w:rPr>
        <w:t>根据对投入类指标、过程类指标和产出效益类指标的分析，鼓楼街道办严格执行财务管理相关制度的规定，财务制度健全，管理规范，做到了专款专用，无贪污、截留、挪用现象。</w:t>
      </w:r>
    </w:p>
    <w:p>
      <w:pPr>
        <w:bidi w:val="0"/>
        <w:rPr>
          <w:rFonts w:hint="eastAsia"/>
          <w:lang w:eastAsia="zh-CN"/>
        </w:rPr>
      </w:pPr>
      <w:r>
        <w:rPr>
          <w:rFonts w:hint="eastAsia"/>
          <w:lang w:eastAsia="zh-CN"/>
        </w:rPr>
        <w:t>综上，根据《盘龙区区级部门预算绩效自评管理暂行办法》，绩效评价得分为9</w:t>
      </w:r>
      <w:r>
        <w:rPr>
          <w:rFonts w:hint="eastAsia"/>
          <w:lang w:val="en-US" w:eastAsia="zh-CN"/>
        </w:rPr>
        <w:t>5</w:t>
      </w:r>
      <w:r>
        <w:rPr>
          <w:rFonts w:hint="eastAsia"/>
          <w:lang w:eastAsia="zh-CN"/>
        </w:rPr>
        <w:t>分，自评结果为优。</w:t>
      </w:r>
    </w:p>
    <w:p>
      <w:pPr>
        <w:pStyle w:val="4"/>
        <w:bidi w:val="0"/>
      </w:pPr>
      <w:bookmarkStart w:id="5" w:name="_Toc1724"/>
      <w:r>
        <w:rPr>
          <w:rFonts w:hint="eastAsia"/>
        </w:rPr>
        <w:t>三、经验、问题和建议</w:t>
      </w:r>
      <w:bookmarkEnd w:id="5"/>
    </w:p>
    <w:p>
      <w:pPr>
        <w:pStyle w:val="5"/>
        <w:bidi w:val="0"/>
        <w:rPr>
          <w:rFonts w:hint="eastAsia"/>
        </w:rPr>
      </w:pPr>
      <w:bookmarkStart w:id="6" w:name="_Toc3705"/>
      <w:r>
        <w:rPr>
          <w:rFonts w:hint="eastAsia"/>
        </w:rPr>
        <w:t>1.主要经验及做法</w:t>
      </w:r>
      <w:bookmarkEnd w:id="6"/>
    </w:p>
    <w:p>
      <w:pPr>
        <w:bidi w:val="0"/>
        <w:rPr>
          <w:b/>
          <w:bCs/>
        </w:rPr>
      </w:pPr>
      <w:r>
        <w:rPr>
          <w:b/>
          <w:bCs/>
        </w:rPr>
        <w:t>强化组织领导</w:t>
      </w:r>
    </w:p>
    <w:p>
      <w:pPr>
        <w:bidi w:val="0"/>
        <w:rPr>
          <w:rFonts w:hint="eastAsia"/>
          <w:lang w:eastAsia="zh-CN"/>
        </w:rPr>
      </w:pPr>
      <w:r>
        <w:rPr>
          <w:rFonts w:hint="eastAsia"/>
          <w:lang w:eastAsia="zh-CN"/>
        </w:rPr>
        <w:t>成立由部门负责人任组长的绩效评价领导小组，保证了财政支出绩效评价各项工作的顺利开展。</w:t>
      </w:r>
    </w:p>
    <w:p>
      <w:pPr>
        <w:numPr>
          <w:ilvl w:val="0"/>
          <w:numId w:val="2"/>
        </w:numPr>
        <w:bidi w:val="0"/>
        <w:rPr>
          <w:b/>
          <w:bCs/>
        </w:rPr>
      </w:pPr>
      <w:r>
        <w:rPr>
          <w:b/>
          <w:bCs/>
        </w:rPr>
        <w:t>加强学习，强化绩效管理的理念</w:t>
      </w:r>
    </w:p>
    <w:p>
      <w:pPr>
        <w:bidi w:val="0"/>
        <w:rPr>
          <w:rFonts w:hint="eastAsia"/>
          <w:lang w:eastAsia="zh-CN"/>
        </w:rPr>
      </w:pPr>
      <w:r>
        <w:rPr>
          <w:rFonts w:hint="eastAsia"/>
          <w:lang w:eastAsia="zh-CN"/>
        </w:rPr>
        <w:t>认真学习财政部《关于推进预算绩效管理的指导意见》（财预〔2014〕416号）、云南省财政厅《云南省省级部门财政支出绩效办法》（云财预〔2016〕98号）、《昆明市盘龙区财政局 关于开展2020年度区级预算支出绩效自评工作的通知》（盘财绩〔2021〕2号）</w:t>
      </w:r>
      <w:r>
        <w:rPr>
          <w:rFonts w:hint="eastAsia"/>
          <w:lang w:eastAsia="zh-CN"/>
        </w:rPr>
        <w:t>、《盘龙区区级部门预算绩效自评管理暂行办法》相关绩效管理文件，吃透文件精神，强化绩效管理的理念</w:t>
      </w:r>
      <w:r>
        <w:rPr>
          <w:rFonts w:hint="eastAsia"/>
          <w:lang w:eastAsia="zh-CN"/>
        </w:rPr>
        <w:t>。</w:t>
      </w:r>
    </w:p>
    <w:p>
      <w:pPr>
        <w:numPr>
          <w:ilvl w:val="0"/>
          <w:numId w:val="2"/>
        </w:numPr>
        <w:bidi w:val="0"/>
        <w:rPr>
          <w:b/>
          <w:bCs/>
        </w:rPr>
      </w:pPr>
      <w:r>
        <w:rPr>
          <w:b/>
          <w:bCs/>
        </w:rPr>
        <w:t>创新方式，落实责任</w:t>
      </w:r>
    </w:p>
    <w:p>
      <w:pPr>
        <w:bidi w:val="0"/>
        <w:rPr>
          <w:rFonts w:hint="eastAsia"/>
          <w:lang w:eastAsia="zh-CN"/>
        </w:rPr>
      </w:pPr>
      <w:r>
        <w:rPr>
          <w:rFonts w:hint="eastAsia"/>
          <w:lang w:eastAsia="zh-CN"/>
        </w:rPr>
        <w:t>创新管理方式，落实岗位责任制，夯实基础工作，突出工作重点，强化制度建设，推动本单位预算绩效管理各项工作齐头并进。</w:t>
      </w:r>
    </w:p>
    <w:p>
      <w:pPr>
        <w:pStyle w:val="5"/>
        <w:keepNext/>
        <w:keepLines/>
        <w:pageBreakBefore w:val="0"/>
        <w:widowControl w:val="0"/>
        <w:numPr>
          <w:ilvl w:val="0"/>
          <w:numId w:val="3"/>
        </w:numPr>
        <w:kinsoku/>
        <w:wordWrap/>
        <w:overflowPunct/>
        <w:topLinePunct w:val="0"/>
        <w:autoSpaceDE/>
        <w:autoSpaceDN/>
        <w:bidi w:val="0"/>
        <w:adjustRightInd/>
        <w:snapToGrid w:val="0"/>
        <w:spacing w:before="100" w:after="100" w:line="360" w:lineRule="auto"/>
        <w:textAlignment w:val="auto"/>
        <w:rPr>
          <w:rFonts w:hint="eastAsia"/>
        </w:rPr>
      </w:pPr>
      <w:bookmarkStart w:id="7" w:name="_Toc23849"/>
      <w:r>
        <w:rPr>
          <w:rFonts w:hint="eastAsia"/>
        </w:rPr>
        <w:t>存在的问题</w:t>
      </w:r>
      <w:bookmarkEnd w:id="7"/>
    </w:p>
    <w:p>
      <w:pPr>
        <w:bidi w:val="0"/>
        <w:rPr>
          <w:rFonts w:hint="eastAsia"/>
          <w:lang w:eastAsia="zh-CN"/>
        </w:rPr>
      </w:pPr>
      <w:r>
        <w:rPr>
          <w:rFonts w:hint="eastAsia"/>
          <w:lang w:eastAsia="zh-CN"/>
        </w:rPr>
        <w:t>资金支付过程中整体集中在年末支付，执行进度较缓慢，主要原因为项目实施中资料收集不及时，各项工作总结报告落实不到位，不能及时汇总。</w:t>
      </w:r>
    </w:p>
    <w:p>
      <w:pPr>
        <w:pStyle w:val="5"/>
        <w:keepNext/>
        <w:keepLines/>
        <w:pageBreakBefore w:val="0"/>
        <w:widowControl w:val="0"/>
        <w:numPr>
          <w:ilvl w:val="0"/>
          <w:numId w:val="3"/>
        </w:numPr>
        <w:kinsoku/>
        <w:wordWrap/>
        <w:overflowPunct/>
        <w:topLinePunct w:val="0"/>
        <w:autoSpaceDE/>
        <w:autoSpaceDN/>
        <w:bidi w:val="0"/>
        <w:adjustRightInd/>
        <w:snapToGrid w:val="0"/>
        <w:spacing w:before="100" w:after="100" w:line="360" w:lineRule="auto"/>
        <w:textAlignment w:val="auto"/>
        <w:rPr>
          <w:rFonts w:hint="eastAsia"/>
        </w:rPr>
      </w:pPr>
      <w:bookmarkStart w:id="8" w:name="_Toc9041"/>
      <w:r>
        <w:rPr>
          <w:rFonts w:hint="eastAsia"/>
        </w:rPr>
        <w:t>改进措施及建议</w:t>
      </w:r>
      <w:bookmarkEnd w:id="8"/>
    </w:p>
    <w:p>
      <w:pPr>
        <w:bidi w:val="0"/>
        <w:rPr>
          <w:rFonts w:hint="eastAsia"/>
          <w:lang w:eastAsia="zh-CN"/>
        </w:rPr>
      </w:pPr>
      <w:r>
        <w:rPr>
          <w:rFonts w:hint="eastAsia"/>
          <w:lang w:eastAsia="zh-CN"/>
        </w:rPr>
        <w:t>办事处将积极的进行绩效跟踪组织，及时把控各项目执行进度，将绩效完成情况同个人工作优秀与否挂钩，及时制定各工作阶段完成目标，对各阶段完成情况进行统计监督，理清工作思路，强化工作措施，加强培训，提升内部业务技术，结合下年工作目标、计划，科学合理的分配各块工作资金，确保年度绩效目标的整体实现；进一步完善绩效申报表的填报，细化相关指标，对内容进一步分类划分、深化执行分类控制，对绩效指标的定量指标进一步清晰、细化，提高可衡量性。</w:t>
      </w:r>
    </w:p>
    <w:p>
      <w:pPr>
        <w:rPr>
          <w:rFonts w:hint="eastAsia" w:ascii="黑体" w:hAnsi="黑体" w:eastAsia="黑体"/>
          <w:szCs w:val="32"/>
        </w:rPr>
      </w:pPr>
      <w:r>
        <w:rPr>
          <w:rFonts w:hint="eastAsia" w:ascii="黑体" w:hAnsi="黑体" w:eastAsia="黑体"/>
          <w:szCs w:val="32"/>
        </w:rPr>
        <w:br w:type="page"/>
      </w:r>
    </w:p>
    <w:p>
      <w:pPr>
        <w:pStyle w:val="4"/>
        <w:bidi w:val="0"/>
        <w:jc w:val="center"/>
      </w:pPr>
      <w:bookmarkStart w:id="9" w:name="_Toc20066"/>
      <w:r>
        <w:rPr>
          <w:rFonts w:hint="eastAsia"/>
          <w:lang w:eastAsia="zh-CN"/>
        </w:rPr>
        <w:t>“街道吹哨、部门报到”工作</w:t>
      </w:r>
      <w:r>
        <w:rPr>
          <w:rFonts w:hint="eastAsia"/>
        </w:rPr>
        <w:t>经费项目支出绩效自评报告</w:t>
      </w:r>
      <w:bookmarkEnd w:id="9"/>
    </w:p>
    <w:p>
      <w:pPr>
        <w:topLinePunct/>
        <w:spacing w:line="440" w:lineRule="exact"/>
        <w:ind w:firstLine="750" w:firstLineChars="250"/>
        <w:rPr>
          <w:rFonts w:ascii="黑体" w:eastAsia="黑体"/>
          <w:szCs w:val="32"/>
        </w:rPr>
      </w:pPr>
    </w:p>
    <w:p>
      <w:pPr>
        <w:pStyle w:val="5"/>
        <w:bidi w:val="0"/>
      </w:pPr>
      <w:bookmarkStart w:id="10" w:name="_Toc22528"/>
      <w:r>
        <w:rPr>
          <w:rFonts w:hint="eastAsia"/>
        </w:rPr>
        <w:t>一、项目基本情况</w:t>
      </w:r>
      <w:bookmarkEnd w:id="10"/>
    </w:p>
    <w:p>
      <w:pPr>
        <w:pStyle w:val="6"/>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b/>
          <w:lang w:eastAsia="zh-CN"/>
        </w:rPr>
      </w:pPr>
      <w:bookmarkStart w:id="11" w:name="_Toc20578"/>
      <w:r>
        <w:rPr>
          <w:rFonts w:hint="eastAsia"/>
          <w:b/>
          <w:lang w:eastAsia="zh-CN"/>
        </w:rPr>
        <w:t>（一）项目概况</w:t>
      </w:r>
      <w:bookmarkEnd w:id="11"/>
    </w:p>
    <w:p>
      <w:pPr>
        <w:bidi w:val="0"/>
        <w:rPr>
          <w:rFonts w:hint="eastAsia"/>
          <w:lang w:eastAsia="zh-CN"/>
        </w:rPr>
      </w:pPr>
      <w:r>
        <w:rPr>
          <w:rFonts w:hint="eastAsia"/>
          <w:lang w:eastAsia="zh-CN"/>
        </w:rPr>
        <w:t>1.立项背景及目的。</w:t>
      </w:r>
    </w:p>
    <w:p>
      <w:pPr>
        <w:bidi w:val="0"/>
        <w:rPr>
          <w:rFonts w:hint="eastAsia"/>
          <w:lang w:eastAsia="zh-CN"/>
        </w:rPr>
      </w:pPr>
      <w:r>
        <w:rPr>
          <w:rFonts w:hint="eastAsia"/>
          <w:lang w:eastAsia="zh-CN"/>
        </w:rPr>
        <w:t>项目立项背景</w:t>
      </w:r>
      <w:r>
        <w:rPr>
          <w:rFonts w:hint="eastAsia"/>
          <w:lang w:eastAsia="zh-CN"/>
        </w:rPr>
        <w:t>：本项目根据中共昆明市盘龙区委办公室+昆明市盘龙区人民政府办公室印发《盘龙区关于党建引领基层治理推动实现+“街道吹哨、部门报到”实施方案》的通知（盘办通〔2019〕59号），关于印发《关于建立“街道吹哨、部门报到”工作机制+落实街道对综合事项统筹调度权的实施办法（试行）》的通知（盘政办通〔2019〕83号）立项。</w:t>
      </w:r>
    </w:p>
    <w:p>
      <w:pPr>
        <w:bidi w:val="0"/>
        <w:rPr>
          <w:rFonts w:hint="eastAsia"/>
          <w:lang w:eastAsia="zh-CN"/>
        </w:rPr>
      </w:pPr>
      <w:r>
        <w:rPr>
          <w:rFonts w:hint="eastAsia"/>
          <w:lang w:eastAsia="zh-CN"/>
        </w:rPr>
        <w:t>项目</w:t>
      </w:r>
      <w:r>
        <w:rPr>
          <w:rFonts w:hint="eastAsia"/>
          <w:lang w:eastAsia="zh-CN"/>
        </w:rPr>
        <w:t>目的：本项目主要用于改善各项环境，市容环境：道路日常保洁、渣土管理、环卫设施管理； 生态环境：大气污染管理、河湖管理、绿化管理；设施环境：广告设施、道路破损、公共设施、照明设施 ；秩序环境：施工管理、停车秩序、乱堆乱放、流浪乞讨、黑车拉客、噪音扰民、大件废弃物、广告涂鸦 ；其他管理：旅游监管、电梯安全，节约社会经济资源，促进经济发展；加强对群众的服务，促进人民安居立业，构建和谐社会 ；优化治安环境，提升社区治安情况，实现生态效益最大化 ；提高平安法治建设水平，促进人与自然和谐发展。</w:t>
      </w:r>
    </w:p>
    <w:p>
      <w:pPr>
        <w:bidi w:val="0"/>
        <w:rPr>
          <w:rFonts w:hint="eastAsia"/>
          <w:lang w:eastAsia="zh-CN"/>
        </w:rPr>
      </w:pPr>
      <w:r>
        <w:rPr>
          <w:rFonts w:hint="eastAsia"/>
          <w:lang w:eastAsia="zh-CN"/>
        </w:rPr>
        <w:t>项目实施情况。</w:t>
      </w:r>
    </w:p>
    <w:p>
      <w:pPr>
        <w:bidi w:val="0"/>
        <w:rPr>
          <w:rFonts w:hint="eastAsia"/>
          <w:lang w:val="en-US" w:eastAsia="zh-CN"/>
        </w:rPr>
      </w:pPr>
      <w:r>
        <w:rPr>
          <w:rFonts w:hint="eastAsia"/>
          <w:lang w:val="en-US" w:eastAsia="zh-CN"/>
        </w:rPr>
        <w:t>本项目用于大力改善市容环境、生态环境、设施环境及旅游监管、电梯安全等开支。本年度联合文明单位、爱心企业、社会组织等开展“我们的节日”系列活动；</w:t>
      </w:r>
      <w:r>
        <w:rPr>
          <w:rFonts w:hint="eastAsia"/>
          <w:lang w:val="zh-CN" w:eastAsia="zh-CN"/>
        </w:rPr>
        <w:t>组织辖区群众开展盘龙江畔话好人活动</w:t>
      </w:r>
      <w:r>
        <w:rPr>
          <w:rFonts w:hint="eastAsia"/>
          <w:lang w:val="en-US" w:eastAsia="zh-CN"/>
        </w:rPr>
        <w:t>2</w:t>
      </w:r>
      <w:r>
        <w:rPr>
          <w:rFonts w:hint="eastAsia"/>
          <w:lang w:val="zh-CN" w:eastAsia="zh-CN"/>
        </w:rPr>
        <w:t>次；</w:t>
      </w:r>
      <w:r>
        <w:rPr>
          <w:rFonts w:hint="eastAsia"/>
          <w:lang w:val="en-US" w:eastAsia="zh-CN"/>
        </w:rPr>
        <w:t>组织丰富多彩的民族文艺汇演、开展送春联、包粽子等民俗文化活动，传统佳节开展道德模范、清洁工人、困难群众慰问；开展为民服务日、“3.5学雷锋”等志愿便民服务活动，为居民营造整洁卫生的生活环境。在活动中，发放创文宣传品、展示宣传展、弘扬文明新风，把创文宣传融入群众喜闻乐见的各类“我们的节日”活动，大力培育和践行社会主义核心价值观，以服务聚民意，丰富居民文化生活，提升辖区居民群众的精神生活和文化素养；对小区基础类民生改造：雨污分流改造、淹积水改造、三线规整、智能水电表安装、小区及楼道内路灯改造、破损路面修复、规范小区内停车泊位。环境提升改造：新建单车棚、修复改造原有安防监控设施、扩宽应急通道、设置垃圾分类投放设施、维修改造楼梯踏步、安装楼道扶手及单元内楼梯防滑条、墙面粉刷、增设小区内标识标牌、增补单元消防设施、规整改造屋顶太阳能、改造小区大门、新建文化长廊、安装室外建身器材、增设休闲座椅、增设小区文化宣传栏、提升小区绿化；通过加强组织领导、加强信息上报、加强宣传教育、加强源头管控、加强监管检查 “五个加强”，打好疫情防控“组合拳”，全力阻断疫情的蔓延。</w:t>
      </w:r>
    </w:p>
    <w:p>
      <w:pPr>
        <w:bidi w:val="0"/>
        <w:rPr>
          <w:rFonts w:hint="eastAsia"/>
          <w:lang w:eastAsia="zh-CN"/>
        </w:rPr>
      </w:pPr>
      <w:r>
        <w:rPr>
          <w:rFonts w:hint="eastAsia"/>
          <w:lang w:eastAsia="zh-CN"/>
        </w:rPr>
        <w:t>资金来源及使用情况。</w:t>
      </w:r>
    </w:p>
    <w:p>
      <w:pPr>
        <w:bidi w:val="0"/>
        <w:rPr>
          <w:rFonts w:hint="eastAsia"/>
          <w:lang w:eastAsia="zh-CN"/>
        </w:rPr>
      </w:pPr>
      <w:r>
        <w:rPr>
          <w:rFonts w:hint="eastAsia"/>
          <w:lang w:eastAsia="zh-CN"/>
        </w:rPr>
        <w:t>本项目资金收入</w:t>
      </w:r>
      <w:r>
        <w:rPr>
          <w:rFonts w:hint="eastAsia"/>
          <w:lang w:val="en-US" w:eastAsia="zh-CN"/>
        </w:rPr>
        <w:t>200</w:t>
      </w:r>
      <w:r>
        <w:rPr>
          <w:rFonts w:hint="eastAsia"/>
          <w:lang w:eastAsia="zh-CN"/>
        </w:rPr>
        <w:t>万元，全部为一般公共预算拨款，本年度已全部支付完毕。</w:t>
      </w:r>
    </w:p>
    <w:p>
      <w:pPr>
        <w:bidi w:val="0"/>
        <w:rPr>
          <w:rFonts w:hint="eastAsia"/>
          <w:lang w:eastAsia="zh-CN"/>
        </w:rPr>
      </w:pPr>
      <w:r>
        <w:rPr>
          <w:rFonts w:hint="eastAsia"/>
          <w:lang w:eastAsia="zh-CN"/>
        </w:rPr>
        <w:t>组织及管理情况。包括项目组织情况、项目实施流程、资金拨付流程。</w:t>
      </w:r>
    </w:p>
    <w:p>
      <w:pPr>
        <w:bidi w:val="0"/>
        <w:rPr>
          <w:rFonts w:hint="eastAsia"/>
          <w:lang w:eastAsia="zh-CN"/>
        </w:rPr>
      </w:pPr>
      <w:r>
        <w:rPr>
          <w:rFonts w:hint="eastAsia"/>
          <w:lang w:eastAsia="zh-CN"/>
        </w:rPr>
        <w:t>本项目主要由</w:t>
      </w:r>
      <w:r>
        <w:rPr>
          <w:rFonts w:hint="eastAsia"/>
          <w:lang w:eastAsia="zh-CN"/>
        </w:rPr>
        <w:t>社会建设办公室组织</w:t>
      </w:r>
      <w:r>
        <w:rPr>
          <w:rFonts w:hint="eastAsia"/>
          <w:lang w:eastAsia="zh-CN"/>
        </w:rPr>
        <w:t>实施，</w:t>
      </w:r>
      <w:r>
        <w:rPr>
          <w:rFonts w:hint="eastAsia"/>
          <w:lang w:eastAsia="zh-CN"/>
        </w:rPr>
        <w:t>项目实施情况由</w:t>
      </w:r>
      <w:r>
        <w:rPr>
          <w:rFonts w:hint="eastAsia"/>
          <w:lang w:eastAsia="zh-CN"/>
        </w:rPr>
        <w:t>项目部门领导组织负责监督管理，项目经费严格按照上级有关规定及</w:t>
      </w:r>
      <w:r>
        <w:rPr>
          <w:rFonts w:hint="eastAsia"/>
          <w:lang w:eastAsia="zh-CN"/>
        </w:rPr>
        <w:t>鼓楼街道办事处三重一大等财务管理制度进行拨付和使用，严格按照国家规定实施</w:t>
      </w:r>
      <w:r>
        <w:rPr>
          <w:rFonts w:hint="eastAsia"/>
          <w:lang w:eastAsia="zh-CN"/>
        </w:rPr>
        <w:t>政府采购及资金拨付，无任何违规、</w:t>
      </w:r>
      <w:r>
        <w:rPr>
          <w:rFonts w:hint="eastAsia"/>
          <w:lang w:eastAsia="zh-CN"/>
        </w:rPr>
        <w:t>不存在截留、挤占、挪用、虚列支出</w:t>
      </w:r>
      <w:r>
        <w:rPr>
          <w:rFonts w:hint="eastAsia"/>
          <w:lang w:eastAsia="zh-CN"/>
        </w:rPr>
        <w:t>，乱收费现象</w:t>
      </w:r>
      <w:r>
        <w:rPr>
          <w:rFonts w:hint="eastAsia"/>
          <w:lang w:eastAsia="zh-CN"/>
        </w:rPr>
        <w:t>。</w:t>
      </w:r>
    </w:p>
    <w:p>
      <w:pPr>
        <w:pStyle w:val="6"/>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b/>
          <w:lang w:eastAsia="zh-CN"/>
        </w:rPr>
      </w:pPr>
      <w:bookmarkStart w:id="12" w:name="_Toc18044"/>
      <w:r>
        <w:rPr>
          <w:rFonts w:hint="eastAsia"/>
          <w:b/>
          <w:lang w:eastAsia="zh-CN"/>
        </w:rPr>
        <w:t>（二）绩效目标</w:t>
      </w:r>
      <w:bookmarkEnd w:id="12"/>
    </w:p>
    <w:p>
      <w:pPr>
        <w:bidi w:val="0"/>
        <w:rPr>
          <w:rFonts w:hint="eastAsia"/>
          <w:lang w:eastAsia="zh-CN"/>
        </w:rPr>
      </w:pPr>
      <w:r>
        <w:rPr>
          <w:rFonts w:hint="eastAsia"/>
          <w:lang w:eastAsia="zh-CN"/>
        </w:rPr>
        <w:t>1.总目标。</w:t>
      </w:r>
    </w:p>
    <w:p>
      <w:pPr>
        <w:bidi w:val="0"/>
        <w:rPr>
          <w:rFonts w:hint="eastAsia"/>
          <w:lang w:eastAsia="zh-CN"/>
        </w:rPr>
      </w:pPr>
      <w:r>
        <w:rPr>
          <w:rFonts w:hint="eastAsia"/>
          <w:lang w:eastAsia="zh-CN"/>
        </w:rPr>
        <w:t xml:space="preserve"> </w:t>
      </w:r>
      <w:r>
        <w:rPr>
          <w:rFonts w:hint="eastAsia"/>
          <w:lang w:eastAsia="zh-CN"/>
        </w:rPr>
        <w:t>本项目总目标为严格依照法律，按照区委、政府的要求，认真履行各项政府职能，通过自身的工作实现政府政令的落实。以推进机构职能优化协同高效为着力点，积极推进街道管理体制机制创新，推动基层治理重心下移，通过赋权、下沉、增效，进一步做强街道、做优社区、做实系统、做活治理，构建党建引领、街道吹哨、部门报到、服务群众的工作机制，形成“三级联动、多方参与”的基层治理格局，为盘龙全面建成小康社会。</w:t>
      </w:r>
    </w:p>
    <w:p>
      <w:pPr>
        <w:bidi w:val="0"/>
        <w:rPr>
          <w:rFonts w:hint="eastAsia"/>
          <w:lang w:eastAsia="zh-CN"/>
        </w:rPr>
      </w:pPr>
      <w:r>
        <w:rPr>
          <w:rFonts w:hint="eastAsia"/>
          <w:lang w:eastAsia="zh-CN"/>
        </w:rPr>
        <w:t>年度目标。包括产出目标、效果目标。</w:t>
      </w:r>
    </w:p>
    <w:p>
      <w:pPr>
        <w:bidi w:val="0"/>
        <w:rPr>
          <w:rFonts w:hint="eastAsia"/>
          <w:lang w:eastAsia="zh-CN"/>
        </w:rPr>
      </w:pPr>
      <w:r>
        <w:rPr>
          <w:rFonts w:hint="eastAsia"/>
          <w:lang w:eastAsia="zh-CN"/>
        </w:rPr>
        <w:t>办事处严格按照</w:t>
      </w:r>
      <w:r>
        <w:rPr>
          <w:rFonts w:hint="eastAsia"/>
          <w:lang w:eastAsia="zh-CN"/>
        </w:rPr>
        <w:t>中共昆明市盘龙区委办公室+昆明市盘龙区人民政府办公室印发《盘龙区关于党建引领基层治理推动实现+“街道吹哨、部门报到”实施方案》的通知（盘办通〔2019〕59号），关于印发《关于建立“街道吹哨、部门报到”工作机制+落实街道对综合事项统筹调度权的实施办法（试行）》的通知（盘政办通〔2019〕83号）文件要求实施，项目</w:t>
      </w:r>
      <w:r>
        <w:rPr>
          <w:rFonts w:hint="eastAsia"/>
          <w:lang w:eastAsia="zh-CN"/>
        </w:rPr>
        <w:t>产出指标</w:t>
      </w:r>
      <w:r>
        <w:rPr>
          <w:rFonts w:hint="eastAsia"/>
          <w:lang w:val="en-US" w:eastAsia="zh-CN"/>
        </w:rPr>
        <w:t>200</w:t>
      </w:r>
      <w:r>
        <w:rPr>
          <w:rFonts w:hint="eastAsia"/>
          <w:lang w:eastAsia="zh-CN"/>
        </w:rPr>
        <w:t>万元，执行完毕绩效指标</w:t>
      </w:r>
      <w:r>
        <w:rPr>
          <w:rFonts w:hint="eastAsia"/>
          <w:lang w:val="en-US" w:eastAsia="zh-CN"/>
        </w:rPr>
        <w:t>200</w:t>
      </w:r>
      <w:r>
        <w:rPr>
          <w:rFonts w:hint="eastAsia"/>
          <w:lang w:eastAsia="zh-CN"/>
        </w:rPr>
        <w:t>万元，完成率</w:t>
      </w:r>
      <w:r>
        <w:rPr>
          <w:rFonts w:hint="eastAsia"/>
          <w:lang w:val="en-US" w:eastAsia="zh-CN"/>
        </w:rPr>
        <w:t>100</w:t>
      </w:r>
      <w:r>
        <w:rPr>
          <w:rFonts w:hint="eastAsia"/>
          <w:lang w:eastAsia="zh-CN"/>
        </w:rPr>
        <w:t>%，年底按时完成街道办事处计划完成的相应指标及各项行政事务，群众满意度达到95%以上。</w:t>
      </w:r>
    </w:p>
    <w:p>
      <w:pPr>
        <w:pStyle w:val="5"/>
        <w:bidi w:val="0"/>
      </w:pPr>
      <w:bookmarkStart w:id="13" w:name="_Toc10657"/>
      <w:r>
        <w:rPr>
          <w:rFonts w:hint="eastAsia"/>
        </w:rPr>
        <w:t>二、绩效评价工作情况</w:t>
      </w:r>
      <w:bookmarkEnd w:id="13"/>
    </w:p>
    <w:p>
      <w:pPr>
        <w:bidi w:val="0"/>
        <w:rPr>
          <w:rFonts w:hint="eastAsia"/>
          <w:lang w:eastAsia="zh-CN"/>
        </w:rPr>
      </w:pPr>
      <w:r>
        <w:rPr>
          <w:rFonts w:hint="eastAsia"/>
          <w:lang w:eastAsia="zh-CN"/>
        </w:rPr>
        <w:t>（一）绩效评价目的。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bidi w:val="0"/>
        <w:rPr>
          <w:rFonts w:hint="eastAsia"/>
          <w:lang w:eastAsia="zh-CN"/>
        </w:rPr>
      </w:pPr>
      <w:r>
        <w:rPr>
          <w:rFonts w:hint="eastAsia"/>
          <w:lang w:eastAsia="zh-CN"/>
        </w:rPr>
        <w:t>（二）绩效评价工作方案制定过程。</w:t>
      </w:r>
    </w:p>
    <w:p>
      <w:pPr>
        <w:bidi w:val="0"/>
        <w:rPr>
          <w:rFonts w:hint="eastAsia"/>
          <w:lang w:eastAsia="zh-CN"/>
        </w:rPr>
      </w:pPr>
      <w:r>
        <w:rPr>
          <w:rFonts w:hint="eastAsia"/>
          <w:lang w:eastAsia="zh-CN"/>
        </w:rPr>
        <w:t>1.前期调研。</w:t>
      </w:r>
    </w:p>
    <w:p>
      <w:pPr>
        <w:bidi w:val="0"/>
        <w:rPr>
          <w:rFonts w:hint="eastAsia"/>
          <w:lang w:eastAsia="zh-CN"/>
        </w:rPr>
      </w:pPr>
      <w:r>
        <w:rPr>
          <w:rFonts w:hint="eastAsia"/>
          <w:lang w:eastAsia="zh-CN"/>
        </w:rPr>
        <w:t>本次绩效评价开始前，评价组对项目开展情况、资金使用管理情况、财务账务处理等进行了前期调研，掌握了项目运行的第一手资料，为该项目绩效评价工作的开展打下了坚实的基础。</w:t>
      </w:r>
    </w:p>
    <w:p>
      <w:pPr>
        <w:bidi w:val="0"/>
        <w:rPr>
          <w:rFonts w:hint="eastAsia"/>
          <w:lang w:eastAsia="zh-CN"/>
        </w:rPr>
      </w:pPr>
      <w:r>
        <w:rPr>
          <w:rFonts w:hint="eastAsia"/>
          <w:lang w:val="en-US" w:eastAsia="zh-CN"/>
        </w:rPr>
        <w:t>2.</w:t>
      </w:r>
      <w:r>
        <w:rPr>
          <w:rFonts w:hint="eastAsia"/>
          <w:lang w:eastAsia="zh-CN"/>
        </w:rPr>
        <w:t>研究文件。</w:t>
      </w:r>
    </w:p>
    <w:p>
      <w:pPr>
        <w:bidi w:val="0"/>
        <w:rPr>
          <w:rFonts w:hint="eastAsia"/>
          <w:lang w:eastAsia="zh-CN"/>
        </w:rPr>
      </w:pPr>
      <w:r>
        <w:rPr>
          <w:rFonts w:hint="eastAsia"/>
          <w:lang w:eastAsia="zh-CN"/>
        </w:rPr>
        <w:t>评价组对《盘龙区区级部门预算绩效自评管理暂行办法》、《昆明市盘龙区财政局 关于开展2020年度区级预算支出绩效自评工作的通知》（盘财绩〔2021〕2号）进行了认真研究，吃透文件精神，以确保绩效评价工作符合盘龙区财政局的相关要求。</w:t>
      </w:r>
    </w:p>
    <w:p>
      <w:pPr>
        <w:bidi w:val="0"/>
        <w:rPr>
          <w:rFonts w:hint="eastAsia"/>
          <w:lang w:val="en-US" w:eastAsia="zh-CN"/>
        </w:rPr>
      </w:pPr>
      <w:r>
        <w:rPr>
          <w:rFonts w:hint="eastAsia"/>
          <w:lang w:val="en-US" w:eastAsia="zh-CN"/>
        </w:rPr>
        <w:t>各职能部门申报预算项目并负责该项目绩效目标调研分析、绩效自评等工作，绩效评价小组对职能部门报送上来的绩效评价材料进行整理，结合掌握情况，对报送的项目实施情况进行核查落实，</w:t>
      </w:r>
      <w:r>
        <w:rPr>
          <w:rFonts w:hint="eastAsia"/>
          <w:lang w:eastAsia="zh-CN"/>
        </w:rPr>
        <w:t>根据</w:t>
      </w:r>
      <w:r>
        <w:rPr>
          <w:rFonts w:hint="eastAsia"/>
          <w:lang w:val="en-US" w:eastAsia="zh-CN"/>
        </w:rPr>
        <w:t>2020年度各项资金使用进度及项目完成情况结合年初预算</w:t>
      </w:r>
      <w:r>
        <w:rPr>
          <w:rFonts w:hint="eastAsia"/>
          <w:lang w:eastAsia="zh-CN"/>
        </w:rPr>
        <w:t>及上级补助资金使用总额，评价本单位是否资金使用达到预期目标，资金使用是否规范，是否专款专用，资金使用过程中是否做到按照合理的进度支付</w:t>
      </w:r>
      <w:r>
        <w:rPr>
          <w:rFonts w:hint="eastAsia"/>
          <w:lang w:val="en-US" w:eastAsia="zh-CN"/>
        </w:rPr>
        <w:t>。</w:t>
      </w:r>
    </w:p>
    <w:p>
      <w:pPr>
        <w:bidi w:val="0"/>
        <w:rPr>
          <w:rFonts w:hint="eastAsia"/>
          <w:lang w:eastAsia="zh-CN"/>
        </w:rPr>
      </w:pPr>
      <w:r>
        <w:rPr>
          <w:rFonts w:hint="eastAsia"/>
          <w:lang w:eastAsia="zh-CN"/>
        </w:rPr>
        <w:t>绩效评价指标体系及工作方案的设计。</w:t>
      </w:r>
    </w:p>
    <w:p>
      <w:pPr>
        <w:bidi w:val="0"/>
        <w:rPr>
          <w:rFonts w:hint="eastAsia"/>
          <w:lang w:eastAsia="zh-CN"/>
        </w:rPr>
      </w:pPr>
      <w:r>
        <w:rPr>
          <w:rFonts w:hint="eastAsia"/>
          <w:lang w:eastAsia="zh-CN"/>
        </w:rPr>
        <w:t>评价组参照《盘龙区区级部门预算绩效自评管理暂行办法》的项目支出共性指标，结合项目资金使用部门的职能职责和项目资金的具体用途，设计该项目支出的绩效评价指标体系和评价工作方案，以确保方案可行，绩效评价指标符合项目实际，具有准确性和可操作性。</w:t>
      </w:r>
    </w:p>
    <w:p>
      <w:pPr>
        <w:topLinePunct/>
        <w:spacing w:line="440" w:lineRule="exact"/>
        <w:ind w:firstLine="750" w:firstLineChars="250"/>
        <w:rPr>
          <w:rFonts w:ascii="楷体" w:hAnsi="楷体" w:eastAsia="楷体"/>
          <w:szCs w:val="32"/>
        </w:rPr>
      </w:pPr>
      <w:r>
        <w:rPr>
          <w:rFonts w:hint="eastAsia" w:ascii="楷体" w:hAnsi="楷体" w:eastAsia="楷体"/>
          <w:szCs w:val="32"/>
        </w:rPr>
        <w:t>（三）绩效评价原则、评价方法</w:t>
      </w:r>
    </w:p>
    <w:p>
      <w:pPr>
        <w:bidi w:val="0"/>
        <w:rPr>
          <w:rFonts w:hint="eastAsia"/>
          <w:lang w:eastAsia="zh-CN"/>
        </w:rPr>
      </w:pPr>
      <w:r>
        <w:rPr>
          <w:rFonts w:hint="eastAsia"/>
          <w:lang w:eastAsia="zh-CN"/>
        </w:rPr>
        <w:t>1.绩效评价原则。包括科学规范、公开公正、绩效相关等原则。</w:t>
      </w:r>
    </w:p>
    <w:p>
      <w:pPr>
        <w:bidi w:val="0"/>
        <w:rPr>
          <w:rFonts w:hint="eastAsia"/>
          <w:lang w:eastAsia="zh-CN"/>
        </w:rPr>
      </w:pPr>
      <w:r>
        <w:rPr>
          <w:rFonts w:hint="eastAsia"/>
          <w:lang w:eastAsia="zh-CN"/>
        </w:rPr>
        <w:t>本项目绩效评价坚持</w:t>
      </w:r>
      <w:r>
        <w:rPr>
          <w:rFonts w:hint="eastAsia"/>
          <w:lang w:val="en-US" w:eastAsia="zh-CN"/>
        </w:rPr>
        <w:t>事实求是</w:t>
      </w:r>
      <w:r>
        <w:rPr>
          <w:rFonts w:hint="eastAsia"/>
          <w:lang w:eastAsia="zh-CN"/>
        </w:rPr>
        <w:t>、公平公正、科学规范等原则。通过对项目实施以及财政专项资金使用情况的调研和评价，客观反映项目的实施状态、财政资金使用效益，总结项目成功经验，科学研判项目实施以及资金使用过程中存在的难题和局限，为进一步提升预算管理水平、提高公共服务质量、优化公共资源配置提供决策参考</w:t>
      </w:r>
      <w:r>
        <w:rPr>
          <w:rFonts w:hint="eastAsia"/>
          <w:lang w:eastAsia="zh-CN"/>
        </w:rPr>
        <w:t>。</w:t>
      </w:r>
    </w:p>
    <w:p>
      <w:pPr>
        <w:bidi w:val="0"/>
        <w:rPr>
          <w:rFonts w:hint="eastAsia"/>
          <w:lang w:eastAsia="zh-CN"/>
        </w:rPr>
      </w:pPr>
      <w:r>
        <w:rPr>
          <w:rFonts w:hint="eastAsia"/>
          <w:lang w:eastAsia="zh-CN"/>
        </w:rPr>
        <w:t>绩效评价方法。包括指标评价、数据采集和社会调查中所采用的方法。</w:t>
      </w:r>
    </w:p>
    <w:p>
      <w:pPr>
        <w:bidi w:val="0"/>
        <w:rPr>
          <w:rFonts w:hint="eastAsia"/>
          <w:lang w:eastAsia="zh-CN"/>
        </w:rPr>
      </w:pPr>
      <w:r>
        <w:rPr>
          <w:rFonts w:hint="eastAsia"/>
          <w:lang w:eastAsia="zh-CN"/>
        </w:rPr>
        <w:t>本项目项目绩效评价</w:t>
      </w:r>
      <w:r>
        <w:rPr>
          <w:rFonts w:hint="eastAsia"/>
          <w:lang w:eastAsia="zh-CN"/>
        </w:rPr>
        <w:t>采用指标评价、数据采集方法</w:t>
      </w:r>
      <w:r>
        <w:rPr>
          <w:rFonts w:hint="eastAsia"/>
          <w:lang w:eastAsia="zh-CN"/>
        </w:rPr>
        <w:t>评价</w:t>
      </w:r>
      <w:r>
        <w:rPr>
          <w:rFonts w:hint="eastAsia"/>
          <w:lang w:val="en-US" w:eastAsia="zh-CN"/>
        </w:rPr>
        <w:t>绩效目标的实现程度和效果总体评价绩效预期完成情况。</w:t>
      </w:r>
    </w:p>
    <w:p>
      <w:pPr>
        <w:bidi w:val="0"/>
        <w:rPr>
          <w:rFonts w:hint="eastAsia"/>
          <w:lang w:eastAsia="zh-CN"/>
        </w:rPr>
      </w:pPr>
      <w:r>
        <w:rPr>
          <w:rFonts w:hint="eastAsia"/>
          <w:lang w:eastAsia="zh-CN"/>
        </w:rPr>
        <w:t>（四）绩效评价实施过程</w:t>
      </w:r>
    </w:p>
    <w:p>
      <w:pPr>
        <w:bidi w:val="0"/>
        <w:rPr>
          <w:rFonts w:hint="eastAsia"/>
          <w:lang w:eastAsia="zh-CN"/>
        </w:rPr>
      </w:pPr>
      <w:r>
        <w:rPr>
          <w:rFonts w:hint="eastAsia"/>
          <w:lang w:eastAsia="zh-CN"/>
        </w:rPr>
        <w:t>1.数据填报和采集。</w:t>
      </w:r>
    </w:p>
    <w:p>
      <w:pPr>
        <w:bidi w:val="0"/>
        <w:rPr>
          <w:rFonts w:hint="eastAsia"/>
          <w:lang w:eastAsia="zh-CN"/>
        </w:rPr>
      </w:pPr>
      <w:r>
        <w:rPr>
          <w:rFonts w:hint="eastAsia"/>
          <w:lang w:eastAsia="zh-CN"/>
        </w:rPr>
        <w:t>本项目实施部门根据项目组织情况统计各活动经费、收集绩效评价所需资料。</w:t>
      </w:r>
    </w:p>
    <w:p>
      <w:pPr>
        <w:bidi w:val="0"/>
        <w:rPr>
          <w:rFonts w:hint="eastAsia"/>
          <w:lang w:eastAsia="zh-CN"/>
        </w:rPr>
      </w:pPr>
      <w:r>
        <w:rPr>
          <w:rFonts w:hint="eastAsia"/>
          <w:lang w:val="en-US" w:eastAsia="zh-CN"/>
        </w:rPr>
        <w:t>2.</w:t>
      </w:r>
      <w:r>
        <w:rPr>
          <w:rFonts w:hint="eastAsia"/>
          <w:lang w:eastAsia="zh-CN"/>
        </w:rPr>
        <w:t>社会调查。</w:t>
      </w:r>
    </w:p>
    <w:p>
      <w:pPr>
        <w:bidi w:val="0"/>
        <w:rPr>
          <w:rFonts w:hint="eastAsia"/>
          <w:lang w:eastAsia="zh-CN"/>
        </w:rPr>
      </w:pPr>
      <w:r>
        <w:rPr>
          <w:rFonts w:hint="eastAsia"/>
          <w:lang w:eastAsia="zh-CN"/>
        </w:rPr>
        <w:t>针对本项目对服务对象采用问卷调查或现场抽样调查的方式收集服务对象满意度。</w:t>
      </w:r>
    </w:p>
    <w:p>
      <w:pPr>
        <w:bidi w:val="0"/>
        <w:rPr>
          <w:rFonts w:hint="eastAsia"/>
          <w:lang w:eastAsia="zh-CN"/>
        </w:rPr>
      </w:pPr>
      <w:r>
        <w:rPr>
          <w:rFonts w:hint="eastAsia"/>
          <w:lang w:val="en-US" w:eastAsia="zh-CN"/>
        </w:rPr>
        <w:t>3.</w:t>
      </w:r>
      <w:r>
        <w:rPr>
          <w:rFonts w:hint="eastAsia"/>
          <w:lang w:eastAsia="zh-CN"/>
        </w:rPr>
        <w:t>数据分析和撰写报告。</w:t>
      </w:r>
    </w:p>
    <w:p>
      <w:pPr>
        <w:bidi w:val="0"/>
        <w:rPr>
          <w:rFonts w:hint="eastAsia"/>
          <w:lang w:eastAsia="zh-CN"/>
        </w:rPr>
      </w:pPr>
      <w:r>
        <w:rPr>
          <w:rFonts w:hint="eastAsia"/>
          <w:lang w:eastAsia="zh-CN"/>
        </w:rPr>
        <w:t>根据本项目年初预算与执行进度、资金使用进行对比分析是否</w:t>
      </w:r>
      <w:r>
        <w:rPr>
          <w:rFonts w:hint="eastAsia"/>
          <w:lang w:val="en-US" w:eastAsia="zh-CN"/>
        </w:rPr>
        <w:t>对服务对象产生影响，成本是否超过预算、时效是否满足预算，是否做到专款专用等。</w:t>
      </w:r>
    </w:p>
    <w:p>
      <w:pPr>
        <w:bidi w:val="0"/>
        <w:rPr>
          <w:rFonts w:hint="eastAsia"/>
          <w:lang w:eastAsia="zh-CN"/>
        </w:rPr>
      </w:pPr>
      <w:r>
        <w:rPr>
          <w:rFonts w:hint="eastAsia"/>
          <w:lang w:eastAsia="zh-CN"/>
        </w:rPr>
        <w:t>本次绩效评价的局限性。</w:t>
      </w:r>
    </w:p>
    <w:p>
      <w:pPr>
        <w:bidi w:val="0"/>
        <w:rPr>
          <w:rFonts w:hint="eastAsia"/>
          <w:lang w:eastAsia="zh-CN"/>
        </w:rPr>
      </w:pPr>
      <w:r>
        <w:rPr>
          <w:rFonts w:hint="eastAsia"/>
          <w:lang w:eastAsia="zh-CN"/>
        </w:rPr>
        <w:t>绩效评价主要采取自评方式，具有一定的主观性。</w:t>
      </w:r>
    </w:p>
    <w:p>
      <w:pPr>
        <w:pStyle w:val="5"/>
        <w:bidi w:val="0"/>
      </w:pPr>
      <w:bookmarkStart w:id="14" w:name="_Toc17991"/>
      <w:r>
        <w:rPr>
          <w:rFonts w:hint="eastAsia"/>
        </w:rPr>
        <w:t>三、评价结论和绩效分析</w:t>
      </w:r>
      <w:bookmarkEnd w:id="14"/>
    </w:p>
    <w:p>
      <w:pPr>
        <w:bidi w:val="0"/>
        <w:rPr>
          <w:rFonts w:hint="eastAsia"/>
          <w:lang w:eastAsia="zh-CN"/>
        </w:rPr>
      </w:pPr>
      <w:r>
        <w:rPr>
          <w:rFonts w:hint="eastAsia"/>
          <w:lang w:eastAsia="zh-CN"/>
        </w:rPr>
        <w:t>（一）评价结论。</w:t>
      </w:r>
    </w:p>
    <w:p>
      <w:pPr>
        <w:bidi w:val="0"/>
        <w:rPr>
          <w:rFonts w:hint="eastAsia"/>
          <w:lang w:eastAsia="zh-CN"/>
        </w:rPr>
      </w:pPr>
      <w:r>
        <w:rPr>
          <w:rFonts w:hint="eastAsia"/>
          <w:lang w:eastAsia="zh-CN"/>
        </w:rPr>
        <w:t>1.评价结果。</w:t>
      </w:r>
    </w:p>
    <w:p>
      <w:pPr>
        <w:bidi w:val="0"/>
        <w:rPr>
          <w:rFonts w:hint="eastAsia"/>
          <w:lang w:eastAsia="zh-CN"/>
        </w:rPr>
      </w:pPr>
      <w:r>
        <w:rPr>
          <w:rFonts w:hint="eastAsia"/>
          <w:lang w:eastAsia="zh-CN"/>
        </w:rPr>
        <w:t>根据对投入类指标、过程类指标和产出效益类指标的分析，鼓楼街道办严格执行财务管理相关制度的规定，财务制度健全，管理规范，做到了专款专用，无贪污、截留、挪用现象。</w:t>
      </w:r>
    </w:p>
    <w:p>
      <w:pPr>
        <w:bidi w:val="0"/>
        <w:rPr>
          <w:rFonts w:hint="eastAsia"/>
          <w:lang w:eastAsia="zh-CN"/>
        </w:rPr>
      </w:pPr>
      <w:r>
        <w:rPr>
          <w:rFonts w:hint="eastAsia"/>
          <w:lang w:eastAsia="zh-CN"/>
        </w:rPr>
        <w:t>综上，根据《盘龙区区级部门预算绩效自评管理暂行办法》，绩效评价得分为9</w:t>
      </w:r>
      <w:r>
        <w:rPr>
          <w:rFonts w:hint="eastAsia"/>
          <w:lang w:val="en-US" w:eastAsia="zh-CN"/>
        </w:rPr>
        <w:t>5</w:t>
      </w:r>
      <w:r>
        <w:rPr>
          <w:rFonts w:hint="eastAsia"/>
          <w:lang w:eastAsia="zh-CN"/>
        </w:rPr>
        <w:t>分，自评结果为优。</w:t>
      </w:r>
    </w:p>
    <w:p>
      <w:pPr>
        <w:bidi w:val="0"/>
        <w:rPr>
          <w:rFonts w:hint="eastAsia"/>
          <w:lang w:eastAsia="zh-CN"/>
        </w:rPr>
      </w:pPr>
      <w:r>
        <w:rPr>
          <w:rFonts w:hint="eastAsia"/>
          <w:lang w:eastAsia="zh-CN"/>
        </w:rPr>
        <w:t>2.主要绩效。</w:t>
      </w:r>
    </w:p>
    <w:p>
      <w:pPr>
        <w:bidi w:val="0"/>
        <w:rPr>
          <w:rFonts w:hint="eastAsia"/>
          <w:lang w:eastAsia="zh-CN"/>
        </w:rPr>
      </w:pPr>
      <w:r>
        <w:rPr>
          <w:rFonts w:hint="eastAsia"/>
          <w:lang w:eastAsia="zh-CN"/>
        </w:rPr>
        <w:t>（二）具体绩效分析。对照绩效评价指标体系逐项进行分析、评价并打分。</w:t>
      </w:r>
    </w:p>
    <w:tbl>
      <w:tblPr>
        <w:tblStyle w:val="9"/>
        <w:tblW w:w="8321" w:type="dxa"/>
        <w:tblInd w:w="96" w:type="dxa"/>
        <w:shd w:val="clear" w:color="auto" w:fill="auto"/>
        <w:tblLayout w:type="fixed"/>
        <w:tblCellMar>
          <w:top w:w="0" w:type="dxa"/>
          <w:left w:w="108" w:type="dxa"/>
          <w:bottom w:w="0" w:type="dxa"/>
          <w:right w:w="108" w:type="dxa"/>
        </w:tblCellMar>
      </w:tblPr>
      <w:tblGrid>
        <w:gridCol w:w="566"/>
        <w:gridCol w:w="705"/>
        <w:gridCol w:w="1020"/>
        <w:gridCol w:w="735"/>
        <w:gridCol w:w="2025"/>
        <w:gridCol w:w="2205"/>
        <w:gridCol w:w="1065"/>
      </w:tblGrid>
      <w:tr>
        <w:tblPrEx>
          <w:shd w:val="clear" w:color="auto" w:fill="auto"/>
          <w:tblCellMar>
            <w:top w:w="0" w:type="dxa"/>
            <w:left w:w="108" w:type="dxa"/>
            <w:bottom w:w="0" w:type="dxa"/>
            <w:right w:w="108" w:type="dxa"/>
          </w:tblCellMar>
        </w:tblPrEx>
        <w:trPr>
          <w:trHeight w:val="342"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一级指标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二级</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三级指标</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得分</w:t>
            </w:r>
          </w:p>
        </w:tc>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指标解释</w:t>
            </w:r>
          </w:p>
        </w:tc>
        <w:tc>
          <w:tcPr>
            <w:tcW w:w="22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指标评分细则</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数据来源</w:t>
            </w:r>
          </w:p>
        </w:tc>
      </w:tr>
      <w:tr>
        <w:tblPrEx>
          <w:tblCellMar>
            <w:top w:w="0" w:type="dxa"/>
            <w:left w:w="108" w:type="dxa"/>
            <w:bottom w:w="0" w:type="dxa"/>
            <w:right w:w="108" w:type="dxa"/>
          </w:tblCellMar>
        </w:tblPrEx>
        <w:trPr>
          <w:trHeight w:val="31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指标</w:t>
            </w: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18"/>
                <w:szCs w:val="18"/>
                <w:u w:val="none"/>
              </w:rPr>
            </w:pP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18"/>
                <w:szCs w:val="18"/>
                <w:u w:val="none"/>
              </w:rPr>
            </w:pPr>
          </w:p>
        </w:tc>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18"/>
                <w:szCs w:val="18"/>
                <w:u w:val="none"/>
              </w:rPr>
            </w:pP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18"/>
                <w:szCs w:val="18"/>
                <w:u w:val="none"/>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18"/>
                <w:szCs w:val="18"/>
                <w:u w:val="none"/>
              </w:rPr>
            </w:pPr>
          </w:p>
        </w:tc>
      </w:tr>
      <w:tr>
        <w:tblPrEx>
          <w:tblCellMar>
            <w:top w:w="0" w:type="dxa"/>
            <w:left w:w="108" w:type="dxa"/>
            <w:bottom w:w="0" w:type="dxa"/>
            <w:right w:w="108" w:type="dxa"/>
          </w:tblCellMar>
        </w:tblPrEx>
        <w:trPr>
          <w:trHeight w:val="3918"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A</w:t>
            </w:r>
            <w:r>
              <w:rPr>
                <w:rStyle w:val="14"/>
                <w:lang w:val="en-US" w:eastAsia="zh-CN" w:bidi="ar"/>
              </w:rPr>
              <w:t>部门决策（</w:t>
            </w:r>
            <w:r>
              <w:rPr>
                <w:rStyle w:val="15"/>
                <w:lang w:val="en-US" w:eastAsia="zh-CN" w:bidi="ar"/>
              </w:rPr>
              <w:t>35</w:t>
            </w:r>
            <w:r>
              <w:rPr>
                <w:rStyle w:val="14"/>
                <w:lang w:val="en-US" w:eastAsia="zh-CN" w:bidi="ar"/>
              </w:rPr>
              <w:t>分）</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A1</w:t>
            </w:r>
            <w:r>
              <w:rPr>
                <w:rStyle w:val="13"/>
                <w:lang w:val="en-US" w:eastAsia="zh-CN" w:bidi="ar"/>
              </w:rPr>
              <w:t>部门目标（</w:t>
            </w:r>
            <w:r>
              <w:rPr>
                <w:rStyle w:val="16"/>
                <w:lang w:val="en-US" w:eastAsia="zh-CN" w:bidi="ar"/>
              </w:rPr>
              <w:t>12</w:t>
            </w:r>
            <w:r>
              <w:rPr>
                <w:rStyle w:val="13"/>
                <w:lang w:val="en-US" w:eastAsia="zh-CN" w:bidi="ar"/>
              </w:rPr>
              <w:t>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A11</w:t>
            </w:r>
            <w:r>
              <w:rPr>
                <w:rStyle w:val="13"/>
                <w:lang w:val="en-US" w:eastAsia="zh-CN" w:bidi="ar"/>
              </w:rPr>
              <w:t>部门中长期规划目标的明确性与合理性（</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部门（单位）中长期规划目标的设定情况；中长期规划目标应设定明确，应与政府中长期规划目标相适应，且应与部门职能相适应。</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①设定了部门中长期规划目标，得</w:t>
            </w:r>
            <w:r>
              <w:rPr>
                <w:rStyle w:val="16"/>
                <w:lang w:val="en-US" w:eastAsia="zh-CN" w:bidi="ar"/>
              </w:rPr>
              <w:t>0.5</w:t>
            </w:r>
            <w:r>
              <w:rPr>
                <w:rStyle w:val="13"/>
                <w:lang w:val="en-US" w:eastAsia="zh-CN" w:bidi="ar"/>
              </w:rPr>
              <w:t>分；②设定的部门中长期规划目标明确，得</w:t>
            </w:r>
            <w:r>
              <w:rPr>
                <w:rStyle w:val="16"/>
                <w:lang w:val="en-US" w:eastAsia="zh-CN" w:bidi="ar"/>
              </w:rPr>
              <w:t>0.5</w:t>
            </w:r>
            <w:r>
              <w:rPr>
                <w:rStyle w:val="13"/>
                <w:lang w:val="en-US" w:eastAsia="zh-CN" w:bidi="ar"/>
              </w:rPr>
              <w:t>分；③能够适应《盘龙区</w:t>
            </w:r>
            <w:r>
              <w:rPr>
                <w:rStyle w:val="16"/>
                <w:lang w:val="en-US" w:eastAsia="zh-CN" w:bidi="ar"/>
              </w:rPr>
              <w:t>XXXXX</w:t>
            </w:r>
            <w:r>
              <w:rPr>
                <w:rStyle w:val="13"/>
                <w:lang w:val="en-US" w:eastAsia="zh-CN" w:bidi="ar"/>
              </w:rPr>
              <w:t>事业发展“十</w:t>
            </w:r>
            <w:r>
              <w:rPr>
                <w:rStyle w:val="16"/>
                <w:lang w:val="en-US" w:eastAsia="zh-CN" w:bidi="ar"/>
              </w:rPr>
              <w:t>XX</w:t>
            </w:r>
            <w:r>
              <w:rPr>
                <w:rStyle w:val="13"/>
                <w:lang w:val="en-US" w:eastAsia="zh-CN" w:bidi="ar"/>
              </w:rPr>
              <w:t>五”规划》，得</w:t>
            </w:r>
            <w:r>
              <w:rPr>
                <w:rStyle w:val="16"/>
                <w:lang w:val="en-US" w:eastAsia="zh-CN" w:bidi="ar"/>
              </w:rPr>
              <w:t>0.5</w:t>
            </w:r>
            <w:r>
              <w:rPr>
                <w:rStyle w:val="13"/>
                <w:lang w:val="en-US" w:eastAsia="zh-CN" w:bidi="ar"/>
              </w:rPr>
              <w:t>分；④能够与部门职能相适应，得</w:t>
            </w:r>
            <w:r>
              <w:rPr>
                <w:rStyle w:val="16"/>
                <w:lang w:val="en-US" w:eastAsia="zh-CN" w:bidi="ar"/>
              </w:rPr>
              <w:t>0.5</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部门中长期规划目标、区政府相关规划、部门“三定”方案、部门职能文件。</w:t>
            </w:r>
          </w:p>
        </w:tc>
      </w:tr>
      <w:tr>
        <w:tblPrEx>
          <w:tblCellMar>
            <w:top w:w="0" w:type="dxa"/>
            <w:left w:w="108" w:type="dxa"/>
            <w:bottom w:w="0" w:type="dxa"/>
            <w:right w:w="108" w:type="dxa"/>
          </w:tblCellMar>
        </w:tblPrEx>
        <w:trPr>
          <w:trHeight w:val="194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A12</w:t>
            </w:r>
            <w:r>
              <w:rPr>
                <w:rStyle w:val="13"/>
                <w:lang w:val="en-US" w:eastAsia="zh-CN" w:bidi="ar"/>
              </w:rPr>
              <w:t>年度工作目标的明确性与合理性（</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部门年度工作目标的设定是否明确合理</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①部门年度工作目标明确设定，得</w:t>
            </w:r>
            <w:r>
              <w:rPr>
                <w:rStyle w:val="16"/>
                <w:lang w:val="en-US" w:eastAsia="zh-CN" w:bidi="ar"/>
              </w:rPr>
              <w:t>1</w:t>
            </w:r>
            <w:r>
              <w:rPr>
                <w:rStyle w:val="13"/>
                <w:lang w:val="en-US" w:eastAsia="zh-CN" w:bidi="ar"/>
              </w:rPr>
              <w:t>分；②年度工作目标与部门中长期规划目标一致，得</w:t>
            </w:r>
            <w:r>
              <w:rPr>
                <w:rStyle w:val="16"/>
                <w:lang w:val="en-US" w:eastAsia="zh-CN" w:bidi="ar"/>
              </w:rPr>
              <w:t>1</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年度工作目标与部门中长期规划文件</w:t>
            </w:r>
          </w:p>
        </w:tc>
      </w:tr>
      <w:tr>
        <w:tblPrEx>
          <w:tblCellMar>
            <w:top w:w="0" w:type="dxa"/>
            <w:left w:w="108" w:type="dxa"/>
            <w:bottom w:w="0" w:type="dxa"/>
            <w:right w:w="108" w:type="dxa"/>
          </w:tblCellMar>
        </w:tblPrEx>
        <w:trPr>
          <w:trHeight w:val="151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A13</w:t>
            </w:r>
            <w:r>
              <w:rPr>
                <w:rStyle w:val="13"/>
                <w:lang w:val="en-US" w:eastAsia="zh-CN" w:bidi="ar"/>
              </w:rPr>
              <w:t>年度工作计划与年度工作目标的一致性（</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部门年度工作计划是否与部门年度工作目标相一致。</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将部门详细工作计划与年度工作目标对应匹配，视匹配情况酌情得</w:t>
            </w:r>
            <w:r>
              <w:rPr>
                <w:rStyle w:val="16"/>
                <w:lang w:val="en-US" w:eastAsia="zh-CN" w:bidi="ar"/>
              </w:rPr>
              <w:t>0-2</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年度工作计划与年度工作目标文件</w:t>
            </w:r>
          </w:p>
        </w:tc>
      </w:tr>
      <w:tr>
        <w:tblPrEx>
          <w:tblCellMar>
            <w:top w:w="0" w:type="dxa"/>
            <w:left w:w="108" w:type="dxa"/>
            <w:bottom w:w="0" w:type="dxa"/>
            <w:right w:w="108" w:type="dxa"/>
          </w:tblCellMar>
        </w:tblPrEx>
        <w:trPr>
          <w:trHeight w:val="259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A14</w:t>
            </w:r>
            <w:r>
              <w:rPr>
                <w:rStyle w:val="13"/>
                <w:lang w:val="en-US" w:eastAsia="zh-CN" w:bidi="ar"/>
              </w:rPr>
              <w:t>绩效目标合理性（</w:t>
            </w:r>
            <w:r>
              <w:rPr>
                <w:rStyle w:val="16"/>
                <w:lang w:val="en-US" w:eastAsia="zh-CN" w:bidi="ar"/>
              </w:rPr>
              <w:t>3</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用以反映和考核部门整体绩效目标与部门职能、年度工作目标的一致性。</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①符合部门制定的中长期实施规划计</w:t>
            </w:r>
            <w:r>
              <w:rPr>
                <w:rStyle w:val="16"/>
                <w:lang w:val="en-US" w:eastAsia="zh-CN" w:bidi="ar"/>
              </w:rPr>
              <w:t>1</w:t>
            </w:r>
            <w:r>
              <w:rPr>
                <w:rStyle w:val="13"/>
                <w:lang w:val="en-US" w:eastAsia="zh-CN" w:bidi="ar"/>
              </w:rPr>
              <w:t>分；②符合部门“三定”方案确定的职责计</w:t>
            </w:r>
            <w:r>
              <w:rPr>
                <w:rStyle w:val="16"/>
                <w:lang w:val="en-US" w:eastAsia="zh-CN" w:bidi="ar"/>
              </w:rPr>
              <w:t>1</w:t>
            </w:r>
            <w:r>
              <w:rPr>
                <w:rStyle w:val="13"/>
                <w:lang w:val="en-US" w:eastAsia="zh-CN" w:bidi="ar"/>
              </w:rPr>
              <w:t>分；③与部门年度工作目标、任务相一致计</w:t>
            </w:r>
            <w:r>
              <w:rPr>
                <w:rStyle w:val="16"/>
                <w:lang w:val="en-US" w:eastAsia="zh-CN" w:bidi="ar"/>
              </w:rPr>
              <w:t>1</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部门中长期规划、部门“三定”方案、年度重点工作任务与工作计划</w:t>
            </w:r>
          </w:p>
        </w:tc>
      </w:tr>
      <w:tr>
        <w:tblPrEx>
          <w:tblCellMar>
            <w:top w:w="0" w:type="dxa"/>
            <w:left w:w="108" w:type="dxa"/>
            <w:bottom w:w="0" w:type="dxa"/>
            <w:right w:w="108" w:type="dxa"/>
          </w:tblCellMar>
        </w:tblPrEx>
        <w:trPr>
          <w:trHeight w:val="410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A15</w:t>
            </w:r>
            <w:r>
              <w:rPr>
                <w:rStyle w:val="13"/>
                <w:lang w:val="en-US" w:eastAsia="zh-CN" w:bidi="ar"/>
              </w:rPr>
              <w:t>绩效指标明确性（</w:t>
            </w:r>
            <w:r>
              <w:rPr>
                <w:rStyle w:val="16"/>
                <w:lang w:val="en-US" w:eastAsia="zh-CN" w:bidi="ar"/>
              </w:rPr>
              <w:t>3</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整体绩效目标所设定的绩效指标是否依据部门工作目标和工作任务进行细化、量化，绩效指标是否可衡量。</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①将部门整体的绩效目标细化分解为具体的工作任务计</w:t>
            </w:r>
            <w:r>
              <w:rPr>
                <w:rStyle w:val="16"/>
                <w:lang w:val="en-US" w:eastAsia="zh-CN" w:bidi="ar"/>
              </w:rPr>
              <w:t>1</w:t>
            </w:r>
            <w:r>
              <w:rPr>
                <w:rStyle w:val="13"/>
                <w:lang w:val="en-US" w:eastAsia="zh-CN" w:bidi="ar"/>
              </w:rPr>
              <w:t>分；②通过清晰、可衡量的指标值予以体现计</w:t>
            </w:r>
            <w:r>
              <w:rPr>
                <w:rStyle w:val="16"/>
                <w:lang w:val="en-US" w:eastAsia="zh-CN" w:bidi="ar"/>
              </w:rPr>
              <w:t>0.5</w:t>
            </w:r>
            <w:r>
              <w:rPr>
                <w:rStyle w:val="13"/>
                <w:lang w:val="en-US" w:eastAsia="zh-CN" w:bidi="ar"/>
              </w:rPr>
              <w:t>分。③与部门年度的任务数或计划数相对应计</w:t>
            </w:r>
            <w:r>
              <w:rPr>
                <w:rStyle w:val="16"/>
                <w:lang w:val="en-US" w:eastAsia="zh-CN" w:bidi="ar"/>
              </w:rPr>
              <w:t>0.5</w:t>
            </w:r>
            <w:r>
              <w:rPr>
                <w:rStyle w:val="13"/>
                <w:lang w:val="en-US" w:eastAsia="zh-CN" w:bidi="ar"/>
              </w:rPr>
              <w:t>分；④与本年度部门预算资金相匹配计</w:t>
            </w:r>
            <w:r>
              <w:rPr>
                <w:rStyle w:val="16"/>
                <w:lang w:val="en-US" w:eastAsia="zh-CN" w:bidi="ar"/>
              </w:rPr>
              <w:t>1</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部门年度重点工作任务与工作计划。</w:t>
            </w:r>
          </w:p>
        </w:tc>
      </w:tr>
      <w:tr>
        <w:tblPrEx>
          <w:tblCellMar>
            <w:top w:w="0" w:type="dxa"/>
            <w:left w:w="108" w:type="dxa"/>
            <w:bottom w:w="0" w:type="dxa"/>
            <w:right w:w="108" w:type="dxa"/>
          </w:tblCellMar>
        </w:tblPrEx>
        <w:trPr>
          <w:trHeight w:val="2838"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A2</w:t>
            </w:r>
            <w:r>
              <w:rPr>
                <w:rStyle w:val="13"/>
                <w:lang w:val="en-US" w:eastAsia="zh-CN" w:bidi="ar"/>
              </w:rPr>
              <w:t>部门职能（</w:t>
            </w:r>
            <w:r>
              <w:rPr>
                <w:rStyle w:val="16"/>
                <w:lang w:val="en-US" w:eastAsia="zh-CN" w:bidi="ar"/>
              </w:rPr>
              <w:t>10</w:t>
            </w:r>
            <w:r>
              <w:rPr>
                <w:rStyle w:val="13"/>
                <w:lang w:val="en-US" w:eastAsia="zh-CN" w:bidi="ar"/>
              </w:rPr>
              <w:t>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A21</w:t>
            </w:r>
            <w:r>
              <w:rPr>
                <w:rStyle w:val="13"/>
                <w:lang w:val="en-US" w:eastAsia="zh-CN" w:bidi="ar"/>
              </w:rPr>
              <w:t>部门职能的明确性与科学性（</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考察部门职能界定是否明确科学，是否有相关文件。</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①职能明确、设定依据充分，得</w:t>
            </w:r>
            <w:r>
              <w:rPr>
                <w:rStyle w:val="16"/>
                <w:lang w:val="en-US" w:eastAsia="zh-CN" w:bidi="ar"/>
              </w:rPr>
              <w:t>1</w:t>
            </w:r>
            <w:r>
              <w:rPr>
                <w:rStyle w:val="13"/>
                <w:lang w:val="en-US" w:eastAsia="zh-CN" w:bidi="ar"/>
              </w:rPr>
              <w:t>分；②有“三定”文件，但职能描述不明确，得</w:t>
            </w:r>
            <w:r>
              <w:rPr>
                <w:rStyle w:val="16"/>
                <w:lang w:val="en-US" w:eastAsia="zh-CN" w:bidi="ar"/>
              </w:rPr>
              <w:t>0.5</w:t>
            </w:r>
            <w:r>
              <w:rPr>
                <w:rStyle w:val="13"/>
                <w:lang w:val="en-US" w:eastAsia="zh-CN" w:bidi="ar"/>
              </w:rPr>
              <w:t>分</w:t>
            </w:r>
            <w:r>
              <w:rPr>
                <w:rStyle w:val="16"/>
                <w:lang w:val="en-US" w:eastAsia="zh-CN" w:bidi="ar"/>
              </w:rPr>
              <w:t>;</w:t>
            </w:r>
            <w:r>
              <w:rPr>
                <w:rStyle w:val="13"/>
                <w:lang w:val="en-US" w:eastAsia="zh-CN" w:bidi="ar"/>
              </w:rPr>
              <w:t>③没有职能设定的文件依据且职能不清，得</w:t>
            </w:r>
            <w:r>
              <w:rPr>
                <w:rStyle w:val="16"/>
                <w:lang w:val="en-US" w:eastAsia="zh-CN" w:bidi="ar"/>
              </w:rPr>
              <w:t>0</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部门职能描述、“三定”文件</w:t>
            </w:r>
          </w:p>
        </w:tc>
      </w:tr>
      <w:tr>
        <w:tblPrEx>
          <w:tblCellMar>
            <w:top w:w="0" w:type="dxa"/>
            <w:left w:w="108" w:type="dxa"/>
            <w:bottom w:w="0" w:type="dxa"/>
            <w:right w:w="108" w:type="dxa"/>
          </w:tblCellMar>
        </w:tblPrEx>
        <w:trPr>
          <w:trHeight w:val="151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A22</w:t>
            </w:r>
            <w:r>
              <w:rPr>
                <w:rStyle w:val="13"/>
                <w:lang w:val="en-US" w:eastAsia="zh-CN" w:bidi="ar"/>
              </w:rPr>
              <w:t>年度工作目标与部门职能的适应性（</w:t>
            </w:r>
            <w:r>
              <w:rPr>
                <w:rStyle w:val="16"/>
                <w:lang w:val="en-US" w:eastAsia="zh-CN" w:bidi="ar"/>
              </w:rPr>
              <w:t>4</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部门所设定的具体目标是否与部门职能相适应。</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将部门详细工作目标与部门职能对应匹配，视匹配情况酌情得</w:t>
            </w:r>
            <w:r>
              <w:rPr>
                <w:rStyle w:val="16"/>
                <w:lang w:val="en-US" w:eastAsia="zh-CN" w:bidi="ar"/>
              </w:rPr>
              <w:t>0-4</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部门年度工作目标、部门职能</w:t>
            </w:r>
          </w:p>
        </w:tc>
      </w:tr>
      <w:tr>
        <w:tblPrEx>
          <w:tblCellMar>
            <w:top w:w="0" w:type="dxa"/>
            <w:left w:w="108" w:type="dxa"/>
            <w:bottom w:w="0" w:type="dxa"/>
            <w:right w:w="108" w:type="dxa"/>
          </w:tblCellMar>
        </w:tblPrEx>
        <w:trPr>
          <w:trHeight w:val="151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A23</w:t>
            </w:r>
            <w:r>
              <w:rPr>
                <w:rStyle w:val="13"/>
                <w:lang w:val="en-US" w:eastAsia="zh-CN" w:bidi="ar"/>
              </w:rPr>
              <w:t>年度具体工作与部门职能的匹配性（</w:t>
            </w:r>
            <w:r>
              <w:rPr>
                <w:rStyle w:val="16"/>
                <w:lang w:val="en-US" w:eastAsia="zh-CN" w:bidi="ar"/>
              </w:rPr>
              <w:t>4</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部门年度各类具体工作是否与部门职能相匹配。</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将部门年度具体工作与部门职能对应匹配，视匹配情况酌情得</w:t>
            </w:r>
            <w:r>
              <w:rPr>
                <w:rStyle w:val="16"/>
                <w:lang w:val="en-US" w:eastAsia="zh-CN" w:bidi="ar"/>
              </w:rPr>
              <w:t>0-4</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部门年度各项具体工作，部门职能</w:t>
            </w:r>
          </w:p>
        </w:tc>
      </w:tr>
      <w:tr>
        <w:tblPrEx>
          <w:tblCellMar>
            <w:top w:w="0" w:type="dxa"/>
            <w:left w:w="108" w:type="dxa"/>
            <w:bottom w:w="0" w:type="dxa"/>
            <w:right w:w="108" w:type="dxa"/>
          </w:tblCellMar>
        </w:tblPrEx>
        <w:trPr>
          <w:trHeight w:val="194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A24</w:t>
            </w:r>
            <w:r>
              <w:rPr>
                <w:rStyle w:val="13"/>
                <w:lang w:val="en-US" w:eastAsia="zh-CN" w:bidi="ar"/>
              </w:rPr>
              <w:t>部门内设科室及下属单位职责的明确性（</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部门内设科室及下属单位具体职责是否明确</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①有职责文件制度规定部门各科室及下属单位具体职责，得</w:t>
            </w:r>
            <w:r>
              <w:rPr>
                <w:rStyle w:val="16"/>
                <w:lang w:val="en-US" w:eastAsia="zh-CN" w:bidi="ar"/>
              </w:rPr>
              <w:t>0.5</w:t>
            </w:r>
            <w:r>
              <w:rPr>
                <w:rStyle w:val="13"/>
                <w:lang w:val="en-US" w:eastAsia="zh-CN" w:bidi="ar"/>
              </w:rPr>
              <w:t>分；②具体职责明确，得</w:t>
            </w:r>
            <w:r>
              <w:rPr>
                <w:rStyle w:val="16"/>
                <w:lang w:val="en-US" w:eastAsia="zh-CN" w:bidi="ar"/>
              </w:rPr>
              <w:t>0.5</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内设科室及下属单位职责文件</w:t>
            </w:r>
          </w:p>
        </w:tc>
      </w:tr>
      <w:tr>
        <w:tblPrEx>
          <w:tblCellMar>
            <w:top w:w="0" w:type="dxa"/>
            <w:left w:w="108" w:type="dxa"/>
            <w:bottom w:w="0" w:type="dxa"/>
            <w:right w:w="108" w:type="dxa"/>
          </w:tblCellMar>
        </w:tblPrEx>
        <w:trPr>
          <w:trHeight w:val="1758"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A3</w:t>
            </w:r>
            <w:r>
              <w:rPr>
                <w:rStyle w:val="13"/>
                <w:lang w:val="en-US" w:eastAsia="zh-CN" w:bidi="ar"/>
              </w:rPr>
              <w:t>资源配置（</w:t>
            </w:r>
            <w:r>
              <w:rPr>
                <w:rStyle w:val="16"/>
                <w:lang w:val="en-US" w:eastAsia="zh-CN" w:bidi="ar"/>
              </w:rPr>
              <w:t>13</w:t>
            </w:r>
            <w:r>
              <w:rPr>
                <w:rStyle w:val="13"/>
                <w:lang w:val="en-US" w:eastAsia="zh-CN" w:bidi="ar"/>
              </w:rPr>
              <w:t>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A31</w:t>
            </w:r>
            <w:r>
              <w:rPr>
                <w:rStyle w:val="13"/>
                <w:lang w:val="en-US" w:eastAsia="zh-CN" w:bidi="ar"/>
              </w:rPr>
              <w:t>基本支出预算合理性（</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用以反映部门年度基本支出预算是否根据人员经费、公用经费标准进行合理编制。</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①如实核定人员基数，得</w:t>
            </w:r>
            <w:r>
              <w:rPr>
                <w:rStyle w:val="16"/>
                <w:lang w:val="en-US" w:eastAsia="zh-CN" w:bidi="ar"/>
              </w:rPr>
              <w:t>1</w:t>
            </w:r>
            <w:r>
              <w:rPr>
                <w:rStyle w:val="13"/>
                <w:lang w:val="en-US" w:eastAsia="zh-CN" w:bidi="ar"/>
              </w:rPr>
              <w:t>分；②根据基本预算标准进行编制，得</w:t>
            </w:r>
            <w:r>
              <w:rPr>
                <w:rStyle w:val="16"/>
                <w:lang w:val="en-US" w:eastAsia="zh-CN" w:bidi="ar"/>
              </w:rPr>
              <w:t>1</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部门基本支出预算标准、基本支出预算</w:t>
            </w:r>
          </w:p>
        </w:tc>
      </w:tr>
      <w:tr>
        <w:tblPrEx>
          <w:tblCellMar>
            <w:top w:w="0" w:type="dxa"/>
            <w:left w:w="108" w:type="dxa"/>
            <w:bottom w:w="0" w:type="dxa"/>
            <w:right w:w="108" w:type="dxa"/>
          </w:tblCellMar>
        </w:tblPrEx>
        <w:trPr>
          <w:trHeight w:val="1728"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A32</w:t>
            </w:r>
            <w:r>
              <w:rPr>
                <w:rStyle w:val="13"/>
                <w:lang w:val="en-US" w:eastAsia="zh-CN" w:bidi="ar"/>
              </w:rPr>
              <w:t>项目支出预算合理性（</w:t>
            </w:r>
            <w:r>
              <w:rPr>
                <w:rStyle w:val="16"/>
                <w:lang w:val="en-US" w:eastAsia="zh-CN" w:bidi="ar"/>
              </w:rPr>
              <w:t>4</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用以反映部门年度项目支出预算程序、预算依据、适用范围的合理性。</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①预算程序合理，得</w:t>
            </w:r>
            <w:r>
              <w:rPr>
                <w:rStyle w:val="16"/>
                <w:lang w:val="en-US" w:eastAsia="zh-CN" w:bidi="ar"/>
              </w:rPr>
              <w:t>1</w:t>
            </w:r>
            <w:r>
              <w:rPr>
                <w:rStyle w:val="13"/>
                <w:lang w:val="en-US" w:eastAsia="zh-CN" w:bidi="ar"/>
              </w:rPr>
              <w:t>分；②预算依据充分，得</w:t>
            </w:r>
            <w:r>
              <w:rPr>
                <w:rStyle w:val="16"/>
                <w:lang w:val="en-US" w:eastAsia="zh-CN" w:bidi="ar"/>
              </w:rPr>
              <w:t>2</w:t>
            </w:r>
            <w:r>
              <w:rPr>
                <w:rStyle w:val="13"/>
                <w:lang w:val="en-US" w:eastAsia="zh-CN" w:bidi="ar"/>
              </w:rPr>
              <w:t>分；③符合资金使用范围，得</w:t>
            </w:r>
            <w:r>
              <w:rPr>
                <w:rStyle w:val="16"/>
                <w:lang w:val="en-US" w:eastAsia="zh-CN" w:bidi="ar"/>
              </w:rPr>
              <w:t>1</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部门项目支出预算编制详细资料，访谈、文件梳理等、其他资料</w:t>
            </w:r>
          </w:p>
        </w:tc>
      </w:tr>
      <w:tr>
        <w:tblPrEx>
          <w:tblCellMar>
            <w:top w:w="0" w:type="dxa"/>
            <w:left w:w="108" w:type="dxa"/>
            <w:bottom w:w="0" w:type="dxa"/>
            <w:right w:w="108" w:type="dxa"/>
          </w:tblCellMar>
        </w:tblPrEx>
        <w:trPr>
          <w:trHeight w:val="151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A33</w:t>
            </w:r>
            <w:r>
              <w:rPr>
                <w:rStyle w:val="13"/>
                <w:lang w:val="en-US" w:eastAsia="zh-CN" w:bidi="ar"/>
              </w:rPr>
              <w:t>人力资源投入合理性（</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用以反映部门核定人员的编制与部门工作内容的合理性</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通过问卷及访谈调研</w:t>
            </w:r>
            <w:r>
              <w:rPr>
                <w:rStyle w:val="16"/>
                <w:lang w:val="en-US" w:eastAsia="zh-CN" w:bidi="ar"/>
              </w:rPr>
              <w:t>,</w:t>
            </w:r>
            <w:r>
              <w:rPr>
                <w:rStyle w:val="13"/>
                <w:lang w:val="en-US" w:eastAsia="zh-CN" w:bidi="ar"/>
              </w:rPr>
              <w:t>分析人员的工作量和工作时长，视匹配情况得</w:t>
            </w:r>
            <w:r>
              <w:rPr>
                <w:rStyle w:val="16"/>
                <w:lang w:val="en-US" w:eastAsia="zh-CN" w:bidi="ar"/>
              </w:rPr>
              <w:t>0-2</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人员编制文件、调研</w:t>
            </w:r>
          </w:p>
        </w:tc>
      </w:tr>
      <w:tr>
        <w:tblPrEx>
          <w:tblCellMar>
            <w:top w:w="0" w:type="dxa"/>
            <w:left w:w="108" w:type="dxa"/>
            <w:bottom w:w="0" w:type="dxa"/>
            <w:right w:w="108" w:type="dxa"/>
          </w:tblCellMar>
        </w:tblPrEx>
        <w:trPr>
          <w:trHeight w:val="151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A34</w:t>
            </w:r>
            <w:r>
              <w:rPr>
                <w:rStyle w:val="13"/>
                <w:lang w:val="en-US" w:eastAsia="zh-CN" w:bidi="ar"/>
              </w:rPr>
              <w:t>办公资源投入合理性（</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用以反映部门现有办公资源能否满足部门日常工作需求。</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①办公资源经费保障充足，得</w:t>
            </w:r>
            <w:r>
              <w:rPr>
                <w:rStyle w:val="16"/>
                <w:lang w:val="en-US" w:eastAsia="zh-CN" w:bidi="ar"/>
              </w:rPr>
              <w:t>1</w:t>
            </w:r>
            <w:r>
              <w:rPr>
                <w:rStyle w:val="13"/>
                <w:lang w:val="en-US" w:eastAsia="zh-CN" w:bidi="ar"/>
              </w:rPr>
              <w:t>分；②办公资源配置合理，得</w:t>
            </w:r>
            <w:r>
              <w:rPr>
                <w:rStyle w:val="16"/>
                <w:lang w:val="en-US" w:eastAsia="zh-CN" w:bidi="ar"/>
              </w:rPr>
              <w:t>1</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部门办公资源配置情况、调研等资料</w:t>
            </w:r>
          </w:p>
        </w:tc>
      </w:tr>
      <w:tr>
        <w:tblPrEx>
          <w:tblCellMar>
            <w:top w:w="0" w:type="dxa"/>
            <w:left w:w="108" w:type="dxa"/>
            <w:bottom w:w="0" w:type="dxa"/>
            <w:right w:w="108" w:type="dxa"/>
          </w:tblCellMar>
        </w:tblPrEx>
        <w:trPr>
          <w:trHeight w:val="4320"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A35</w:t>
            </w:r>
            <w:r>
              <w:rPr>
                <w:rStyle w:val="13"/>
                <w:lang w:val="en-US" w:eastAsia="zh-CN" w:bidi="ar"/>
              </w:rPr>
              <w:t>重点项目资源分配合理性（</w:t>
            </w:r>
            <w:r>
              <w:rPr>
                <w:rStyle w:val="16"/>
                <w:lang w:val="en-US" w:eastAsia="zh-CN" w:bidi="ar"/>
              </w:rPr>
              <w:t>3</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部门本年度预算安排的重点项目支出与部门项目总支出的比率，用以反映和考核部门对履行主要职责或完成重点任务的保障程度。</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根据重点项目资源分配，对重点项目完成实施的保障程度进行评分。能够保障重点项目顺利实施、全面完成当年工作目标任务的得满分，每有一项重点项目因资金不足无法完成，按权重（</w:t>
            </w:r>
            <w:r>
              <w:rPr>
                <w:rStyle w:val="16"/>
                <w:lang w:val="en-US" w:eastAsia="zh-CN" w:bidi="ar"/>
              </w:rPr>
              <w:t>3</w:t>
            </w:r>
            <w:r>
              <w:rPr>
                <w:rStyle w:val="13"/>
                <w:lang w:val="en-US" w:eastAsia="zh-CN" w:bidi="ar"/>
              </w:rPr>
              <w:t>分）的</w:t>
            </w:r>
            <w:r>
              <w:rPr>
                <w:rStyle w:val="16"/>
                <w:lang w:val="en-US" w:eastAsia="zh-CN" w:bidi="ar"/>
              </w:rPr>
              <w:t>1/3</w:t>
            </w:r>
            <w:r>
              <w:rPr>
                <w:rStyle w:val="13"/>
                <w:lang w:val="en-US" w:eastAsia="zh-CN" w:bidi="ar"/>
              </w:rPr>
              <w:t>扣分，扣完为止。</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重点项目相关资料</w:t>
            </w:r>
          </w:p>
        </w:tc>
      </w:tr>
      <w:tr>
        <w:tblPrEx>
          <w:tblCellMar>
            <w:top w:w="0" w:type="dxa"/>
            <w:left w:w="108" w:type="dxa"/>
            <w:bottom w:w="0" w:type="dxa"/>
            <w:right w:w="108" w:type="dxa"/>
          </w:tblCellMar>
        </w:tblPrEx>
        <w:trPr>
          <w:trHeight w:val="4998"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B</w:t>
            </w:r>
            <w:r>
              <w:rPr>
                <w:rStyle w:val="14"/>
                <w:lang w:val="en-US" w:eastAsia="zh-CN" w:bidi="ar"/>
              </w:rPr>
              <w:t>部门管理（</w:t>
            </w:r>
            <w:r>
              <w:rPr>
                <w:rStyle w:val="15"/>
                <w:lang w:val="en-US" w:eastAsia="zh-CN" w:bidi="ar"/>
              </w:rPr>
              <w:t>20</w:t>
            </w:r>
            <w:r>
              <w:rPr>
                <w:rStyle w:val="14"/>
                <w:lang w:val="en-US" w:eastAsia="zh-CN" w:bidi="ar"/>
              </w:rPr>
              <w:t>分）</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B1</w:t>
            </w:r>
            <w:r>
              <w:rPr>
                <w:rStyle w:val="13"/>
                <w:lang w:val="en-US" w:eastAsia="zh-CN" w:bidi="ar"/>
              </w:rPr>
              <w:t>预算管理（</w:t>
            </w:r>
            <w:r>
              <w:rPr>
                <w:rStyle w:val="16"/>
                <w:lang w:val="en-US" w:eastAsia="zh-CN" w:bidi="ar"/>
              </w:rPr>
              <w:t>7</w:t>
            </w:r>
            <w:r>
              <w:rPr>
                <w:rStyle w:val="13"/>
                <w:lang w:val="en-US" w:eastAsia="zh-CN" w:bidi="ar"/>
              </w:rPr>
              <w:t>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B11</w:t>
            </w:r>
            <w:r>
              <w:rPr>
                <w:rStyle w:val="13"/>
                <w:lang w:val="en-US" w:eastAsia="zh-CN" w:bidi="ar"/>
              </w:rPr>
              <w:t>基本支出预算执行率（</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部门基本支出本年度决算数与预算数的比率，用以反映和考核部门（单位）基本支出预算执行程度。</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预算执行率</w:t>
            </w:r>
            <w:r>
              <w:rPr>
                <w:rStyle w:val="16"/>
                <w:lang w:val="en-US" w:eastAsia="zh-CN" w:bidi="ar"/>
              </w:rPr>
              <w:t>=</w:t>
            </w:r>
            <w:r>
              <w:rPr>
                <w:rStyle w:val="13"/>
                <w:lang w:val="en-US" w:eastAsia="zh-CN" w:bidi="ar"/>
              </w:rPr>
              <w:t>部门基本支出决算</w:t>
            </w:r>
            <w:r>
              <w:rPr>
                <w:rStyle w:val="16"/>
                <w:lang w:val="en-US" w:eastAsia="zh-CN" w:bidi="ar"/>
              </w:rPr>
              <w:t>/</w:t>
            </w:r>
            <w:r>
              <w:rPr>
                <w:rStyle w:val="13"/>
                <w:lang w:val="en-US" w:eastAsia="zh-CN" w:bidi="ar"/>
              </w:rPr>
              <w:t>部门基本支出预算×</w:t>
            </w:r>
            <w:r>
              <w:rPr>
                <w:rStyle w:val="16"/>
                <w:lang w:val="en-US" w:eastAsia="zh-CN" w:bidi="ar"/>
              </w:rPr>
              <w:t>100%</w:t>
            </w:r>
            <w:r>
              <w:rPr>
                <w:rStyle w:val="13"/>
                <w:lang w:val="en-US" w:eastAsia="zh-CN" w:bidi="ar"/>
              </w:rPr>
              <w:t>。决算数：部门本年度基本支出实际支出资金数。预算数：财政部门批复的本年度部门基本支出预算数以及当年批复的调整数。预算完成率≥</w:t>
            </w:r>
            <w:r>
              <w:rPr>
                <w:rStyle w:val="16"/>
                <w:lang w:val="en-US" w:eastAsia="zh-CN" w:bidi="ar"/>
              </w:rPr>
              <w:t>95%</w:t>
            </w:r>
            <w:r>
              <w:rPr>
                <w:rStyle w:val="13"/>
                <w:lang w:val="en-US" w:eastAsia="zh-CN" w:bidi="ar"/>
              </w:rPr>
              <w:t>得满分，未达到的每低于</w:t>
            </w:r>
            <w:r>
              <w:rPr>
                <w:rStyle w:val="16"/>
                <w:lang w:val="en-US" w:eastAsia="zh-CN" w:bidi="ar"/>
              </w:rPr>
              <w:t>1%</w:t>
            </w:r>
            <w:r>
              <w:rPr>
                <w:rStyle w:val="13"/>
                <w:lang w:val="en-US" w:eastAsia="zh-CN" w:bidi="ar"/>
              </w:rPr>
              <w:t>扣</w:t>
            </w:r>
            <w:r>
              <w:rPr>
                <w:rStyle w:val="16"/>
                <w:lang w:val="en-US" w:eastAsia="zh-CN" w:bidi="ar"/>
              </w:rPr>
              <w:t>0.1</w:t>
            </w:r>
            <w:r>
              <w:rPr>
                <w:rStyle w:val="13"/>
                <w:lang w:val="en-US" w:eastAsia="zh-CN" w:bidi="ar"/>
              </w:rPr>
              <w:t>分，扣完为止。</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基本支出预算批复，预算调整批复、预算编制等其他资料</w:t>
            </w:r>
          </w:p>
        </w:tc>
      </w:tr>
      <w:tr>
        <w:tblPrEx>
          <w:tblCellMar>
            <w:top w:w="0" w:type="dxa"/>
            <w:left w:w="108" w:type="dxa"/>
            <w:bottom w:w="0" w:type="dxa"/>
            <w:right w:w="108" w:type="dxa"/>
          </w:tblCellMar>
        </w:tblPrEx>
        <w:trPr>
          <w:trHeight w:val="518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B12</w:t>
            </w:r>
            <w:r>
              <w:rPr>
                <w:rStyle w:val="13"/>
                <w:lang w:val="en-US" w:eastAsia="zh-CN" w:bidi="ar"/>
              </w:rPr>
              <w:t>项目支出预算执行率（</w:t>
            </w:r>
            <w:r>
              <w:rPr>
                <w:rStyle w:val="16"/>
                <w:lang w:val="en-US" w:eastAsia="zh-CN" w:bidi="ar"/>
              </w:rPr>
              <w:t>4</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部门项目支出本年度决算数与预算数的比率，用以反映和考核部门项目支出预算执行程度。</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预算执行率</w:t>
            </w:r>
            <w:r>
              <w:rPr>
                <w:rStyle w:val="16"/>
                <w:lang w:val="en-US" w:eastAsia="zh-CN" w:bidi="ar"/>
              </w:rPr>
              <w:t>=</w:t>
            </w:r>
            <w:r>
              <w:rPr>
                <w:rStyle w:val="13"/>
                <w:lang w:val="en-US" w:eastAsia="zh-CN" w:bidi="ar"/>
              </w:rPr>
              <w:t>部门项目支出决算</w:t>
            </w:r>
            <w:r>
              <w:rPr>
                <w:rStyle w:val="16"/>
                <w:lang w:val="en-US" w:eastAsia="zh-CN" w:bidi="ar"/>
              </w:rPr>
              <w:t>/</w:t>
            </w:r>
            <w:r>
              <w:rPr>
                <w:rStyle w:val="13"/>
                <w:lang w:val="en-US" w:eastAsia="zh-CN" w:bidi="ar"/>
              </w:rPr>
              <w:t>部门项目支出预算×</w:t>
            </w:r>
            <w:r>
              <w:rPr>
                <w:rStyle w:val="16"/>
                <w:lang w:val="en-US" w:eastAsia="zh-CN" w:bidi="ar"/>
              </w:rPr>
              <w:t>100%</w:t>
            </w:r>
            <w:r>
              <w:rPr>
                <w:rStyle w:val="13"/>
                <w:lang w:val="en-US" w:eastAsia="zh-CN" w:bidi="ar"/>
              </w:rPr>
              <w:t>。决算数：部门（单位）本年度项目支出实际支出资金数。预算数：财政部门批复的本年度部门（单位）项目支出预算数以及当年批复的调整数。预算完成率≥</w:t>
            </w:r>
            <w:r>
              <w:rPr>
                <w:rStyle w:val="16"/>
                <w:lang w:val="en-US" w:eastAsia="zh-CN" w:bidi="ar"/>
              </w:rPr>
              <w:t>95%</w:t>
            </w:r>
            <w:r>
              <w:rPr>
                <w:rStyle w:val="13"/>
                <w:lang w:val="en-US" w:eastAsia="zh-CN" w:bidi="ar"/>
              </w:rPr>
              <w:t>得满分，每低于</w:t>
            </w:r>
            <w:r>
              <w:rPr>
                <w:rStyle w:val="16"/>
                <w:lang w:val="en-US" w:eastAsia="zh-CN" w:bidi="ar"/>
              </w:rPr>
              <w:t>1%</w:t>
            </w:r>
            <w:r>
              <w:rPr>
                <w:rStyle w:val="13"/>
                <w:lang w:val="en-US" w:eastAsia="zh-CN" w:bidi="ar"/>
              </w:rPr>
              <w:t>扣</w:t>
            </w:r>
            <w:r>
              <w:rPr>
                <w:rStyle w:val="16"/>
                <w:lang w:val="en-US" w:eastAsia="zh-CN" w:bidi="ar"/>
              </w:rPr>
              <w:t>0.2</w:t>
            </w:r>
            <w:r>
              <w:rPr>
                <w:rStyle w:val="13"/>
                <w:lang w:val="en-US" w:eastAsia="zh-CN" w:bidi="ar"/>
              </w:rPr>
              <w:t>分，扣完为止。</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项目支出预算批复，预算调整批复、预算编制等其他资料</w:t>
            </w:r>
          </w:p>
        </w:tc>
      </w:tr>
      <w:tr>
        <w:tblPrEx>
          <w:tblCellMar>
            <w:top w:w="0" w:type="dxa"/>
            <w:left w:w="108" w:type="dxa"/>
            <w:bottom w:w="0" w:type="dxa"/>
            <w:right w:w="108" w:type="dxa"/>
          </w:tblCellMar>
        </w:tblPrEx>
        <w:trPr>
          <w:trHeight w:val="4968"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B13</w:t>
            </w:r>
            <w:r>
              <w:rPr>
                <w:rStyle w:val="13"/>
                <w:lang w:val="en-US" w:eastAsia="zh-CN" w:bidi="ar"/>
              </w:rPr>
              <w:t>“三公经费”控制率（</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部门本年度“三公”经费预算数与上年度“三公”经费预算数的变动比率，用以反映和考核部门（单位）对控制行政成本的努力程度。</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“三公”经费控制率</w:t>
            </w:r>
            <w:r>
              <w:rPr>
                <w:rStyle w:val="16"/>
                <w:lang w:val="en-US" w:eastAsia="zh-CN" w:bidi="ar"/>
              </w:rPr>
              <w:t>=</w:t>
            </w:r>
            <w:r>
              <w:rPr>
                <w:rStyle w:val="13"/>
                <w:lang w:val="en-US" w:eastAsia="zh-CN" w:bidi="ar"/>
              </w:rPr>
              <w:t>（本年度“三公”经费总额</w:t>
            </w:r>
            <w:r>
              <w:rPr>
                <w:rStyle w:val="16"/>
                <w:lang w:val="en-US" w:eastAsia="zh-CN" w:bidi="ar"/>
              </w:rPr>
              <w:t>/</w:t>
            </w:r>
            <w:r>
              <w:rPr>
                <w:rStyle w:val="13"/>
                <w:lang w:val="en-US" w:eastAsia="zh-CN" w:bidi="ar"/>
              </w:rPr>
              <w:t>上年度“三公”经费总额）×</w:t>
            </w:r>
            <w:r>
              <w:rPr>
                <w:rStyle w:val="16"/>
                <w:lang w:val="en-US" w:eastAsia="zh-CN" w:bidi="ar"/>
              </w:rPr>
              <w:t>100%</w:t>
            </w:r>
            <w:r>
              <w:rPr>
                <w:rStyle w:val="13"/>
                <w:lang w:val="en-US" w:eastAsia="zh-CN" w:bidi="ar"/>
              </w:rPr>
              <w:t>。“三公”经费：年度预算安排的因公出国（境）费、公务用车购置及运行费和公务接待费。三公经费控制率≤</w:t>
            </w:r>
            <w:r>
              <w:rPr>
                <w:rStyle w:val="16"/>
                <w:lang w:val="en-US" w:eastAsia="zh-CN" w:bidi="ar"/>
              </w:rPr>
              <w:t>100%</w:t>
            </w:r>
            <w:r>
              <w:rPr>
                <w:rStyle w:val="13"/>
                <w:lang w:val="en-US" w:eastAsia="zh-CN" w:bidi="ar"/>
              </w:rPr>
              <w:t>得满分，≥</w:t>
            </w:r>
            <w:r>
              <w:rPr>
                <w:rStyle w:val="16"/>
                <w:lang w:val="en-US" w:eastAsia="zh-CN" w:bidi="ar"/>
              </w:rPr>
              <w:t>120%</w:t>
            </w:r>
            <w:r>
              <w:rPr>
                <w:rStyle w:val="13"/>
                <w:lang w:val="en-US" w:eastAsia="zh-CN" w:bidi="ar"/>
              </w:rPr>
              <w:t>得</w:t>
            </w:r>
            <w:r>
              <w:rPr>
                <w:rStyle w:val="16"/>
                <w:lang w:val="en-US" w:eastAsia="zh-CN" w:bidi="ar"/>
              </w:rPr>
              <w:t>0</w:t>
            </w:r>
            <w:r>
              <w:rPr>
                <w:rStyle w:val="13"/>
                <w:lang w:val="en-US" w:eastAsia="zh-CN" w:bidi="ar"/>
              </w:rPr>
              <w:t>分，区间内按权重进行扣分。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三公经费使用情况</w:t>
            </w:r>
          </w:p>
        </w:tc>
      </w:tr>
      <w:tr>
        <w:tblPrEx>
          <w:tblCellMar>
            <w:top w:w="0" w:type="dxa"/>
            <w:left w:w="108" w:type="dxa"/>
            <w:bottom w:w="0" w:type="dxa"/>
            <w:right w:w="108" w:type="dxa"/>
          </w:tblCellMar>
        </w:tblPrEx>
        <w:trPr>
          <w:trHeight w:val="194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B14</w:t>
            </w:r>
            <w:r>
              <w:rPr>
                <w:rStyle w:val="13"/>
                <w:lang w:val="en-US" w:eastAsia="zh-CN" w:bidi="ar"/>
              </w:rPr>
              <w:t>预算调整情况（</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用以反映预算单位是否根据年中预算实际执行情况及时合规进行预算调整。</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①根据年中预算执行情况及时申请预算调整，得</w:t>
            </w:r>
            <w:r>
              <w:rPr>
                <w:rStyle w:val="16"/>
                <w:lang w:val="en-US" w:eastAsia="zh-CN" w:bidi="ar"/>
              </w:rPr>
              <w:t>0.5</w:t>
            </w:r>
            <w:r>
              <w:rPr>
                <w:rStyle w:val="13"/>
                <w:lang w:val="en-US" w:eastAsia="zh-CN" w:bidi="ar"/>
              </w:rPr>
              <w:t>分；②按规定程序进行预算调整，得</w:t>
            </w:r>
            <w:r>
              <w:rPr>
                <w:rStyle w:val="16"/>
                <w:lang w:val="en-US" w:eastAsia="zh-CN" w:bidi="ar"/>
              </w:rPr>
              <w:t>0.5</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预算调整相关资料</w:t>
            </w:r>
          </w:p>
        </w:tc>
      </w:tr>
      <w:tr>
        <w:tblPrEx>
          <w:tblCellMar>
            <w:top w:w="0" w:type="dxa"/>
            <w:left w:w="108" w:type="dxa"/>
            <w:bottom w:w="0" w:type="dxa"/>
            <w:right w:w="108" w:type="dxa"/>
          </w:tblCellMar>
        </w:tblPrEx>
        <w:trPr>
          <w:trHeight w:val="3918"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B2</w:t>
            </w:r>
            <w:r>
              <w:rPr>
                <w:rStyle w:val="13"/>
                <w:lang w:val="en-US" w:eastAsia="zh-CN" w:bidi="ar"/>
              </w:rPr>
              <w:t>财务管理（</w:t>
            </w:r>
            <w:r>
              <w:rPr>
                <w:rStyle w:val="16"/>
                <w:lang w:val="en-US" w:eastAsia="zh-CN" w:bidi="ar"/>
              </w:rPr>
              <w:t>6</w:t>
            </w:r>
            <w:r>
              <w:rPr>
                <w:rStyle w:val="13"/>
                <w:lang w:val="en-US" w:eastAsia="zh-CN" w:bidi="ar"/>
              </w:rPr>
              <w:t>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B21</w:t>
            </w:r>
            <w:r>
              <w:rPr>
                <w:rStyle w:val="13"/>
                <w:lang w:val="en-US" w:eastAsia="zh-CN" w:bidi="ar"/>
              </w:rPr>
              <w:t>财务管理制度健全性及执行情况（</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部门为加强预算管理、规范财务行为而制定的财务管理制度是否健全完整。用以反映和考核部门预算管理制度对完成主要职责或促进事业发展的保障情况。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①是否已制定预算资金管理办法、内部财务管理制度、会计核算制度等管理制度，</w:t>
            </w:r>
            <w:r>
              <w:rPr>
                <w:rStyle w:val="16"/>
                <w:lang w:val="en-US" w:eastAsia="zh-CN" w:bidi="ar"/>
              </w:rPr>
              <w:t>0.25</w:t>
            </w:r>
            <w:r>
              <w:rPr>
                <w:rStyle w:val="13"/>
                <w:lang w:val="en-US" w:eastAsia="zh-CN" w:bidi="ar"/>
              </w:rPr>
              <w:t>分；②相关管理制度是否合法、合规、完整，</w:t>
            </w:r>
            <w:r>
              <w:rPr>
                <w:rStyle w:val="16"/>
                <w:lang w:val="en-US" w:eastAsia="zh-CN" w:bidi="ar"/>
              </w:rPr>
              <w:t>0.25</w:t>
            </w:r>
            <w:r>
              <w:rPr>
                <w:rStyle w:val="13"/>
                <w:lang w:val="en-US" w:eastAsia="zh-CN" w:bidi="ar"/>
              </w:rPr>
              <w:t>分；③相关管理制度是否得到有效执行，</w:t>
            </w:r>
            <w:r>
              <w:rPr>
                <w:rStyle w:val="16"/>
                <w:lang w:val="en-US" w:eastAsia="zh-CN" w:bidi="ar"/>
              </w:rPr>
              <w:t>0.5</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财务管理相关制度及执行情况调研</w:t>
            </w:r>
          </w:p>
        </w:tc>
      </w:tr>
      <w:tr>
        <w:tblPrEx>
          <w:tblCellMar>
            <w:top w:w="0" w:type="dxa"/>
            <w:left w:w="108" w:type="dxa"/>
            <w:bottom w:w="0" w:type="dxa"/>
            <w:right w:w="108" w:type="dxa"/>
          </w:tblCellMar>
        </w:tblPrEx>
        <w:trPr>
          <w:trHeight w:val="561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B22</w:t>
            </w:r>
            <w:r>
              <w:rPr>
                <w:rStyle w:val="13"/>
                <w:lang w:val="en-US" w:eastAsia="zh-CN" w:bidi="ar"/>
              </w:rPr>
              <w:t>资金使用合规性（</w:t>
            </w:r>
            <w:r>
              <w:rPr>
                <w:rStyle w:val="16"/>
                <w:lang w:val="en-US" w:eastAsia="zh-CN" w:bidi="ar"/>
              </w:rPr>
              <w:t>4</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部门使用预算资金是否符合相关财务管理制度的规定，用以反映和考核部门预算资金的规范运行情况。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①符合国家财经法规和财务管理制度规定以及有关专项资金管理办法的规定</w:t>
            </w:r>
            <w:r>
              <w:rPr>
                <w:rStyle w:val="16"/>
                <w:lang w:val="en-US" w:eastAsia="zh-CN" w:bidi="ar"/>
              </w:rPr>
              <w:t>,1</w:t>
            </w:r>
            <w:r>
              <w:rPr>
                <w:rStyle w:val="13"/>
                <w:lang w:val="en-US" w:eastAsia="zh-CN" w:bidi="ar"/>
              </w:rPr>
              <w:t>分；②资金的拨付有完整的审批程序和手续，</w:t>
            </w:r>
            <w:r>
              <w:rPr>
                <w:rStyle w:val="16"/>
                <w:lang w:val="en-US" w:eastAsia="zh-CN" w:bidi="ar"/>
              </w:rPr>
              <w:t>1</w:t>
            </w:r>
            <w:r>
              <w:rPr>
                <w:rStyle w:val="13"/>
                <w:lang w:val="en-US" w:eastAsia="zh-CN" w:bidi="ar"/>
              </w:rPr>
              <w:t>分；③项目的重大开支经过专题论证，</w:t>
            </w:r>
            <w:r>
              <w:rPr>
                <w:rStyle w:val="16"/>
                <w:lang w:val="en-US" w:eastAsia="zh-CN" w:bidi="ar"/>
              </w:rPr>
              <w:t>1</w:t>
            </w:r>
            <w:r>
              <w:rPr>
                <w:rStyle w:val="13"/>
                <w:lang w:val="en-US" w:eastAsia="zh-CN" w:bidi="ar"/>
              </w:rPr>
              <w:t>分；④符合部门预算批复的用途，</w:t>
            </w:r>
            <w:r>
              <w:rPr>
                <w:rStyle w:val="16"/>
                <w:lang w:val="en-US" w:eastAsia="zh-CN" w:bidi="ar"/>
              </w:rPr>
              <w:t>1</w:t>
            </w:r>
            <w:r>
              <w:rPr>
                <w:rStyle w:val="13"/>
                <w:lang w:val="en-US" w:eastAsia="zh-CN" w:bidi="ar"/>
              </w:rPr>
              <w:t>分；⑤是否存在截留、挤占、挪用、虚列支出等情况，一旦存在该指标不得分。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资金支出相关凭证、流程梳理等</w:t>
            </w:r>
          </w:p>
        </w:tc>
      </w:tr>
      <w:tr>
        <w:tblPrEx>
          <w:tblCellMar>
            <w:top w:w="0" w:type="dxa"/>
            <w:left w:w="108" w:type="dxa"/>
            <w:bottom w:w="0" w:type="dxa"/>
            <w:right w:w="108" w:type="dxa"/>
          </w:tblCellMar>
        </w:tblPrEx>
        <w:trPr>
          <w:trHeight w:val="1728"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B23</w:t>
            </w:r>
            <w:r>
              <w:rPr>
                <w:rStyle w:val="13"/>
                <w:lang w:val="en-US" w:eastAsia="zh-CN" w:bidi="ar"/>
              </w:rPr>
              <w:t>财务监控的有效性（</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用以反映部门财务监控监督工作的有效性，包括监控、监督措施的制定及执行等方面。</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①制定明确的财务监控监督措施，得</w:t>
            </w:r>
            <w:r>
              <w:rPr>
                <w:rStyle w:val="16"/>
                <w:lang w:val="en-US" w:eastAsia="zh-CN" w:bidi="ar"/>
              </w:rPr>
              <w:t>0.5</w:t>
            </w:r>
            <w:r>
              <w:rPr>
                <w:rStyle w:val="13"/>
                <w:lang w:val="en-US" w:eastAsia="zh-CN" w:bidi="ar"/>
              </w:rPr>
              <w:t>分；②监控、监督措施执行有效，得</w:t>
            </w:r>
            <w:r>
              <w:rPr>
                <w:rStyle w:val="16"/>
                <w:lang w:val="en-US" w:eastAsia="zh-CN" w:bidi="ar"/>
              </w:rPr>
              <w:t>0.5</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财务监控监督相关办法及条款，实际执行情况资料</w:t>
            </w:r>
          </w:p>
        </w:tc>
      </w:tr>
      <w:tr>
        <w:tblPrEx>
          <w:tblCellMar>
            <w:top w:w="0" w:type="dxa"/>
            <w:left w:w="108" w:type="dxa"/>
            <w:bottom w:w="0" w:type="dxa"/>
            <w:right w:w="108" w:type="dxa"/>
          </w:tblCellMar>
        </w:tblPrEx>
        <w:trPr>
          <w:trHeight w:val="478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B3</w:t>
            </w:r>
            <w:r>
              <w:rPr>
                <w:rStyle w:val="13"/>
                <w:lang w:val="en-US" w:eastAsia="zh-CN" w:bidi="ar"/>
              </w:rPr>
              <w:t>人力资源管理（</w:t>
            </w:r>
            <w:r>
              <w:rPr>
                <w:rStyle w:val="16"/>
                <w:lang w:val="en-US" w:eastAsia="zh-CN" w:bidi="ar"/>
              </w:rPr>
              <w:t>2</w:t>
            </w:r>
            <w:r>
              <w:rPr>
                <w:rStyle w:val="13"/>
                <w:lang w:val="en-US" w:eastAsia="zh-CN" w:bidi="ar"/>
              </w:rPr>
              <w:t>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B31</w:t>
            </w:r>
            <w:r>
              <w:rPr>
                <w:rStyle w:val="13"/>
                <w:lang w:val="en-US" w:eastAsia="zh-CN" w:bidi="ar"/>
              </w:rPr>
              <w:t>在职人员控制率（</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部门本年度实际在职人员数与编制数的比率，用以反映和考核部门对人员成本的控制程度。</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在职人员控制率</w:t>
            </w:r>
            <w:r>
              <w:rPr>
                <w:rStyle w:val="16"/>
                <w:lang w:val="en-US" w:eastAsia="zh-CN" w:bidi="ar"/>
              </w:rPr>
              <w:t>=</w:t>
            </w:r>
            <w:r>
              <w:rPr>
                <w:rStyle w:val="13"/>
                <w:lang w:val="en-US" w:eastAsia="zh-CN" w:bidi="ar"/>
              </w:rPr>
              <w:t>（在职人员数</w:t>
            </w:r>
            <w:r>
              <w:rPr>
                <w:rStyle w:val="16"/>
                <w:lang w:val="en-US" w:eastAsia="zh-CN" w:bidi="ar"/>
              </w:rPr>
              <w:t>/</w:t>
            </w:r>
            <w:r>
              <w:rPr>
                <w:rStyle w:val="13"/>
                <w:lang w:val="en-US" w:eastAsia="zh-CN" w:bidi="ar"/>
              </w:rPr>
              <w:t>编制数）×</w:t>
            </w:r>
            <w:r>
              <w:rPr>
                <w:rStyle w:val="16"/>
                <w:lang w:val="en-US" w:eastAsia="zh-CN" w:bidi="ar"/>
              </w:rPr>
              <w:t>100%</w:t>
            </w:r>
            <w:r>
              <w:rPr>
                <w:rStyle w:val="13"/>
                <w:lang w:val="en-US" w:eastAsia="zh-CN" w:bidi="ar"/>
              </w:rPr>
              <w:t>。在职人员数：部门（单位）实际在职人数，以财政部门确定的部门决算编制口径为准。编制数：机构编制部门核定批复的部门人员编制数。在职人员控制率≤</w:t>
            </w:r>
            <w:r>
              <w:rPr>
                <w:rStyle w:val="16"/>
                <w:lang w:val="en-US" w:eastAsia="zh-CN" w:bidi="ar"/>
              </w:rPr>
              <w:t>100%</w:t>
            </w:r>
            <w:r>
              <w:rPr>
                <w:rStyle w:val="13"/>
                <w:lang w:val="en-US" w:eastAsia="zh-CN" w:bidi="ar"/>
              </w:rPr>
              <w:t>得满分，有超出不得分。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部门编制数、在职人数、年内变化情况</w:t>
            </w:r>
          </w:p>
        </w:tc>
      </w:tr>
      <w:tr>
        <w:tblPrEx>
          <w:tblCellMar>
            <w:top w:w="0" w:type="dxa"/>
            <w:left w:w="108" w:type="dxa"/>
            <w:bottom w:w="0" w:type="dxa"/>
            <w:right w:w="108" w:type="dxa"/>
          </w:tblCellMar>
        </w:tblPrEx>
        <w:trPr>
          <w:trHeight w:val="237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B32</w:t>
            </w:r>
            <w:r>
              <w:rPr>
                <w:rStyle w:val="13"/>
                <w:lang w:val="en-US" w:eastAsia="zh-CN" w:bidi="ar"/>
              </w:rPr>
              <w:t>人力资源管理执行情况（</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考察部门人力资源管理的健全性及执行规范性，包括在编、派遣、临时员工的管理，包括招聘、培训、工资发放及考核等。</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①有具体的人力资源管理制度文件或参照文件，得</w:t>
            </w:r>
            <w:r>
              <w:rPr>
                <w:rStyle w:val="16"/>
                <w:lang w:val="en-US" w:eastAsia="zh-CN" w:bidi="ar"/>
              </w:rPr>
              <w:t>0.5</w:t>
            </w:r>
            <w:r>
              <w:rPr>
                <w:rStyle w:val="13"/>
                <w:lang w:val="en-US" w:eastAsia="zh-CN" w:bidi="ar"/>
              </w:rPr>
              <w:t>分；②严格按照相关文件对各类型人员进行管理和考核，得</w:t>
            </w:r>
            <w:r>
              <w:rPr>
                <w:rStyle w:val="16"/>
                <w:lang w:val="en-US" w:eastAsia="zh-CN" w:bidi="ar"/>
              </w:rPr>
              <w:t>0.5</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人力资源管理相关文件及实施情况</w:t>
            </w:r>
          </w:p>
        </w:tc>
      </w:tr>
      <w:tr>
        <w:tblPrEx>
          <w:tblCellMar>
            <w:top w:w="0" w:type="dxa"/>
            <w:left w:w="108" w:type="dxa"/>
            <w:bottom w:w="0" w:type="dxa"/>
            <w:right w:w="108" w:type="dxa"/>
          </w:tblCellMar>
        </w:tblPrEx>
        <w:trPr>
          <w:trHeight w:val="348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B4</w:t>
            </w:r>
            <w:r>
              <w:rPr>
                <w:rStyle w:val="13"/>
                <w:lang w:val="en-US" w:eastAsia="zh-CN" w:bidi="ar"/>
              </w:rPr>
              <w:t>资产管理（</w:t>
            </w:r>
            <w:r>
              <w:rPr>
                <w:rStyle w:val="16"/>
                <w:lang w:val="en-US" w:eastAsia="zh-CN" w:bidi="ar"/>
              </w:rPr>
              <w:t>2</w:t>
            </w:r>
            <w:r>
              <w:rPr>
                <w:rStyle w:val="13"/>
                <w:lang w:val="en-US" w:eastAsia="zh-CN" w:bidi="ar"/>
              </w:rPr>
              <w:t>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B41</w:t>
            </w:r>
            <w:r>
              <w:rPr>
                <w:rStyle w:val="13"/>
                <w:lang w:val="en-US" w:eastAsia="zh-CN" w:bidi="ar"/>
              </w:rPr>
              <w:t>资产管理制度健全性及执行情况（</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部门为加强资产管理、规范资产使用而制定的资产管理制度是否健全完整，用以反映和考核部门资产管理制度对完成主要职责或促进事业发展的保障情况。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①是否已制定或具有固定资产管理办法、资产使用办法等管理制度，得</w:t>
            </w:r>
            <w:r>
              <w:rPr>
                <w:rStyle w:val="16"/>
                <w:lang w:val="en-US" w:eastAsia="zh-CN" w:bidi="ar"/>
              </w:rPr>
              <w:t>0.25</w:t>
            </w:r>
            <w:r>
              <w:rPr>
                <w:rStyle w:val="13"/>
                <w:lang w:val="en-US" w:eastAsia="zh-CN" w:bidi="ar"/>
              </w:rPr>
              <w:t>分；②相关管理制度是否合法、合规、完整，得</w:t>
            </w:r>
            <w:r>
              <w:rPr>
                <w:rStyle w:val="16"/>
                <w:lang w:val="en-US" w:eastAsia="zh-CN" w:bidi="ar"/>
              </w:rPr>
              <w:t>0.25</w:t>
            </w:r>
            <w:r>
              <w:rPr>
                <w:rStyle w:val="13"/>
                <w:lang w:val="en-US" w:eastAsia="zh-CN" w:bidi="ar"/>
              </w:rPr>
              <w:t>分；③相关管理制度是否得到有效执行，得</w:t>
            </w:r>
            <w:r>
              <w:rPr>
                <w:rStyle w:val="16"/>
                <w:lang w:val="en-US" w:eastAsia="zh-CN" w:bidi="ar"/>
              </w:rPr>
              <w:t>0.5</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资产管理相关办法</w:t>
            </w:r>
          </w:p>
        </w:tc>
      </w:tr>
      <w:tr>
        <w:tblPrEx>
          <w:tblCellMar>
            <w:top w:w="0" w:type="dxa"/>
            <w:left w:w="108" w:type="dxa"/>
            <w:bottom w:w="0" w:type="dxa"/>
            <w:right w:w="108" w:type="dxa"/>
          </w:tblCellMar>
        </w:tblPrEx>
        <w:trPr>
          <w:trHeight w:val="3240"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B42</w:t>
            </w:r>
            <w:r>
              <w:rPr>
                <w:rStyle w:val="13"/>
                <w:lang w:val="en-US" w:eastAsia="zh-CN" w:bidi="ar"/>
              </w:rPr>
              <w:t>固定资产在用率（</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部门实际在用固定资产总额与所有固定资产总额的比率，用以反映和考核部门固定资产使用效率及程度。</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固定资产在用率</w:t>
            </w:r>
            <w:r>
              <w:rPr>
                <w:rStyle w:val="16"/>
                <w:lang w:val="en-US" w:eastAsia="zh-CN" w:bidi="ar"/>
              </w:rPr>
              <w:t>=</w:t>
            </w:r>
            <w:r>
              <w:rPr>
                <w:rStyle w:val="13"/>
                <w:lang w:val="en-US" w:eastAsia="zh-CN" w:bidi="ar"/>
              </w:rPr>
              <w:t>（实际在用固定资产总额</w:t>
            </w:r>
            <w:r>
              <w:rPr>
                <w:rStyle w:val="16"/>
                <w:lang w:val="en-US" w:eastAsia="zh-CN" w:bidi="ar"/>
              </w:rPr>
              <w:t>/</w:t>
            </w:r>
            <w:r>
              <w:rPr>
                <w:rStyle w:val="13"/>
                <w:lang w:val="en-US" w:eastAsia="zh-CN" w:bidi="ar"/>
              </w:rPr>
              <w:t>所有固定资产总额）×</w:t>
            </w:r>
            <w:r>
              <w:rPr>
                <w:rStyle w:val="16"/>
                <w:lang w:val="en-US" w:eastAsia="zh-CN" w:bidi="ar"/>
              </w:rPr>
              <w:t>100%</w:t>
            </w:r>
            <w:r>
              <w:rPr>
                <w:rStyle w:val="13"/>
                <w:lang w:val="en-US" w:eastAsia="zh-CN" w:bidi="ar"/>
              </w:rPr>
              <w:t>。固定资产在用率达到</w:t>
            </w:r>
            <w:r>
              <w:rPr>
                <w:rStyle w:val="16"/>
                <w:lang w:val="en-US" w:eastAsia="zh-CN" w:bidi="ar"/>
              </w:rPr>
              <w:t>95%</w:t>
            </w:r>
            <w:r>
              <w:rPr>
                <w:rStyle w:val="13"/>
                <w:lang w:val="en-US" w:eastAsia="zh-CN" w:bidi="ar"/>
              </w:rPr>
              <w:t>以上得满分</w:t>
            </w:r>
            <w:r>
              <w:rPr>
                <w:rStyle w:val="16"/>
                <w:lang w:val="en-US" w:eastAsia="zh-CN" w:bidi="ar"/>
              </w:rPr>
              <w:t>.</w:t>
            </w:r>
            <w:r>
              <w:rPr>
                <w:rStyle w:val="13"/>
                <w:lang w:val="en-US" w:eastAsia="zh-CN" w:bidi="ar"/>
              </w:rPr>
              <w:t>每降低</w:t>
            </w:r>
            <w:r>
              <w:rPr>
                <w:rStyle w:val="16"/>
                <w:lang w:val="en-US" w:eastAsia="zh-CN" w:bidi="ar"/>
              </w:rPr>
              <w:t>1%</w:t>
            </w:r>
            <w:r>
              <w:rPr>
                <w:rStyle w:val="13"/>
                <w:lang w:val="en-US" w:eastAsia="zh-CN" w:bidi="ar"/>
              </w:rPr>
              <w:t>扣权重分（</w:t>
            </w:r>
            <w:r>
              <w:rPr>
                <w:rStyle w:val="16"/>
                <w:lang w:val="en-US" w:eastAsia="zh-CN" w:bidi="ar"/>
              </w:rPr>
              <w:t>1</w:t>
            </w:r>
            <w:r>
              <w:rPr>
                <w:rStyle w:val="13"/>
                <w:lang w:val="en-US" w:eastAsia="zh-CN" w:bidi="ar"/>
              </w:rPr>
              <w:t>分）的</w:t>
            </w:r>
            <w:r>
              <w:rPr>
                <w:rStyle w:val="16"/>
                <w:lang w:val="en-US" w:eastAsia="zh-CN" w:bidi="ar"/>
              </w:rPr>
              <w:t>5%</w:t>
            </w:r>
            <w:r>
              <w:rPr>
                <w:rStyle w:val="13"/>
                <w:lang w:val="en-US" w:eastAsia="zh-CN" w:bidi="ar"/>
              </w:rPr>
              <w:t>，扣完为止。</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固定资产卡片、固定资产使用信息等</w:t>
            </w:r>
          </w:p>
        </w:tc>
      </w:tr>
      <w:tr>
        <w:tblPrEx>
          <w:tblCellMar>
            <w:top w:w="0" w:type="dxa"/>
            <w:left w:w="108" w:type="dxa"/>
            <w:bottom w:w="0" w:type="dxa"/>
            <w:right w:w="108" w:type="dxa"/>
          </w:tblCellMar>
        </w:tblPrEx>
        <w:trPr>
          <w:trHeight w:val="305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B5</w:t>
            </w:r>
            <w:r>
              <w:rPr>
                <w:rStyle w:val="13"/>
                <w:lang w:val="en-US" w:eastAsia="zh-CN" w:bidi="ar"/>
              </w:rPr>
              <w:t>业务管理（</w:t>
            </w:r>
            <w:r>
              <w:rPr>
                <w:rStyle w:val="16"/>
                <w:lang w:val="en-US" w:eastAsia="zh-CN" w:bidi="ar"/>
              </w:rPr>
              <w:t>3</w:t>
            </w:r>
            <w:r>
              <w:rPr>
                <w:rStyle w:val="13"/>
                <w:lang w:val="en-US" w:eastAsia="zh-CN" w:bidi="ar"/>
              </w:rPr>
              <w:t>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B51</w:t>
            </w:r>
            <w:r>
              <w:rPr>
                <w:rStyle w:val="13"/>
                <w:lang w:val="en-US" w:eastAsia="zh-CN" w:bidi="ar"/>
              </w:rPr>
              <w:t>业务管理制度健全性及执行情况（</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部门为加强业务管理、规范业务执行而制定的管理制度是否健全完整，用以反映和考核部门业务管理制度对完成主要职责或促进事业发展的保障情况。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①已制定或具有业务管理、项目管理等管理制度，得</w:t>
            </w:r>
            <w:r>
              <w:rPr>
                <w:rStyle w:val="16"/>
                <w:lang w:val="en-US" w:eastAsia="zh-CN" w:bidi="ar"/>
              </w:rPr>
              <w:t>0.25</w:t>
            </w:r>
            <w:r>
              <w:rPr>
                <w:rStyle w:val="13"/>
                <w:lang w:val="en-US" w:eastAsia="zh-CN" w:bidi="ar"/>
              </w:rPr>
              <w:t>分；②相关管理制度合法、合规、完整，得</w:t>
            </w:r>
            <w:r>
              <w:rPr>
                <w:rStyle w:val="16"/>
                <w:lang w:val="en-US" w:eastAsia="zh-CN" w:bidi="ar"/>
              </w:rPr>
              <w:t>0.25</w:t>
            </w:r>
            <w:r>
              <w:rPr>
                <w:rStyle w:val="13"/>
                <w:lang w:val="en-US" w:eastAsia="zh-CN" w:bidi="ar"/>
              </w:rPr>
              <w:t>分；③相关管理制度得到有效执行，得</w:t>
            </w:r>
            <w:r>
              <w:rPr>
                <w:rStyle w:val="16"/>
                <w:lang w:val="en-US" w:eastAsia="zh-CN" w:bidi="ar"/>
              </w:rPr>
              <w:t>0.5</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业务管理相关办法及执行情况资料</w:t>
            </w:r>
          </w:p>
        </w:tc>
      </w:tr>
      <w:tr>
        <w:tblPrEx>
          <w:tblCellMar>
            <w:top w:w="0" w:type="dxa"/>
            <w:left w:w="108" w:type="dxa"/>
            <w:bottom w:w="0" w:type="dxa"/>
            <w:right w:w="108" w:type="dxa"/>
          </w:tblCellMar>
        </w:tblPrEx>
        <w:trPr>
          <w:trHeight w:val="194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B52</w:t>
            </w:r>
            <w:r>
              <w:rPr>
                <w:rStyle w:val="13"/>
                <w:lang w:val="en-US" w:eastAsia="zh-CN" w:bidi="ar"/>
              </w:rPr>
              <w:t>政府采购规范性（</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考察政府采购项目的采购程序、采购方式的规范性</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①政府采购方式、程序都规范，得满分；②采购方式、程序中每有一点不规范，扣</w:t>
            </w:r>
            <w:r>
              <w:rPr>
                <w:rStyle w:val="16"/>
                <w:lang w:val="en-US" w:eastAsia="zh-CN" w:bidi="ar"/>
              </w:rPr>
              <w:t>0.5</w:t>
            </w:r>
            <w:r>
              <w:rPr>
                <w:rStyle w:val="13"/>
                <w:lang w:val="en-US" w:eastAsia="zh-CN" w:bidi="ar"/>
              </w:rPr>
              <w:t>分，扣完为止。</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政府采购相关资料</w:t>
            </w:r>
          </w:p>
        </w:tc>
      </w:tr>
      <w:tr>
        <w:tblPrEx>
          <w:tblCellMar>
            <w:top w:w="0" w:type="dxa"/>
            <w:left w:w="108" w:type="dxa"/>
            <w:bottom w:w="0" w:type="dxa"/>
            <w:right w:w="108" w:type="dxa"/>
          </w:tblCellMar>
        </w:tblPrEx>
        <w:trPr>
          <w:trHeight w:val="151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B53</w:t>
            </w:r>
            <w:r>
              <w:rPr>
                <w:rStyle w:val="13"/>
                <w:lang w:val="en-US" w:eastAsia="zh-CN" w:bidi="ar"/>
              </w:rPr>
              <w:t>监督考核情况（</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考察部门是否对各所属单位或项目实施主体进行工作监督和定期考核。</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有定期指导记录、考核结果，得</w:t>
            </w:r>
            <w:r>
              <w:rPr>
                <w:rStyle w:val="16"/>
                <w:lang w:val="en-US" w:eastAsia="zh-CN" w:bidi="ar"/>
              </w:rPr>
              <w:t>1</w:t>
            </w:r>
            <w:r>
              <w:rPr>
                <w:rStyle w:val="13"/>
                <w:lang w:val="en-US" w:eastAsia="zh-CN" w:bidi="ar"/>
              </w:rPr>
              <w:t>分，缺少项视情况酌情进行扣分。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监督考核记录等</w:t>
            </w:r>
          </w:p>
        </w:tc>
      </w:tr>
      <w:tr>
        <w:tblPrEx>
          <w:tblCellMar>
            <w:top w:w="0" w:type="dxa"/>
            <w:left w:w="108" w:type="dxa"/>
            <w:bottom w:w="0" w:type="dxa"/>
            <w:right w:w="108" w:type="dxa"/>
          </w:tblCellMar>
        </w:tblPrEx>
        <w:trPr>
          <w:trHeight w:val="2406"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C</w:t>
            </w:r>
            <w:r>
              <w:rPr>
                <w:rStyle w:val="14"/>
                <w:lang w:val="en-US" w:eastAsia="zh-CN" w:bidi="ar"/>
              </w:rPr>
              <w:t>部门绩效（</w:t>
            </w:r>
            <w:r>
              <w:rPr>
                <w:rStyle w:val="15"/>
                <w:lang w:val="en-US" w:eastAsia="zh-CN" w:bidi="ar"/>
              </w:rPr>
              <w:t>45</w:t>
            </w:r>
            <w:r>
              <w:rPr>
                <w:rStyle w:val="14"/>
                <w:lang w:val="en-US" w:eastAsia="zh-CN" w:bidi="ar"/>
              </w:rPr>
              <w:t>分）</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C1</w:t>
            </w:r>
            <w:r>
              <w:rPr>
                <w:rStyle w:val="13"/>
                <w:lang w:val="en-US" w:eastAsia="zh-CN" w:bidi="ar"/>
              </w:rPr>
              <w:t>部门产出（</w:t>
            </w:r>
            <w:r>
              <w:rPr>
                <w:rStyle w:val="16"/>
                <w:lang w:val="en-US" w:eastAsia="zh-CN" w:bidi="ar"/>
              </w:rPr>
              <w:t>18</w:t>
            </w:r>
            <w:r>
              <w:rPr>
                <w:rStyle w:val="13"/>
                <w:lang w:val="en-US" w:eastAsia="zh-CN" w:bidi="ar"/>
              </w:rPr>
              <w:t>分）（说明：该指标主要反映部门（单位）重点工作任务的完成情况。三级指标以</w:t>
            </w:r>
            <w:r>
              <w:rPr>
                <w:rStyle w:val="16"/>
                <w:lang w:val="en-US" w:eastAsia="zh-CN" w:bidi="ar"/>
              </w:rPr>
              <w:t>XX</w:t>
            </w:r>
            <w:r>
              <w:rPr>
                <w:rStyle w:val="13"/>
                <w:lang w:val="en-US" w:eastAsia="zh-CN" w:bidi="ar"/>
              </w:rPr>
              <w:t>残疾人联合会</w:t>
            </w:r>
            <w:r>
              <w:rPr>
                <w:rStyle w:val="16"/>
                <w:lang w:val="en-US" w:eastAsia="zh-CN" w:bidi="ar"/>
              </w:rPr>
              <w:t>XX</w:t>
            </w:r>
            <w:r>
              <w:rPr>
                <w:rStyle w:val="13"/>
                <w:lang w:val="en-US" w:eastAsia="zh-CN" w:bidi="ar"/>
              </w:rPr>
              <w:t>年部门整体支出绩效评价为例设置，供各部门参考。各部门在绩效自评工作中要结合自身工作职能设置个性化的三级指标。）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C11</w:t>
            </w:r>
            <w:r>
              <w:rPr>
                <w:rStyle w:val="13"/>
                <w:lang w:val="en-US" w:eastAsia="zh-CN" w:bidi="ar"/>
              </w:rPr>
              <w:t>重点项目完成情况（</w:t>
            </w:r>
            <w:r>
              <w:rPr>
                <w:rStyle w:val="16"/>
                <w:lang w:val="en-US" w:eastAsia="zh-CN" w:bidi="ar"/>
              </w:rPr>
              <w:t>4</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考察无障碍上下楼服务、残疾人个性化辅助器具适配服务、社区无障碍设施建设、就业保障金核对等等重点项目的完成情况。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重点项目全部完成为满分，每一项不达标扣权重分（</w:t>
            </w:r>
            <w:r>
              <w:rPr>
                <w:rStyle w:val="16"/>
                <w:lang w:val="en-US" w:eastAsia="zh-CN" w:bidi="ar"/>
              </w:rPr>
              <w:t>4</w:t>
            </w:r>
            <w:r>
              <w:rPr>
                <w:rStyle w:val="13"/>
                <w:lang w:val="en-US" w:eastAsia="zh-CN" w:bidi="ar"/>
              </w:rPr>
              <w:t>分）的</w:t>
            </w:r>
            <w:r>
              <w:rPr>
                <w:rStyle w:val="16"/>
                <w:lang w:val="en-US" w:eastAsia="zh-CN" w:bidi="ar"/>
              </w:rPr>
              <w:t>20%</w:t>
            </w:r>
            <w:r>
              <w:rPr>
                <w:rStyle w:val="13"/>
                <w:lang w:val="en-US" w:eastAsia="zh-CN" w:bidi="ar"/>
              </w:rPr>
              <w:t>；三项不达标则为零分。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重点项目指标及完成情况</w:t>
            </w:r>
          </w:p>
        </w:tc>
      </w:tr>
      <w:tr>
        <w:tblPrEx>
          <w:tblCellMar>
            <w:top w:w="0" w:type="dxa"/>
            <w:left w:w="108" w:type="dxa"/>
            <w:bottom w:w="0" w:type="dxa"/>
            <w:right w:w="108" w:type="dxa"/>
          </w:tblCellMar>
        </w:tblPrEx>
        <w:trPr>
          <w:trHeight w:val="151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C12</w:t>
            </w:r>
            <w:r>
              <w:rPr>
                <w:rStyle w:val="13"/>
                <w:lang w:val="en-US" w:eastAsia="zh-CN" w:bidi="ar"/>
              </w:rPr>
              <w:t>社会保障计划完成情况（</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考察帮困、医疗等社会保障工作的完成情况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考察帮困、医疗补贴等社会保障工作是否完成，按照权重分</w:t>
            </w:r>
            <w:r>
              <w:rPr>
                <w:rStyle w:val="16"/>
                <w:lang w:val="en-US" w:eastAsia="zh-CN" w:bidi="ar"/>
              </w:rPr>
              <w:t>*</w:t>
            </w:r>
            <w:r>
              <w:rPr>
                <w:rStyle w:val="13"/>
                <w:lang w:val="en-US" w:eastAsia="zh-CN" w:bidi="ar"/>
              </w:rPr>
              <w:t>完成率进行打分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社会保障项目计划及实施资料</w:t>
            </w:r>
          </w:p>
        </w:tc>
      </w:tr>
      <w:tr>
        <w:tblPrEx>
          <w:tblCellMar>
            <w:top w:w="0" w:type="dxa"/>
            <w:left w:w="108" w:type="dxa"/>
            <w:bottom w:w="0" w:type="dxa"/>
            <w:right w:w="108" w:type="dxa"/>
          </w:tblCellMar>
        </w:tblPrEx>
        <w:trPr>
          <w:trHeight w:val="129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C13</w:t>
            </w:r>
            <w:r>
              <w:rPr>
                <w:rStyle w:val="13"/>
                <w:lang w:val="en-US" w:eastAsia="zh-CN" w:bidi="ar"/>
              </w:rPr>
              <w:t>教育计划完成情况（</w:t>
            </w:r>
            <w:r>
              <w:rPr>
                <w:rStyle w:val="16"/>
                <w:lang w:val="en-US" w:eastAsia="zh-CN" w:bidi="ar"/>
              </w:rPr>
              <w:t>1</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考察助学工作完成情况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考察残疾人助学工作是否完成，按照权重分</w:t>
            </w:r>
            <w:r>
              <w:rPr>
                <w:rStyle w:val="16"/>
                <w:lang w:val="en-US" w:eastAsia="zh-CN" w:bidi="ar"/>
              </w:rPr>
              <w:t>*</w:t>
            </w:r>
            <w:r>
              <w:rPr>
                <w:rStyle w:val="13"/>
                <w:lang w:val="en-US" w:eastAsia="zh-CN" w:bidi="ar"/>
              </w:rPr>
              <w:t>完成率进行打分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残疾人助学计划及实施资料、实施效果</w:t>
            </w:r>
          </w:p>
        </w:tc>
      </w:tr>
      <w:tr>
        <w:tblPrEx>
          <w:tblCellMar>
            <w:top w:w="0" w:type="dxa"/>
            <w:left w:w="108" w:type="dxa"/>
            <w:bottom w:w="0" w:type="dxa"/>
            <w:right w:w="108" w:type="dxa"/>
          </w:tblCellMar>
        </w:tblPrEx>
        <w:trPr>
          <w:trHeight w:val="129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C14</w:t>
            </w:r>
            <w:r>
              <w:rPr>
                <w:rStyle w:val="13"/>
                <w:lang w:val="en-US" w:eastAsia="zh-CN" w:bidi="ar"/>
              </w:rPr>
              <w:t>康复服务计划完成情况（</w:t>
            </w:r>
            <w:r>
              <w:rPr>
                <w:rStyle w:val="16"/>
                <w:lang w:val="en-US" w:eastAsia="zh-CN" w:bidi="ar"/>
              </w:rPr>
              <w:t>3</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考察康复服务计划的完成情况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考察各类康复服务计划的完成情况，按照权重分</w:t>
            </w:r>
            <w:r>
              <w:rPr>
                <w:rStyle w:val="16"/>
                <w:lang w:val="en-US" w:eastAsia="zh-CN" w:bidi="ar"/>
              </w:rPr>
              <w:t>*</w:t>
            </w:r>
            <w:r>
              <w:rPr>
                <w:rStyle w:val="13"/>
                <w:lang w:val="en-US" w:eastAsia="zh-CN" w:bidi="ar"/>
              </w:rPr>
              <w:t>完成率进行打分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康复项目计划及实施资料、实施效果</w:t>
            </w:r>
          </w:p>
        </w:tc>
      </w:tr>
      <w:tr>
        <w:tblPrEx>
          <w:tblCellMar>
            <w:top w:w="0" w:type="dxa"/>
            <w:left w:w="108" w:type="dxa"/>
            <w:bottom w:w="0" w:type="dxa"/>
            <w:right w:w="108" w:type="dxa"/>
          </w:tblCellMar>
        </w:tblPrEx>
        <w:trPr>
          <w:trHeight w:val="129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C15</w:t>
            </w:r>
            <w:r>
              <w:rPr>
                <w:rStyle w:val="13"/>
                <w:lang w:val="en-US" w:eastAsia="zh-CN" w:bidi="ar"/>
              </w:rPr>
              <w:t>就业安置及培训计划完成情况（</w:t>
            </w:r>
            <w:r>
              <w:rPr>
                <w:rStyle w:val="16"/>
                <w:lang w:val="en-US" w:eastAsia="zh-CN" w:bidi="ar"/>
              </w:rPr>
              <w:t>4</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考察区残联促进残疾人就业工作的工作成效</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考察就业安置及培训计划的完成情况，按照权重分</w:t>
            </w:r>
            <w:r>
              <w:rPr>
                <w:rStyle w:val="16"/>
                <w:lang w:val="en-US" w:eastAsia="zh-CN" w:bidi="ar"/>
              </w:rPr>
              <w:t>*</w:t>
            </w:r>
            <w:r>
              <w:rPr>
                <w:rStyle w:val="13"/>
                <w:lang w:val="en-US" w:eastAsia="zh-CN" w:bidi="ar"/>
              </w:rPr>
              <w:t>完成率进行打分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就业安置及培训计划及完成情况，完成效果</w:t>
            </w:r>
          </w:p>
        </w:tc>
      </w:tr>
      <w:tr>
        <w:tblPrEx>
          <w:tblCellMar>
            <w:top w:w="0" w:type="dxa"/>
            <w:left w:w="108" w:type="dxa"/>
            <w:bottom w:w="0" w:type="dxa"/>
            <w:right w:w="108" w:type="dxa"/>
          </w:tblCellMar>
        </w:tblPrEx>
        <w:trPr>
          <w:trHeight w:val="259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C16</w:t>
            </w:r>
            <w:r>
              <w:rPr>
                <w:rStyle w:val="13"/>
                <w:lang w:val="en-US" w:eastAsia="zh-CN" w:bidi="ar"/>
              </w:rPr>
              <w:t>政府采购项目完成率（</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考察残疾人信息化统计、阳光关爱服务、“汇影</w:t>
            </w:r>
            <w:r>
              <w:rPr>
                <w:rStyle w:val="16"/>
                <w:lang w:val="en-US" w:eastAsia="zh-CN" w:bidi="ar"/>
              </w:rPr>
              <w:t>*</w:t>
            </w:r>
            <w:r>
              <w:rPr>
                <w:rStyle w:val="13"/>
                <w:lang w:val="en-US" w:eastAsia="zh-CN" w:bidi="ar"/>
              </w:rPr>
              <w:t>心听”无障碍影视等政府采购项目的实施情况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考察残疾人信息化统计、阳光关爱服务、“汇影</w:t>
            </w:r>
            <w:r>
              <w:rPr>
                <w:rStyle w:val="16"/>
                <w:lang w:val="en-US" w:eastAsia="zh-CN" w:bidi="ar"/>
              </w:rPr>
              <w:t>*</w:t>
            </w:r>
            <w:r>
              <w:rPr>
                <w:rStyle w:val="13"/>
                <w:lang w:val="en-US" w:eastAsia="zh-CN" w:bidi="ar"/>
              </w:rPr>
              <w:t>心听”无障碍影视三大政府采购项目的实施情况，按照权重分</w:t>
            </w:r>
            <w:r>
              <w:rPr>
                <w:rStyle w:val="16"/>
                <w:lang w:val="en-US" w:eastAsia="zh-CN" w:bidi="ar"/>
              </w:rPr>
              <w:t>*</w:t>
            </w:r>
            <w:r>
              <w:rPr>
                <w:rStyle w:val="13"/>
                <w:lang w:val="en-US" w:eastAsia="zh-CN" w:bidi="ar"/>
              </w:rPr>
              <w:t>完成率进行打分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政府采购项目实施情况资料</w:t>
            </w:r>
          </w:p>
        </w:tc>
      </w:tr>
      <w:tr>
        <w:tblPrEx>
          <w:tblCellMar>
            <w:top w:w="0" w:type="dxa"/>
            <w:left w:w="108" w:type="dxa"/>
            <w:bottom w:w="0" w:type="dxa"/>
            <w:right w:w="108" w:type="dxa"/>
          </w:tblCellMar>
        </w:tblPrEx>
        <w:trPr>
          <w:trHeight w:val="518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C17</w:t>
            </w:r>
            <w:r>
              <w:rPr>
                <w:rStyle w:val="13"/>
                <w:lang w:val="en-US" w:eastAsia="zh-CN" w:bidi="ar"/>
              </w:rPr>
              <w:t>考核任务完成率（</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达到考核标准的实际工作数与计划工作数的比率</w:t>
            </w:r>
            <w:r>
              <w:rPr>
                <w:rStyle w:val="16"/>
                <w:lang w:val="en-US" w:eastAsia="zh-CN" w:bidi="ar"/>
              </w:rPr>
              <w:t>,</w:t>
            </w:r>
            <w:r>
              <w:rPr>
                <w:rStyle w:val="13"/>
                <w:lang w:val="en-US" w:eastAsia="zh-CN" w:bidi="ar"/>
              </w:rPr>
              <w:t>用以反映和考核部门履职质量目标的实现程度。</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考核完成率</w:t>
            </w:r>
            <w:r>
              <w:rPr>
                <w:rStyle w:val="16"/>
                <w:lang w:val="en-US" w:eastAsia="zh-CN" w:bidi="ar"/>
              </w:rPr>
              <w:t>=</w:t>
            </w:r>
            <w:r>
              <w:rPr>
                <w:rStyle w:val="13"/>
                <w:lang w:val="en-US" w:eastAsia="zh-CN" w:bidi="ar"/>
              </w:rPr>
              <w:t>（考核达标实际工作数</w:t>
            </w:r>
            <w:r>
              <w:rPr>
                <w:rStyle w:val="16"/>
                <w:lang w:val="en-US" w:eastAsia="zh-CN" w:bidi="ar"/>
              </w:rPr>
              <w:t>/</w:t>
            </w:r>
            <w:r>
              <w:rPr>
                <w:rStyle w:val="13"/>
                <w:lang w:val="en-US" w:eastAsia="zh-CN" w:bidi="ar"/>
              </w:rPr>
              <w:t>计划工作数）×</w:t>
            </w:r>
            <w:r>
              <w:rPr>
                <w:rStyle w:val="16"/>
                <w:lang w:val="en-US" w:eastAsia="zh-CN" w:bidi="ar"/>
              </w:rPr>
              <w:t>100%</w:t>
            </w:r>
            <w:r>
              <w:rPr>
                <w:rStyle w:val="13"/>
                <w:lang w:val="en-US" w:eastAsia="zh-CN" w:bidi="ar"/>
              </w:rPr>
              <w:t>。考核达标实际工作数：一定时期（年度或规划期）内部门实际完成工作数中达到上级部门（或同级政府）目标要求（绩效标准值）的工作任务数量。考核完成率达到</w:t>
            </w:r>
            <w:r>
              <w:rPr>
                <w:rStyle w:val="16"/>
                <w:lang w:val="en-US" w:eastAsia="zh-CN" w:bidi="ar"/>
              </w:rPr>
              <w:t>100%</w:t>
            </w:r>
            <w:r>
              <w:rPr>
                <w:rStyle w:val="13"/>
                <w:lang w:val="en-US" w:eastAsia="zh-CN" w:bidi="ar"/>
              </w:rPr>
              <w:t>得满分，未达到按权重进行扣分。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部门考核数与实际完成情况</w:t>
            </w:r>
          </w:p>
        </w:tc>
      </w:tr>
      <w:tr>
        <w:tblPrEx>
          <w:tblCellMar>
            <w:top w:w="0" w:type="dxa"/>
            <w:left w:w="108" w:type="dxa"/>
            <w:bottom w:w="0" w:type="dxa"/>
            <w:right w:w="108" w:type="dxa"/>
          </w:tblCellMar>
        </w:tblPrEx>
        <w:trPr>
          <w:trHeight w:val="370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C2</w:t>
            </w:r>
            <w:r>
              <w:rPr>
                <w:rStyle w:val="13"/>
                <w:lang w:val="en-US" w:eastAsia="zh-CN" w:bidi="ar"/>
              </w:rPr>
              <w:t>部门效果（</w:t>
            </w:r>
            <w:r>
              <w:rPr>
                <w:rStyle w:val="16"/>
                <w:lang w:val="en-US" w:eastAsia="zh-CN" w:bidi="ar"/>
              </w:rPr>
              <w:t>21</w:t>
            </w:r>
            <w:r>
              <w:rPr>
                <w:rStyle w:val="13"/>
                <w:lang w:val="en-US" w:eastAsia="zh-CN" w:bidi="ar"/>
              </w:rPr>
              <w:t>分）（说明：该指标反映部门（单位）的工作效果。三级指标以</w:t>
            </w:r>
            <w:r>
              <w:rPr>
                <w:rStyle w:val="16"/>
                <w:lang w:val="en-US" w:eastAsia="zh-CN" w:bidi="ar"/>
              </w:rPr>
              <w:t>XX</w:t>
            </w:r>
            <w:r>
              <w:rPr>
                <w:rStyle w:val="13"/>
                <w:lang w:val="en-US" w:eastAsia="zh-CN" w:bidi="ar"/>
              </w:rPr>
              <w:t>残疾人联合会</w:t>
            </w:r>
            <w:r>
              <w:rPr>
                <w:rStyle w:val="16"/>
                <w:lang w:val="en-US" w:eastAsia="zh-CN" w:bidi="ar"/>
              </w:rPr>
              <w:t>XX</w:t>
            </w:r>
            <w:r>
              <w:rPr>
                <w:rStyle w:val="13"/>
                <w:lang w:val="en-US" w:eastAsia="zh-CN" w:bidi="ar"/>
              </w:rPr>
              <w:t>年部门整体支出绩效评价为例设置，供各部门参考。各部门在绩效自评工作中要结合自身工作职能设置个性化的三级指标。）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C21</w:t>
            </w:r>
            <w:r>
              <w:rPr>
                <w:rStyle w:val="13"/>
                <w:lang w:val="en-US" w:eastAsia="zh-CN" w:bidi="ar"/>
              </w:rPr>
              <w:t>投诉信访降低率（</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考察部门通过各项工作使服务对象投诉信访降低情况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①投诉信访降低率</w:t>
            </w:r>
            <w:r>
              <w:rPr>
                <w:rStyle w:val="16"/>
                <w:lang w:val="en-US" w:eastAsia="zh-CN" w:bidi="ar"/>
              </w:rPr>
              <w:t>=</w:t>
            </w:r>
            <w:r>
              <w:rPr>
                <w:rStyle w:val="13"/>
                <w:lang w:val="en-US" w:eastAsia="zh-CN" w:bidi="ar"/>
              </w:rPr>
              <w:t>（本年度投诉信访数</w:t>
            </w:r>
            <w:r>
              <w:rPr>
                <w:rStyle w:val="16"/>
                <w:lang w:val="en-US" w:eastAsia="zh-CN" w:bidi="ar"/>
              </w:rPr>
              <w:t>-</w:t>
            </w:r>
            <w:r>
              <w:rPr>
                <w:rStyle w:val="13"/>
                <w:lang w:val="en-US" w:eastAsia="zh-CN" w:bidi="ar"/>
              </w:rPr>
              <w:t>上年度投诉信访数）</w:t>
            </w:r>
            <w:r>
              <w:rPr>
                <w:rStyle w:val="16"/>
                <w:lang w:val="en-US" w:eastAsia="zh-CN" w:bidi="ar"/>
              </w:rPr>
              <w:t>/</w:t>
            </w:r>
            <w:r>
              <w:rPr>
                <w:rStyle w:val="13"/>
                <w:lang w:val="en-US" w:eastAsia="zh-CN" w:bidi="ar"/>
              </w:rPr>
              <w:t>本年度投诉信访数×</w:t>
            </w:r>
            <w:r>
              <w:rPr>
                <w:rStyle w:val="16"/>
                <w:lang w:val="en-US" w:eastAsia="zh-CN" w:bidi="ar"/>
              </w:rPr>
              <w:t>100%</w:t>
            </w:r>
            <w:r>
              <w:rPr>
                <w:rStyle w:val="13"/>
                <w:lang w:val="en-US" w:eastAsia="zh-CN" w:bidi="ar"/>
              </w:rPr>
              <w:t>，投诉信访降低率≤</w:t>
            </w:r>
            <w:r>
              <w:rPr>
                <w:rStyle w:val="16"/>
                <w:lang w:val="en-US" w:eastAsia="zh-CN" w:bidi="ar"/>
              </w:rPr>
              <w:t>0</w:t>
            </w:r>
            <w:r>
              <w:rPr>
                <w:rStyle w:val="13"/>
                <w:lang w:val="en-US" w:eastAsia="zh-CN" w:bidi="ar"/>
              </w:rPr>
              <w:t>得满分，超过按权重进行扣分；②每有一项部门有责投诉扣</w:t>
            </w:r>
            <w:r>
              <w:rPr>
                <w:rStyle w:val="16"/>
                <w:lang w:val="en-US" w:eastAsia="zh-CN" w:bidi="ar"/>
              </w:rPr>
              <w:t>0.5</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服务对象投诉信访情况</w:t>
            </w:r>
          </w:p>
        </w:tc>
      </w:tr>
      <w:tr>
        <w:tblPrEx>
          <w:tblCellMar>
            <w:top w:w="0" w:type="dxa"/>
            <w:left w:w="108" w:type="dxa"/>
            <w:bottom w:w="0" w:type="dxa"/>
            <w:right w:w="108" w:type="dxa"/>
          </w:tblCellMar>
        </w:tblPrEx>
        <w:trPr>
          <w:trHeight w:val="151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C22</w:t>
            </w:r>
            <w:r>
              <w:rPr>
                <w:rStyle w:val="13"/>
                <w:lang w:val="en-US" w:eastAsia="zh-CN" w:bidi="ar"/>
              </w:rPr>
              <w:t>社会保障覆盖率（</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考察社会保障项目的覆盖情况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考察助困、助学等社会保障项目在各类残疾人保障中的覆盖程度，酌情得</w:t>
            </w:r>
            <w:r>
              <w:rPr>
                <w:rStyle w:val="16"/>
                <w:lang w:val="en-US" w:eastAsia="zh-CN" w:bidi="ar"/>
              </w:rPr>
              <w:t>0-2</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社会保障项目完成效果</w:t>
            </w:r>
          </w:p>
        </w:tc>
      </w:tr>
      <w:tr>
        <w:tblPrEx>
          <w:tblCellMar>
            <w:top w:w="0" w:type="dxa"/>
            <w:left w:w="108" w:type="dxa"/>
            <w:bottom w:w="0" w:type="dxa"/>
            <w:right w:w="108" w:type="dxa"/>
          </w:tblCellMar>
        </w:tblPrEx>
        <w:trPr>
          <w:trHeight w:val="129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C23</w:t>
            </w:r>
            <w:r>
              <w:rPr>
                <w:rStyle w:val="13"/>
                <w:lang w:val="en-US" w:eastAsia="zh-CN" w:bidi="ar"/>
              </w:rPr>
              <w:t>康复服务有效性（</w:t>
            </w:r>
            <w:r>
              <w:rPr>
                <w:rStyle w:val="16"/>
                <w:lang w:val="en-US" w:eastAsia="zh-CN" w:bidi="ar"/>
              </w:rPr>
              <w:t>3</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考察康复服务项目的执行效果及覆盖情况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考察各类康复服务项目的执行效果及覆盖情况，酌情得</w:t>
            </w:r>
            <w:r>
              <w:rPr>
                <w:rStyle w:val="16"/>
                <w:lang w:val="en-US" w:eastAsia="zh-CN" w:bidi="ar"/>
              </w:rPr>
              <w:t>0-3</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康复服务项目完成效果</w:t>
            </w:r>
          </w:p>
        </w:tc>
      </w:tr>
      <w:tr>
        <w:tblPrEx>
          <w:tblCellMar>
            <w:top w:w="0" w:type="dxa"/>
            <w:left w:w="108" w:type="dxa"/>
            <w:bottom w:w="0" w:type="dxa"/>
            <w:right w:w="108" w:type="dxa"/>
          </w:tblCellMar>
        </w:tblPrEx>
        <w:trPr>
          <w:trHeight w:val="367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C24</w:t>
            </w:r>
            <w:r>
              <w:rPr>
                <w:rStyle w:val="13"/>
                <w:lang w:val="en-US" w:eastAsia="zh-CN" w:bidi="ar"/>
              </w:rPr>
              <w:t>城镇失业登记残疾人增长率（</w:t>
            </w:r>
            <w:r>
              <w:rPr>
                <w:rStyle w:val="16"/>
                <w:lang w:val="en-US" w:eastAsia="zh-CN" w:bidi="ar"/>
              </w:rPr>
              <w:t>4</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考察残联促进残疾人就业工作的工作成效</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城镇失业登记残疾人增长率</w:t>
            </w:r>
            <w:r>
              <w:rPr>
                <w:rStyle w:val="16"/>
                <w:lang w:val="en-US" w:eastAsia="zh-CN" w:bidi="ar"/>
              </w:rPr>
              <w:t>=XX</w:t>
            </w:r>
            <w:r>
              <w:rPr>
                <w:rStyle w:val="13"/>
                <w:lang w:val="en-US" w:eastAsia="zh-CN" w:bidi="ar"/>
              </w:rPr>
              <w:t>年城镇残疾人失业登记人数</w:t>
            </w:r>
            <w:r>
              <w:rPr>
                <w:rStyle w:val="16"/>
                <w:lang w:val="en-US" w:eastAsia="zh-CN" w:bidi="ar"/>
              </w:rPr>
              <w:t>/</w:t>
            </w:r>
            <w:r>
              <w:rPr>
                <w:rStyle w:val="13"/>
                <w:lang w:val="en-US" w:eastAsia="zh-CN" w:bidi="ar"/>
              </w:rPr>
              <w:t>上年城镇残疾人失业登记人数</w:t>
            </w:r>
            <w:r>
              <w:rPr>
                <w:rStyle w:val="16"/>
                <w:lang w:val="en-US" w:eastAsia="zh-CN" w:bidi="ar"/>
              </w:rPr>
              <w:t>-100%</w:t>
            </w:r>
            <w:r>
              <w:rPr>
                <w:rStyle w:val="13"/>
                <w:lang w:val="en-US" w:eastAsia="zh-CN" w:bidi="ar"/>
              </w:rPr>
              <w:t>；城镇失业登记残疾人增长率小于等于零得满分；每增长</w:t>
            </w:r>
            <w:r>
              <w:rPr>
                <w:rStyle w:val="16"/>
                <w:lang w:val="en-US" w:eastAsia="zh-CN" w:bidi="ar"/>
              </w:rPr>
              <w:t>1%</w:t>
            </w:r>
            <w:r>
              <w:rPr>
                <w:rStyle w:val="13"/>
                <w:lang w:val="en-US" w:eastAsia="zh-CN" w:bidi="ar"/>
              </w:rPr>
              <w:t>，扣权重分</w:t>
            </w:r>
            <w:r>
              <w:rPr>
                <w:rStyle w:val="16"/>
                <w:lang w:val="en-US" w:eastAsia="zh-CN" w:bidi="ar"/>
              </w:rPr>
              <w:t>10%</w:t>
            </w:r>
            <w:r>
              <w:rPr>
                <w:rStyle w:val="13"/>
                <w:lang w:val="en-US" w:eastAsia="zh-CN" w:bidi="ar"/>
              </w:rPr>
              <w:t>，扣完为止</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城镇失业登记残疾人增长数据</w:t>
            </w:r>
          </w:p>
        </w:tc>
      </w:tr>
      <w:tr>
        <w:tblPrEx>
          <w:tblCellMar>
            <w:top w:w="0" w:type="dxa"/>
            <w:left w:w="108" w:type="dxa"/>
            <w:bottom w:w="0" w:type="dxa"/>
            <w:right w:w="108" w:type="dxa"/>
          </w:tblCellMar>
        </w:tblPrEx>
        <w:trPr>
          <w:trHeight w:val="237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C25</w:t>
            </w:r>
            <w:r>
              <w:rPr>
                <w:rStyle w:val="13"/>
                <w:lang w:val="en-US" w:eastAsia="zh-CN" w:bidi="ar"/>
              </w:rPr>
              <w:t>政策宣传知晓率（</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考察政策宣传的力度和范围</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考察残疾人对区残联现提供服务及补贴政策的知晓程度，知晓率≥</w:t>
            </w:r>
            <w:r>
              <w:rPr>
                <w:rStyle w:val="16"/>
                <w:lang w:val="en-US" w:eastAsia="zh-CN" w:bidi="ar"/>
              </w:rPr>
              <w:t>80%</w:t>
            </w:r>
            <w:r>
              <w:rPr>
                <w:rStyle w:val="13"/>
                <w:lang w:val="en-US" w:eastAsia="zh-CN" w:bidi="ar"/>
              </w:rPr>
              <w:t>得满分；知晓率＜</w:t>
            </w:r>
            <w:r>
              <w:rPr>
                <w:rStyle w:val="16"/>
                <w:lang w:val="en-US" w:eastAsia="zh-CN" w:bidi="ar"/>
              </w:rPr>
              <w:t>80%</w:t>
            </w:r>
            <w:r>
              <w:rPr>
                <w:rStyle w:val="13"/>
                <w:lang w:val="en-US" w:eastAsia="zh-CN" w:bidi="ar"/>
              </w:rPr>
              <w:t>；按权重</w:t>
            </w:r>
            <w:r>
              <w:rPr>
                <w:rStyle w:val="16"/>
                <w:lang w:val="en-US" w:eastAsia="zh-CN" w:bidi="ar"/>
              </w:rPr>
              <w:t>*</w:t>
            </w:r>
            <w:r>
              <w:rPr>
                <w:rStyle w:val="13"/>
                <w:lang w:val="en-US" w:eastAsia="zh-CN" w:bidi="ar"/>
              </w:rPr>
              <w:t>知晓率评分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调研问卷</w:t>
            </w:r>
          </w:p>
        </w:tc>
      </w:tr>
      <w:tr>
        <w:tblPrEx>
          <w:tblCellMar>
            <w:top w:w="0" w:type="dxa"/>
            <w:left w:w="108" w:type="dxa"/>
            <w:bottom w:w="0" w:type="dxa"/>
            <w:right w:w="108" w:type="dxa"/>
          </w:tblCellMar>
        </w:tblPrEx>
        <w:trPr>
          <w:trHeight w:val="2160"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C26</w:t>
            </w:r>
            <w:r>
              <w:rPr>
                <w:rStyle w:val="13"/>
                <w:lang w:val="en-US" w:eastAsia="zh-CN" w:bidi="ar"/>
              </w:rPr>
              <w:t>残联系统相关人员满意度（</w:t>
            </w:r>
            <w:r>
              <w:rPr>
                <w:rStyle w:val="16"/>
                <w:lang w:val="en-US" w:eastAsia="zh-CN" w:bidi="ar"/>
              </w:rPr>
              <w:t>4</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残联系统相关人员对部门的满意情况。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根据满意度线性统计取加权平均分值。满意度达到</w:t>
            </w:r>
            <w:r>
              <w:rPr>
                <w:rStyle w:val="16"/>
                <w:lang w:val="en-US" w:eastAsia="zh-CN" w:bidi="ar"/>
              </w:rPr>
              <w:t>85%</w:t>
            </w:r>
            <w:r>
              <w:rPr>
                <w:rStyle w:val="13"/>
                <w:lang w:val="en-US" w:eastAsia="zh-CN" w:bidi="ar"/>
              </w:rPr>
              <w:t>，得满分；满意度低于</w:t>
            </w:r>
            <w:r>
              <w:rPr>
                <w:rStyle w:val="16"/>
                <w:lang w:val="en-US" w:eastAsia="zh-CN" w:bidi="ar"/>
              </w:rPr>
              <w:t>85%</w:t>
            </w:r>
            <w:r>
              <w:rPr>
                <w:rStyle w:val="13"/>
                <w:lang w:val="en-US" w:eastAsia="zh-CN" w:bidi="ar"/>
              </w:rPr>
              <w:t>，每降低</w:t>
            </w:r>
            <w:r>
              <w:rPr>
                <w:rStyle w:val="16"/>
                <w:lang w:val="en-US" w:eastAsia="zh-CN" w:bidi="ar"/>
              </w:rPr>
              <w:t>1%</w:t>
            </w:r>
            <w:r>
              <w:rPr>
                <w:rStyle w:val="13"/>
                <w:lang w:val="en-US" w:eastAsia="zh-CN" w:bidi="ar"/>
              </w:rPr>
              <w:t>，扣权重分</w:t>
            </w:r>
            <w:r>
              <w:rPr>
                <w:rStyle w:val="16"/>
                <w:lang w:val="en-US" w:eastAsia="zh-CN" w:bidi="ar"/>
              </w:rPr>
              <w:t>5%</w:t>
            </w:r>
            <w:r>
              <w:rPr>
                <w:rStyle w:val="13"/>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问卷调查、访谈</w:t>
            </w:r>
          </w:p>
        </w:tc>
      </w:tr>
      <w:tr>
        <w:tblPrEx>
          <w:tblCellMar>
            <w:top w:w="0" w:type="dxa"/>
            <w:left w:w="108" w:type="dxa"/>
            <w:bottom w:w="0" w:type="dxa"/>
            <w:right w:w="108" w:type="dxa"/>
          </w:tblCellMar>
        </w:tblPrEx>
        <w:trPr>
          <w:trHeight w:val="2160"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C27</w:t>
            </w:r>
            <w:r>
              <w:rPr>
                <w:rStyle w:val="13"/>
                <w:lang w:val="en-US" w:eastAsia="zh-CN" w:bidi="ar"/>
              </w:rPr>
              <w:t>辖区内残疾人满意度（</w:t>
            </w:r>
            <w:r>
              <w:rPr>
                <w:rStyle w:val="16"/>
                <w:lang w:val="en-US" w:eastAsia="zh-CN" w:bidi="ar"/>
              </w:rPr>
              <w:t>4</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辖区内残疾人对区残联工作的满意情况。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根据满意度线性统计取加权平均分值。满意度达到</w:t>
            </w:r>
            <w:r>
              <w:rPr>
                <w:rStyle w:val="16"/>
                <w:lang w:val="en-US" w:eastAsia="zh-CN" w:bidi="ar"/>
              </w:rPr>
              <w:t>85%</w:t>
            </w:r>
            <w:r>
              <w:rPr>
                <w:rStyle w:val="13"/>
                <w:lang w:val="en-US" w:eastAsia="zh-CN" w:bidi="ar"/>
              </w:rPr>
              <w:t>，得满分；满意度低于</w:t>
            </w:r>
            <w:r>
              <w:rPr>
                <w:rStyle w:val="16"/>
                <w:lang w:val="en-US" w:eastAsia="zh-CN" w:bidi="ar"/>
              </w:rPr>
              <w:t>85%</w:t>
            </w:r>
            <w:r>
              <w:rPr>
                <w:rStyle w:val="13"/>
                <w:lang w:val="en-US" w:eastAsia="zh-CN" w:bidi="ar"/>
              </w:rPr>
              <w:t>，每降低</w:t>
            </w:r>
            <w:r>
              <w:rPr>
                <w:rStyle w:val="16"/>
                <w:lang w:val="en-US" w:eastAsia="zh-CN" w:bidi="ar"/>
              </w:rPr>
              <w:t>1%</w:t>
            </w:r>
            <w:r>
              <w:rPr>
                <w:rStyle w:val="13"/>
                <w:lang w:val="en-US" w:eastAsia="zh-CN" w:bidi="ar"/>
              </w:rPr>
              <w:t>，扣权重分</w:t>
            </w:r>
            <w:r>
              <w:rPr>
                <w:rStyle w:val="16"/>
                <w:lang w:val="en-US" w:eastAsia="zh-CN" w:bidi="ar"/>
              </w:rPr>
              <w:t>5%</w:t>
            </w:r>
            <w:r>
              <w:rPr>
                <w:rStyle w:val="13"/>
                <w:lang w:val="en-US" w:eastAsia="zh-CN" w:bidi="ar"/>
              </w:rPr>
              <w:t>。</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问卷调查、访谈</w:t>
            </w:r>
          </w:p>
        </w:tc>
      </w:tr>
      <w:tr>
        <w:tblPrEx>
          <w:tblCellMar>
            <w:top w:w="0" w:type="dxa"/>
            <w:left w:w="108" w:type="dxa"/>
            <w:bottom w:w="0" w:type="dxa"/>
            <w:right w:w="108" w:type="dxa"/>
          </w:tblCellMar>
        </w:tblPrEx>
        <w:trPr>
          <w:trHeight w:val="132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C3</w:t>
            </w:r>
            <w:r>
              <w:rPr>
                <w:rStyle w:val="13"/>
                <w:lang w:val="en-US" w:eastAsia="zh-CN" w:bidi="ar"/>
              </w:rPr>
              <w:t>部门可持续发展（</w:t>
            </w:r>
            <w:r>
              <w:rPr>
                <w:rStyle w:val="16"/>
                <w:lang w:val="en-US" w:eastAsia="zh-CN" w:bidi="ar"/>
              </w:rPr>
              <w:t>6</w:t>
            </w:r>
            <w:r>
              <w:rPr>
                <w:rStyle w:val="13"/>
                <w:lang w:val="en-US" w:eastAsia="zh-CN" w:bidi="ar"/>
              </w:rPr>
              <w:t>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C31</w:t>
            </w:r>
            <w:r>
              <w:rPr>
                <w:rStyle w:val="13"/>
                <w:lang w:val="en-US" w:eastAsia="zh-CN" w:bidi="ar"/>
              </w:rPr>
              <w:t>队伍建设情况（</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考察部门管理人员是否定期接受培训，熟悉政策、提高业务能力。</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部门全体人员每年至少接受一次业务或政策等培训，酌情得</w:t>
            </w:r>
            <w:r>
              <w:rPr>
                <w:rStyle w:val="16"/>
                <w:lang w:val="en-US" w:eastAsia="zh-CN" w:bidi="ar"/>
              </w:rPr>
              <w:t>0-2</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培训记录、培训效果调研</w:t>
            </w:r>
          </w:p>
        </w:tc>
      </w:tr>
      <w:tr>
        <w:tblPrEx>
          <w:tblCellMar>
            <w:top w:w="0" w:type="dxa"/>
            <w:left w:w="108" w:type="dxa"/>
            <w:bottom w:w="0" w:type="dxa"/>
            <w:right w:w="108" w:type="dxa"/>
          </w:tblCellMar>
        </w:tblPrEx>
        <w:trPr>
          <w:trHeight w:val="3456"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C32</w:t>
            </w:r>
            <w:r>
              <w:rPr>
                <w:rStyle w:val="13"/>
                <w:lang w:val="en-US" w:eastAsia="zh-CN" w:bidi="ar"/>
              </w:rPr>
              <w:t>信息共享、公开情况（</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部门是否按照政府信息公开有关规定公开相关预决算信息、绩效信息及其他信息，是否信息共享，用以反映和考核部门信息公开透明及信息共享情况。</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①按规定内容公开预决算信息、绩效信息及其他信息，得</w:t>
            </w:r>
            <w:r>
              <w:rPr>
                <w:rStyle w:val="16"/>
                <w:lang w:val="en-US" w:eastAsia="zh-CN" w:bidi="ar"/>
              </w:rPr>
              <w:t>0.5</w:t>
            </w:r>
            <w:r>
              <w:rPr>
                <w:rStyle w:val="13"/>
                <w:lang w:val="en-US" w:eastAsia="zh-CN" w:bidi="ar"/>
              </w:rPr>
              <w:t>分；②按规定时限公开预决算信息、绩效信息及其他信息，得</w:t>
            </w:r>
            <w:r>
              <w:rPr>
                <w:rStyle w:val="16"/>
                <w:lang w:val="en-US" w:eastAsia="zh-CN" w:bidi="ar"/>
              </w:rPr>
              <w:t>0.5</w:t>
            </w:r>
            <w:r>
              <w:rPr>
                <w:rStyle w:val="13"/>
                <w:lang w:val="en-US" w:eastAsia="zh-CN" w:bidi="ar"/>
              </w:rPr>
              <w:t>分。③各处室、下属单位等信息共享，得</w:t>
            </w:r>
            <w:r>
              <w:rPr>
                <w:rStyle w:val="16"/>
                <w:lang w:val="en-US" w:eastAsia="zh-CN" w:bidi="ar"/>
              </w:rPr>
              <w:t>1</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信息公开、信息共享情况</w:t>
            </w:r>
          </w:p>
        </w:tc>
      </w:tr>
      <w:tr>
        <w:tblPrEx>
          <w:tblCellMar>
            <w:top w:w="0" w:type="dxa"/>
            <w:left w:w="108" w:type="dxa"/>
            <w:bottom w:w="0" w:type="dxa"/>
            <w:right w:w="108" w:type="dxa"/>
          </w:tblCellMar>
        </w:tblPrEx>
        <w:trPr>
          <w:trHeight w:val="302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C33</w:t>
            </w:r>
            <w:r>
              <w:rPr>
                <w:rStyle w:val="13"/>
                <w:lang w:val="en-US" w:eastAsia="zh-CN" w:bidi="ar"/>
              </w:rPr>
              <w:t>长效管理创新情况（</w:t>
            </w:r>
            <w:r>
              <w:rPr>
                <w:rStyle w:val="16"/>
                <w:lang w:val="en-US" w:eastAsia="zh-CN" w:bidi="ar"/>
              </w:rPr>
              <w:t>2</w:t>
            </w:r>
            <w:r>
              <w:rPr>
                <w:rStyle w:val="13"/>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考察部门是否在鼓励处室改进管理、提高效率方面建立了新举措，比如人员绩效考核机制、信息化建设、数据库管理等，是部门工作长期可持续发展的保障。</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管理创新机制和措施明确，且有相应工作及产出。酌情得</w:t>
            </w:r>
            <w:r>
              <w:rPr>
                <w:rStyle w:val="16"/>
                <w:lang w:val="en-US" w:eastAsia="zh-CN" w:bidi="ar"/>
              </w:rPr>
              <w:t>0-2</w:t>
            </w:r>
            <w:r>
              <w:rPr>
                <w:rStyle w:val="13"/>
                <w:lang w:val="en-US" w:eastAsia="zh-CN" w:bidi="ar"/>
              </w:rPr>
              <w:t>分。</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管理创新情况</w:t>
            </w:r>
          </w:p>
        </w:tc>
      </w:tr>
      <w:tr>
        <w:tblPrEx>
          <w:tblCellMar>
            <w:top w:w="0" w:type="dxa"/>
            <w:left w:w="108" w:type="dxa"/>
            <w:bottom w:w="0" w:type="dxa"/>
            <w:right w:w="108" w:type="dxa"/>
          </w:tblCellMar>
        </w:tblPrEx>
        <w:trPr>
          <w:trHeight w:val="312"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合计</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100</w:t>
            </w:r>
            <w:r>
              <w:rPr>
                <w:rStyle w:val="14"/>
                <w:lang w:val="en-US" w:eastAsia="zh-CN" w:bidi="ar"/>
              </w:rPr>
              <w:t>分</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95</w:t>
            </w:r>
            <w:r>
              <w:rPr>
                <w:rStyle w:val="14"/>
                <w:lang w:val="en-US" w:eastAsia="zh-CN" w:bidi="ar"/>
              </w:rPr>
              <w:t>分</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18"/>
                <w:szCs w:val="18"/>
                <w:u w:val="none"/>
              </w:rPr>
            </w:pP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18"/>
                <w:szCs w:val="18"/>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18"/>
                <w:szCs w:val="18"/>
                <w:u w:val="none"/>
              </w:rPr>
            </w:pPr>
          </w:p>
        </w:tc>
      </w:tr>
    </w:tbl>
    <w:p>
      <w:pPr>
        <w:pStyle w:val="2"/>
      </w:pPr>
    </w:p>
    <w:p>
      <w:pPr>
        <w:pStyle w:val="5"/>
        <w:bidi w:val="0"/>
        <w:rPr>
          <w:rFonts w:hint="eastAsia"/>
        </w:rPr>
      </w:pPr>
      <w:bookmarkStart w:id="15" w:name="_Toc6848"/>
      <w:r>
        <w:rPr>
          <w:rFonts w:hint="eastAsia"/>
          <w:lang w:eastAsia="zh-CN"/>
        </w:rPr>
        <w:t>四、</w:t>
      </w:r>
      <w:r>
        <w:rPr>
          <w:rFonts w:hint="eastAsia"/>
        </w:rPr>
        <w:t>成本效益分析</w:t>
      </w:r>
      <w:bookmarkEnd w:id="15"/>
    </w:p>
    <w:p>
      <w:pPr>
        <w:bidi w:val="0"/>
        <w:rPr>
          <w:rFonts w:hint="eastAsia"/>
          <w:lang w:eastAsia="zh-CN"/>
        </w:rPr>
      </w:pPr>
      <w:r>
        <w:rPr>
          <w:rFonts w:hint="eastAsia"/>
          <w:lang w:eastAsia="zh-CN"/>
        </w:rPr>
        <w:t>我单位</w:t>
      </w:r>
      <w:r>
        <w:rPr>
          <w:rFonts w:hint="eastAsia"/>
          <w:lang w:val="en-US" w:eastAsia="zh-CN"/>
        </w:rPr>
        <w:t>本项目经费主要用于改</w:t>
      </w:r>
      <w:r>
        <w:rPr>
          <w:rFonts w:hint="eastAsia"/>
          <w:lang w:eastAsia="zh-CN"/>
        </w:rPr>
        <w:t>善市容环境，做到道路日常保洁、渣土管理、环卫设施管理；维护生态环境，大气污染管理、河湖管理、绿化管理；设施环境：广告设施、道路破损、公共设施、照明设施 ；秩序环境：施工管理、停车秩序、乱堆乱放、流浪乞讨、黑车拉客、噪音扰民、大件废弃物、广告涂鸦 ；旅游监管、电梯安全</w:t>
      </w:r>
      <w:r>
        <w:rPr>
          <w:rFonts w:hint="eastAsia"/>
          <w:lang w:val="en-US" w:eastAsia="zh-CN"/>
        </w:rPr>
        <w:t>，</w:t>
      </w:r>
      <w:r>
        <w:rPr>
          <w:rFonts w:hint="eastAsia"/>
          <w:lang w:eastAsia="zh-CN"/>
        </w:rPr>
        <w:t>各项目绩效明显，在成本性、效果性、公益性以及公平性等方面有很好的表现，具体表现为：一是成本性方面，</w:t>
      </w:r>
      <w:r>
        <w:rPr>
          <w:rFonts w:hint="eastAsia"/>
          <w:lang w:val="en-US" w:eastAsia="zh-CN"/>
        </w:rPr>
        <w:t>在实施项目过程中充分比价，实施政府采购降低实施成本，</w:t>
      </w:r>
      <w:r>
        <w:rPr>
          <w:rFonts w:hint="eastAsia"/>
          <w:lang w:eastAsia="zh-CN"/>
        </w:rPr>
        <w:t>项目经费的使用没有超出预算，达到标准的使用规范；二是效果性方面，按照项目用途用于支付相关资金，群众满意度达到95%;三是公益性方面，我单位各项目围绕改善生态环境卫生开展，</w:t>
      </w:r>
      <w:r>
        <w:rPr>
          <w:rFonts w:hint="eastAsia"/>
          <w:lang w:eastAsia="zh-CN"/>
        </w:rPr>
        <w:t>促进人民安居立业，构建和谐社会，优化治安环境，提升社区治安情况，实现生态效益最大化 ，提高平安法治建设水平，促进人与自然和谐发展；四是公平性原则，我单位各项目的开展按照财务管理制度执行，没有造成社会不公，也不存在利用职务之便提供特权的现象。</w:t>
      </w:r>
    </w:p>
    <w:p>
      <w:pPr>
        <w:pStyle w:val="5"/>
        <w:bidi w:val="0"/>
      </w:pPr>
      <w:bookmarkStart w:id="16" w:name="_Toc26633"/>
      <w:r>
        <w:rPr>
          <w:rFonts w:hint="eastAsia"/>
        </w:rPr>
        <w:t>五、主要经验及做法、存在的问题和建议</w:t>
      </w:r>
      <w:bookmarkEnd w:id="16"/>
    </w:p>
    <w:p>
      <w:pPr>
        <w:pStyle w:val="6"/>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b/>
          <w:lang w:eastAsia="zh-CN"/>
        </w:rPr>
      </w:pPr>
      <w:bookmarkStart w:id="17" w:name="_Toc581"/>
      <w:r>
        <w:rPr>
          <w:rFonts w:hint="eastAsia"/>
          <w:b/>
          <w:lang w:eastAsia="zh-CN"/>
        </w:rPr>
        <w:t>（一）主要经验及做法</w:t>
      </w:r>
      <w:bookmarkEnd w:id="17"/>
    </w:p>
    <w:p>
      <w:pPr>
        <w:pStyle w:val="2"/>
        <w:rPr>
          <w:rFonts w:hint="eastAsia" w:ascii="楷体" w:hAnsi="楷体" w:eastAsia="楷体"/>
          <w:szCs w:val="32"/>
        </w:rPr>
      </w:pPr>
    </w:p>
    <w:p>
      <w:pPr>
        <w:numPr>
          <w:ilvl w:val="0"/>
          <w:numId w:val="2"/>
        </w:numPr>
        <w:bidi w:val="0"/>
        <w:ind w:left="0" w:leftChars="0" w:firstLine="400" w:firstLineChars="0"/>
        <w:rPr>
          <w:b/>
          <w:bCs/>
        </w:rPr>
      </w:pPr>
      <w:r>
        <w:rPr>
          <w:b/>
          <w:bCs/>
        </w:rPr>
        <w:t>强化组织领导</w:t>
      </w:r>
    </w:p>
    <w:p>
      <w:pPr>
        <w:bidi w:val="0"/>
        <w:rPr>
          <w:rFonts w:hint="eastAsia"/>
          <w:lang w:eastAsia="zh-CN"/>
        </w:rPr>
      </w:pPr>
      <w:r>
        <w:rPr>
          <w:rFonts w:hint="eastAsia"/>
          <w:lang w:eastAsia="zh-CN"/>
        </w:rPr>
        <w:t>成立由部门负责人任组长的绩效评价领导小组，保证了财政支出绩效评价各项工作的顺利开展。</w:t>
      </w:r>
    </w:p>
    <w:p>
      <w:pPr>
        <w:numPr>
          <w:ilvl w:val="0"/>
          <w:numId w:val="2"/>
        </w:numPr>
        <w:bidi w:val="0"/>
        <w:ind w:left="0" w:leftChars="0" w:firstLine="400" w:firstLineChars="0"/>
        <w:rPr>
          <w:rFonts w:cs="Times New Roman"/>
          <w:b/>
          <w:bCs/>
        </w:rPr>
      </w:pPr>
      <w:r>
        <w:rPr>
          <w:rFonts w:cs="Times New Roman"/>
          <w:b/>
          <w:bCs/>
        </w:rPr>
        <w:t>加强学习，强化绩效管理的理念</w:t>
      </w:r>
    </w:p>
    <w:p>
      <w:pPr>
        <w:bidi w:val="0"/>
        <w:rPr>
          <w:rFonts w:hint="eastAsia"/>
          <w:lang w:eastAsia="zh-CN"/>
        </w:rPr>
      </w:pPr>
      <w:r>
        <w:rPr>
          <w:rFonts w:hint="eastAsia"/>
          <w:lang w:eastAsia="zh-CN"/>
        </w:rPr>
        <w:t>认真学习财政部《关于推进预算绩效管理的指导意见》（财预〔2014〕416号）、云南省财政厅《云南省省级部门财政支出绩效办法》（云财预〔2016〕98号）、《昆明市盘龙区财政局 关于开展2020年度区级预算支出绩效自评工作的通知》（盘财绩〔2021〕2号）</w:t>
      </w:r>
      <w:r>
        <w:rPr>
          <w:rFonts w:hint="eastAsia"/>
          <w:lang w:eastAsia="zh-CN"/>
        </w:rPr>
        <w:t>、《盘龙区区级部门预算绩效自评管理暂行办法》相关绩效管理文件，吃透文件精神，强化绩效管理的理念</w:t>
      </w:r>
      <w:r>
        <w:rPr>
          <w:rFonts w:hint="eastAsia"/>
          <w:lang w:eastAsia="zh-CN"/>
        </w:rPr>
        <w:t>。</w:t>
      </w:r>
    </w:p>
    <w:p>
      <w:pPr>
        <w:numPr>
          <w:ilvl w:val="0"/>
          <w:numId w:val="2"/>
        </w:numPr>
        <w:bidi w:val="0"/>
        <w:ind w:left="0" w:leftChars="0" w:firstLine="400" w:firstLineChars="0"/>
        <w:rPr>
          <w:rFonts w:cs="Times New Roman"/>
          <w:b/>
          <w:bCs/>
        </w:rPr>
      </w:pPr>
      <w:r>
        <w:rPr>
          <w:rFonts w:cs="Times New Roman"/>
          <w:b/>
          <w:bCs/>
        </w:rPr>
        <w:t>创新方式，落实责任</w:t>
      </w:r>
    </w:p>
    <w:p>
      <w:pPr>
        <w:bidi w:val="0"/>
      </w:pPr>
      <w:r>
        <w:t>创新管理方式，落实岗位责任制，夯实基础工作，突出工作重点，强化制度建设，推动本单位预算绩效管理各项工作齐头并进。</w:t>
      </w:r>
    </w:p>
    <w:p>
      <w:pPr>
        <w:pStyle w:val="6"/>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b/>
        </w:rPr>
      </w:pPr>
      <w:bookmarkStart w:id="18" w:name="_Toc18105"/>
      <w:r>
        <w:rPr>
          <w:rFonts w:hint="eastAsia"/>
          <w:b/>
          <w:lang w:eastAsia="zh-CN"/>
        </w:rPr>
        <w:t>（二）</w:t>
      </w:r>
      <w:r>
        <w:rPr>
          <w:rFonts w:hint="eastAsia"/>
          <w:b/>
        </w:rPr>
        <w:t>存在的问题</w:t>
      </w:r>
      <w:bookmarkEnd w:id="18"/>
    </w:p>
    <w:p>
      <w:pPr>
        <w:bidi w:val="0"/>
        <w:rPr>
          <w:rFonts w:hint="eastAsia"/>
          <w:lang w:eastAsia="zh-CN"/>
        </w:rPr>
      </w:pPr>
      <w:r>
        <w:rPr>
          <w:rFonts w:hint="eastAsia"/>
          <w:lang w:eastAsia="zh-CN"/>
        </w:rPr>
        <w:t>资金支付过程中整体集中在年末支付，执行进度较缓慢，主要原因为项目实施中资料收集不及时，各项工作总结报告落实不到位，不能及时汇总。</w:t>
      </w:r>
    </w:p>
    <w:p>
      <w:pPr>
        <w:pStyle w:val="6"/>
        <w:keepNext/>
        <w:keepLines/>
        <w:pageBreakBefore w:val="0"/>
        <w:widowControl w:val="0"/>
        <w:kinsoku/>
        <w:wordWrap/>
        <w:overflowPunct/>
        <w:topLinePunct w:val="0"/>
        <w:autoSpaceDE/>
        <w:autoSpaceDN/>
        <w:bidi w:val="0"/>
        <w:adjustRightInd/>
        <w:snapToGrid/>
        <w:spacing w:before="0" w:after="0" w:line="360" w:lineRule="auto"/>
        <w:textAlignment w:val="auto"/>
        <w:rPr>
          <w:rFonts w:ascii="楷体" w:hAnsi="楷体" w:eastAsia="楷体"/>
          <w:szCs w:val="32"/>
        </w:rPr>
      </w:pPr>
      <w:bookmarkStart w:id="19" w:name="_Toc13202"/>
      <w:r>
        <w:rPr>
          <w:rFonts w:hint="eastAsia"/>
        </w:rPr>
        <w:t>（三）建议和改进措施</w:t>
      </w:r>
      <w:bookmarkEnd w:id="19"/>
    </w:p>
    <w:p>
      <w:pPr>
        <w:rPr>
          <w:rFonts w:hint="eastAsia"/>
          <w:lang w:eastAsia="zh-CN"/>
        </w:rPr>
      </w:pPr>
      <w:r>
        <w:rPr>
          <w:rFonts w:hint="eastAsia"/>
          <w:lang w:eastAsia="zh-CN"/>
        </w:rPr>
        <w:t>办事处将积极的进行绩效跟踪组织，及时把控各项目执行进度，将绩效完成情况同个人工作优秀与否挂钩，及时制定各工作阶段完成目标，对各阶段完成情况进行统计监督，理清工作思路，强化工作措施，加强培训，提升内部业务技术，结合下年工作目标、计划，科学合理的分配各块工作资金，确保年度绩效目标的整体实现；进一步完善绩效申报表的填报，细化相关指标，对内容进一步分类划</w:t>
      </w:r>
      <w:bookmarkStart w:id="20" w:name="_GoBack"/>
      <w:bookmarkEnd w:id="20"/>
      <w:r>
        <w:rPr>
          <w:rFonts w:hint="eastAsia"/>
          <w:lang w:eastAsia="zh-CN"/>
        </w:rPr>
        <w:t>分、深化执行分类控制，对绩效指标的定量指标进一步清晰、细化，提高可衡量性。</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00"/>
      </w:pPr>
      <w:r>
        <w:separator/>
      </w:r>
    </w:p>
  </w:endnote>
  <w:endnote w:type="continuationSeparator" w:id="1">
    <w:p>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A00002EF" w:usb1="4000004B" w:usb2="00000000" w:usb3="00000000" w:csb0="2000019F" w:csb1="00000000"/>
  </w:font>
  <w:font w:name="方正小标宋_GBK">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PMingLiU">
    <w:panose1 w:val="02020500000000000000"/>
    <w:charset w:val="88"/>
    <w:family w:val="roman"/>
    <w:pitch w:val="default"/>
    <w:sig w:usb0="A00002FF" w:usb1="28CFFCFA" w:usb2="00000016" w:usb3="00000000" w:csb0="00100001" w:csb1="00000000"/>
  </w:font>
  <w:font w:name="楷体">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00"/>
      </w:pPr>
      <w:r>
        <w:separator/>
      </w:r>
    </w:p>
  </w:footnote>
  <w:footnote w:type="continuationSeparator" w:id="1">
    <w:p>
      <w:pPr>
        <w:spacing w:line="240" w:lineRule="auto"/>
        <w:ind w:firstLine="60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39EA79"/>
    <w:multiLevelType w:val="singleLevel"/>
    <w:tmpl w:val="C639EA79"/>
    <w:lvl w:ilvl="0" w:tentative="0">
      <w:start w:val="1"/>
      <w:numFmt w:val="decimal"/>
      <w:suff w:val="nothing"/>
      <w:lvlText w:val="%1．"/>
      <w:lvlJc w:val="left"/>
      <w:pPr>
        <w:ind w:left="0" w:firstLine="400"/>
      </w:pPr>
      <w:rPr>
        <w:rFonts w:hint="default"/>
      </w:rPr>
    </w:lvl>
  </w:abstractNum>
  <w:abstractNum w:abstractNumId="1">
    <w:nsid w:val="279D5879"/>
    <w:multiLevelType w:val="singleLevel"/>
    <w:tmpl w:val="279D5879"/>
    <w:lvl w:ilvl="0" w:tentative="0">
      <w:start w:val="2"/>
      <w:numFmt w:val="decimal"/>
      <w:lvlText w:val="%1."/>
      <w:lvlJc w:val="left"/>
      <w:pPr>
        <w:tabs>
          <w:tab w:val="left" w:pos="312"/>
        </w:tabs>
      </w:pPr>
    </w:lvl>
  </w:abstractNum>
  <w:abstractNum w:abstractNumId="2">
    <w:nsid w:val="49D3F00D"/>
    <w:multiLevelType w:val="singleLevel"/>
    <w:tmpl w:val="49D3F00D"/>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9250FF"/>
    <w:rsid w:val="0673747B"/>
    <w:rsid w:val="0E0378E7"/>
    <w:rsid w:val="104069D3"/>
    <w:rsid w:val="10F05EB4"/>
    <w:rsid w:val="166750EC"/>
    <w:rsid w:val="183160E4"/>
    <w:rsid w:val="18F801C2"/>
    <w:rsid w:val="1AF74C98"/>
    <w:rsid w:val="222B395B"/>
    <w:rsid w:val="2753423F"/>
    <w:rsid w:val="280D237B"/>
    <w:rsid w:val="2C9559DF"/>
    <w:rsid w:val="32A62490"/>
    <w:rsid w:val="346F2CA4"/>
    <w:rsid w:val="353140B4"/>
    <w:rsid w:val="3B734AAF"/>
    <w:rsid w:val="418531E4"/>
    <w:rsid w:val="523D2D14"/>
    <w:rsid w:val="52657233"/>
    <w:rsid w:val="533A6935"/>
    <w:rsid w:val="544131D0"/>
    <w:rsid w:val="59A07A92"/>
    <w:rsid w:val="5D87484C"/>
    <w:rsid w:val="5F450E25"/>
    <w:rsid w:val="6597578E"/>
    <w:rsid w:val="6E226C8D"/>
    <w:rsid w:val="71E772B3"/>
    <w:rsid w:val="724926F8"/>
    <w:rsid w:val="726A4EC2"/>
    <w:rsid w:val="72F64AF8"/>
    <w:rsid w:val="77C30CDF"/>
    <w:rsid w:val="79341EE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napToGrid/>
      <w:spacing w:line="360" w:lineRule="auto"/>
      <w:ind w:firstLine="1040" w:firstLineChars="200"/>
      <w:jc w:val="both"/>
    </w:pPr>
    <w:rPr>
      <w:rFonts w:ascii="Calibri" w:hAnsi="Calibri" w:eastAsia="仿宋" w:cs="Times New Roman"/>
      <w:kern w:val="2"/>
      <w:sz w:val="30"/>
      <w:szCs w:val="22"/>
      <w:lang w:val="en-US" w:eastAsia="zh-CN" w:bidi="ar-SA"/>
    </w:rPr>
  </w:style>
  <w:style w:type="paragraph" w:styleId="4">
    <w:name w:val="heading 1"/>
    <w:basedOn w:val="1"/>
    <w:next w:val="1"/>
    <w:qFormat/>
    <w:uiPriority w:val="9"/>
    <w:pPr>
      <w:keepNext/>
      <w:keepLines/>
      <w:snapToGrid/>
      <w:spacing w:line="360" w:lineRule="auto"/>
      <w:outlineLvl w:val="0"/>
    </w:pPr>
    <w:rPr>
      <w:rFonts w:eastAsia="黑体"/>
      <w:b/>
      <w:bCs/>
      <w:kern w:val="44"/>
      <w:sz w:val="32"/>
      <w:szCs w:val="44"/>
    </w:rPr>
  </w:style>
  <w:style w:type="paragraph" w:styleId="5">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6">
    <w:name w:val="heading 3"/>
    <w:basedOn w:val="1"/>
    <w:next w:val="1"/>
    <w:link w:val="20"/>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正文缩进1"/>
    <w:next w:val="3"/>
    <w:qFormat/>
    <w:uiPriority w:val="0"/>
    <w:pPr>
      <w:widowControl w:val="0"/>
      <w:ind w:firstLine="200" w:firstLineChars="200"/>
      <w:jc w:val="both"/>
    </w:pPr>
    <w:rPr>
      <w:rFonts w:ascii="Times New Roman" w:hAnsi="Times New Roman" w:eastAsia="宋体" w:cs="Times New Roman"/>
      <w:kern w:val="2"/>
      <w:sz w:val="21"/>
      <w:szCs w:val="22"/>
      <w:lang w:val="en-US" w:eastAsia="zh-CN" w:bidi="ar-SA"/>
    </w:rPr>
  </w:style>
  <w:style w:type="paragraph" w:styleId="3">
    <w:name w:val="toc 1"/>
    <w:basedOn w:val="1"/>
    <w:next w:val="1"/>
    <w:qFormat/>
    <w:uiPriority w:val="0"/>
  </w:style>
  <w:style w:type="paragraph" w:styleId="7">
    <w:name w:val="toc 3"/>
    <w:basedOn w:val="1"/>
    <w:next w:val="1"/>
    <w:qFormat/>
    <w:uiPriority w:val="0"/>
    <w:pPr>
      <w:ind w:left="840" w:leftChars="400"/>
    </w:pPr>
  </w:style>
  <w:style w:type="paragraph" w:styleId="8">
    <w:name w:val="toc 2"/>
    <w:basedOn w:val="1"/>
    <w:next w:val="1"/>
    <w:qFormat/>
    <w:uiPriority w:val="0"/>
    <w:pPr>
      <w:ind w:left="420" w:leftChars="200"/>
    </w:pPr>
  </w:style>
  <w:style w:type="paragraph" w:customStyle="1" w:styleId="11">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12">
    <w:name w:val="TOC 标题1"/>
    <w:basedOn w:val="4"/>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 w:type="character" w:customStyle="1" w:styleId="13">
    <w:name w:val="font41"/>
    <w:basedOn w:val="10"/>
    <w:qFormat/>
    <w:uiPriority w:val="0"/>
    <w:rPr>
      <w:rFonts w:hint="eastAsia" w:ascii="仿宋" w:hAnsi="仿宋" w:eastAsia="仿宋" w:cs="仿宋"/>
      <w:color w:val="000000"/>
      <w:sz w:val="18"/>
      <w:szCs w:val="18"/>
      <w:u w:val="none"/>
    </w:rPr>
  </w:style>
  <w:style w:type="character" w:customStyle="1" w:styleId="14">
    <w:name w:val="font31"/>
    <w:basedOn w:val="10"/>
    <w:qFormat/>
    <w:uiPriority w:val="0"/>
    <w:rPr>
      <w:rFonts w:hint="eastAsia" w:ascii="仿宋" w:hAnsi="仿宋" w:eastAsia="仿宋" w:cs="仿宋"/>
      <w:b/>
      <w:bCs/>
      <w:color w:val="000000"/>
      <w:sz w:val="18"/>
      <w:szCs w:val="18"/>
      <w:u w:val="none"/>
    </w:rPr>
  </w:style>
  <w:style w:type="character" w:customStyle="1" w:styleId="15">
    <w:name w:val="font21"/>
    <w:basedOn w:val="10"/>
    <w:qFormat/>
    <w:uiPriority w:val="0"/>
    <w:rPr>
      <w:rFonts w:hint="eastAsia" w:ascii="宋体" w:hAnsi="宋体" w:eastAsia="宋体" w:cs="宋体"/>
      <w:b/>
      <w:bCs/>
      <w:color w:val="000000"/>
      <w:sz w:val="18"/>
      <w:szCs w:val="18"/>
      <w:u w:val="none"/>
    </w:rPr>
  </w:style>
  <w:style w:type="character" w:customStyle="1" w:styleId="16">
    <w:name w:val="font01"/>
    <w:basedOn w:val="10"/>
    <w:qFormat/>
    <w:uiPriority w:val="0"/>
    <w:rPr>
      <w:rFonts w:hint="eastAsia" w:ascii="宋体" w:hAnsi="宋体" w:eastAsia="宋体" w:cs="宋体"/>
      <w:color w:val="000000"/>
      <w:sz w:val="18"/>
      <w:szCs w:val="18"/>
      <w:u w:val="none"/>
    </w:rPr>
  </w:style>
  <w:style w:type="paragraph" w:customStyle="1" w:styleId="17">
    <w:name w:val="WPSOffice手动目录 2"/>
    <w:qFormat/>
    <w:uiPriority w:val="0"/>
    <w:pPr>
      <w:ind w:leftChars="200"/>
    </w:pPr>
    <w:rPr>
      <w:rFonts w:asciiTheme="minorHAnsi" w:hAnsiTheme="minorHAnsi" w:eastAsiaTheme="minorEastAsia" w:cstheme="minorBidi"/>
      <w:sz w:val="20"/>
      <w:szCs w:val="20"/>
    </w:rPr>
  </w:style>
  <w:style w:type="paragraph" w:customStyle="1" w:styleId="18">
    <w:name w:val="WPSOffice手动目录 1"/>
    <w:qFormat/>
    <w:uiPriority w:val="0"/>
    <w:pPr>
      <w:ind w:leftChars="0"/>
    </w:pPr>
    <w:rPr>
      <w:rFonts w:asciiTheme="minorHAnsi" w:hAnsiTheme="minorHAnsi" w:eastAsiaTheme="minorEastAsia" w:cstheme="minorBidi"/>
      <w:sz w:val="20"/>
      <w:szCs w:val="20"/>
    </w:rPr>
  </w:style>
  <w:style w:type="paragraph" w:customStyle="1" w:styleId="19">
    <w:name w:val="WPSOffice手动目录 3"/>
    <w:qFormat/>
    <w:uiPriority w:val="0"/>
    <w:pPr>
      <w:ind w:leftChars="400"/>
    </w:pPr>
    <w:rPr>
      <w:rFonts w:asciiTheme="minorHAnsi" w:hAnsiTheme="minorHAnsi" w:eastAsiaTheme="minorEastAsia" w:cstheme="minorBidi"/>
      <w:sz w:val="20"/>
      <w:szCs w:val="20"/>
    </w:rPr>
  </w:style>
  <w:style w:type="character" w:customStyle="1" w:styleId="20">
    <w:name w:val="标题 3 Char"/>
    <w:link w:val="6"/>
    <w:qFormat/>
    <w:uiPriority w:val="0"/>
    <w:rPr>
      <w:b/>
      <w:sz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31</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Administrator.PC-201610101051</dc:creator>
  <cp:lastModifiedBy>Administrator</cp:lastModifiedBy>
  <dcterms:modified xsi:type="dcterms:W3CDTF">2021-09-28T08:47:40Z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EF3173E2C5784BCF9B85E85E6DE682B7</vt:lpwstr>
  </property>
</Properties>
</file>