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方正小标宋_GBK" w:eastAsia="方正小标宋_GBK"/>
          <w:sz w:val="28"/>
          <w:szCs w:val="28"/>
        </w:rPr>
      </w:pPr>
      <w:bookmarkStart w:id="0" w:name="_GoBack"/>
      <w:bookmarkEnd w:id="0"/>
    </w:p>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盘龙区财政局2020</w:t>
      </w:r>
      <w:r>
        <w:rPr>
          <w:rFonts w:hint="eastAsia" w:ascii="黑体" w:hAnsi="黑体" w:eastAsia="黑体"/>
          <w:bCs/>
          <w:sz w:val="52"/>
          <w:szCs w:val="52"/>
        </w:rPr>
        <w:t>年</w:t>
      </w:r>
    </w:p>
    <w:p>
      <w:pPr>
        <w:jc w:val="center"/>
        <w:rPr>
          <w:rFonts w:ascii="黑体" w:hAnsi="黑体" w:eastAsia="黑体"/>
          <w:bCs/>
          <w:sz w:val="52"/>
          <w:szCs w:val="52"/>
        </w:rPr>
      </w:pP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6.65pt;height:0pt;width:272.25pt;z-index:251663360;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9Bcde5gEAAKwDAAAOAAAAZHJzL2Uyb0RvYy54bWytU82O&#10;0zAQviPxDpbvNG1hYYma7qFluSCoBDzA1HYSS/6TxzTtS/ACSJyAE8tp7zzNsjwGY7dbFrggRCI5&#10;MxnPN/N9Hs/OttawjYqovWv4ZDTmTDnhpXZdw1+/Or93yhkmcBKMd6rhO4X8bH73zmwItZr63hup&#10;IiMQh/UQGt6nFOqqQtErCzjyQTkKtj5aSOTGrpIRBkK3ppqOxw+rwUcZohcKkf4u90E+L/htq0R6&#10;0baoEjMNp95SWWNZ13mt5jOouwih1+LQBvxDFxa0o6JHqCUkYG+i/gPKahE9+jaNhLeVb1stVOFA&#10;bCbj39i87CGowoXEwXCUCf8frHi+WUWmJZ0dZw4sHdH1u8tvbz9ef7m4+nD5/ev7bH/+xCZZqiFg&#10;TRkLt4oHD8MqZt7bNtr8JUZsW+TdHeVV28QE/bz/4OQRvZyJm1j1MzFETE+VtywbDccUQXd9Wnjn&#10;6BB9nBR5YfMME5WmxJuEXNU4NjT88ck0gwONUWsgkWkDEUPXlVz0RstzbUzOwNitFyayDeTBKE8m&#10;SLi/bMtFloD9fl8J7UemVyCfOMnSLpBkjmab5xaskpwZRVchWwQIdQJt/mYnlTYuJ6gytgeeWfG9&#10;xtlae7kr0lfZo5EoHR/GN8/cbZ/s25ds/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Mnml1wAA&#10;AAkBAAAPAAAAAAAAAAEAIAAAACIAAABkcnMvZG93bnJldi54bWxQSwECFAAUAAAACACHTuJA/QXH&#10;Xu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项目名称：昆明市盘龙区财政局部门整体支出</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4384"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7.15pt;height:0pt;width:272.25pt;z-index:251664384;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LGMB1+YBAACsAwAADgAAAGRycy9lMm9Eb2MueG1srVNL&#10;jhMxEN0jcQfLe9L5MHxa6cwiYdggiAQcoGK7uy35J5dJJ5fgAkisgBWwmj2ngeEYlJ1MGGCDEN2S&#10;u6rL9arec3l+vrOGbVVE7V3DJ6MxZ8oJL7XrGv7yxcWdB5xhAifBeKcavlfIzxe3b82HUKup772R&#10;KjICcVgPoeF9SqGuKhS9soAjH5SjYOujhURu7CoZYSB0a6rpeHyvGnyUIXqhEOnv6hDki4Lftkqk&#10;Z22LKjHTcOotlTWWdZPXajGHuosQei2ObcA/dGFBOyp6glpBAvYq6j+grBbRo2/TSHhb+bbVQhUO&#10;xGYy/o3N8x6CKlxIHAwnmfD/wYqn23VkWjZ8xpkDS0d09eby2+v3V58/fX13+f3L22x//MBmWaoh&#10;YE0ZS7eORw/DOmbeuzba/CVGbFfk3Z/kVbvEBP2c3T27Ty9n4jpW/UwMEdNj5S3LRsMxRdBdn5be&#10;OTpEHydFXtg+wUSlKfE6IVc1jg0Nf3g2zeBAY9QaSGTaQMTQdSUXvdHyQhuTMzB2m6WJbAt5MMqT&#10;CRLuL9tykRVgf9hXQoeR6RXIR06ytA8kmaPZ5rkFqyRnRtFVyBYBQp1Am7/ZSaWNywmqjO2RZ1b8&#10;oHG2Nl7ui/RV9mgkSsfH8c0zd9Mn++YlW/w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v0PcNgA&#10;AAAJAQAADwAAAAAAAAABACAAAAAiAAAAZHJzL2Rvd25yZXYueG1sUEsBAhQAFAAAAAgAh07iQCxj&#10;AdfmAQAArAMAAA4AAAAAAAAAAQAgAAAAJwEAAGRycy9lMm9Eb2MueG1sUEsFBgAAAAAGAAYAWQEA&#10;AH8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部门名称：昆明市盘龙区财政局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5408"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9.95pt;height:0pt;width:272.25pt;z-index:251665408;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BWfmE/5gEAAKwDAAAOAAAAZHJzL2Uyb0RvYy54bWytU0uO&#10;EzEQ3SNxB8t70knI8GmlM4uEYYMgEnCAiu3utuSfXCadXIILILECVsBq9pwGhmNQdjJhgA1CdEvu&#10;qi7Xq3rP5fn5zhq2VRG1dw2fjMacKSe81K5r+MsXF3cecIYJnATjnWr4XiE/X9y+NR9Craa+90aq&#10;yAjEYT2EhvcphbqqUPTKAo58UI6CrY8WErmxq2SEgdCtqabj8b1q8FGG6IVCpL+rQ5AvCn7bKpGe&#10;tS2qxEzDqbdU1ljWTV6rxRzqLkLotTi2Af/QhQXtqOgJagUJ2Kuo/4CyWkSPvk0j4W3l21YLVTgQ&#10;m8n4NzbPewiqcCFxMJxkwv8HK55u15Fp2fAZZw4sHdHVm8tvr99fff709d3l9y9vs/3xA5tlqYaA&#10;NWUs3ToePQzrmHnv2mjzlxixXZF3f5JX7RIT9PPu7Ow+vZyJ61j1MzFETI+VtywbDccUQXd9Wnrn&#10;6BB9nBR5YfsEE5WmxOuEXNU4NjT84dk0gwONUWsgkWkDEUPXlVz0RssLbUzOwNhtliayLeTBKE8m&#10;SLi/bMtFVoD9YV8JHUamVyAfOcnSPpBkjmab5xaskpwZRVchWwQIdQJt/mYnlTYuJ6gytkeeWfGD&#10;xtnaeLkv0lfZo5EoHR/HN8/cTZ/sm5ds8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IEn4I1wAA&#10;AAkBAAAPAAAAAAAAAAEAIAAAACIAAABkcnMvZG93bnJldi54bWxQSwECFAAUAAAACACHTuJAVn5h&#10;P+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评价机构：昆明市盘龙区财政局</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both"/>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footerReference r:id="rId4" w:type="default"/>
          <w:pgSz w:w="11906" w:h="16838"/>
          <w:pgMar w:top="1440" w:right="1800" w:bottom="1440" w:left="1800" w:header="851" w:footer="992" w:gutter="0"/>
          <w:cols w:space="720"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tcPr>
          <w:p>
            <w:pPr>
              <w:pStyle w:val="10"/>
              <w:widowControl w:val="0"/>
              <w:spacing w:after="0" w:line="24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姜雯</w:t>
            </w:r>
          </w:p>
        </w:tc>
        <w:tc>
          <w:tcPr>
            <w:tcW w:w="1620" w:type="dxa"/>
            <w:noWrap/>
          </w:tcPr>
          <w:p>
            <w:pPr>
              <w:pStyle w:val="10"/>
              <w:widowControl w:val="0"/>
              <w:spacing w:after="0" w:line="24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局长</w:t>
            </w:r>
          </w:p>
        </w:tc>
        <w:tc>
          <w:tcPr>
            <w:tcW w:w="1621" w:type="dxa"/>
            <w:noWrap/>
          </w:tcPr>
          <w:p>
            <w:pPr>
              <w:pStyle w:val="10"/>
              <w:widowControl w:val="0"/>
              <w:spacing w:after="0" w:line="240" w:lineRule="auto"/>
              <w:jc w:val="both"/>
              <w:rPr>
                <w:rFonts w:ascii="Times New Roman" w:hAnsi="Times New Roman" w:eastAsia="黑体" w:cs="黑体"/>
                <w:kern w:val="2"/>
                <w:sz w:val="24"/>
                <w:szCs w:val="24"/>
                <w:lang w:val="zh-TW" w:eastAsia="zh-TW"/>
              </w:rPr>
            </w:pPr>
          </w:p>
        </w:tc>
        <w:tc>
          <w:tcPr>
            <w:tcW w:w="1621" w:type="dxa"/>
            <w:noWrap/>
          </w:tcPr>
          <w:p>
            <w:pPr>
              <w:pStyle w:val="10"/>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赵丽</w:t>
            </w: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金融服务中心副主任</w:t>
            </w: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朱志华</w:t>
            </w: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办公室主任</w:t>
            </w: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办公室</w:t>
            </w: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360" w:lineRule="auto"/>
              <w:jc w:val="center"/>
              <w:rPr>
                <w:rFonts w:ascii="Times New Roman" w:hAnsi="Times New Roman" w:eastAsia="黑体" w:cs="黑体"/>
                <w:kern w:val="2"/>
                <w:sz w:val="24"/>
                <w:szCs w:val="24"/>
                <w:lang w:val="zh-TW"/>
              </w:rPr>
            </w:pP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闭思维</w:t>
            </w: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工作人员</w:t>
            </w: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办公室</w:t>
            </w: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11"/>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目录</w:t>
      </w:r>
    </w:p>
    <w:p>
      <w:pPr>
        <w:spacing w:line="400" w:lineRule="exact"/>
        <w:ind w:firstLine="420" w:firstLineChars="200"/>
        <w:jc w:val="left"/>
        <w:rPr>
          <w:rFonts w:ascii="黑体" w:hAnsi="黑体" w:eastAsia="黑体"/>
          <w:szCs w:val="32"/>
        </w:rPr>
      </w:pPr>
      <w:r>
        <w:rPr>
          <w:rFonts w:hint="eastAsia" w:ascii="黑体" w:hAnsi="黑体" w:eastAsia="黑体"/>
          <w:szCs w:val="32"/>
        </w:rPr>
        <w:t>一、摘要</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二、部门概况</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三、绩效目标</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四、评价思路和过程</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五、评价结论和绩效分析</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六、主要经验做法</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七、存在的问题</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八、改进措施及建议</w:t>
      </w:r>
      <w:r>
        <w:rPr>
          <w:rFonts w:hint="eastAsia" w:ascii="黑体" w:hAnsi="黑体" w:eastAsia="黑体"/>
          <w:szCs w:val="32"/>
        </w:rPr>
        <w:tab/>
      </w:r>
    </w:p>
    <w:p>
      <w:pPr>
        <w:spacing w:line="400" w:lineRule="exact"/>
        <w:ind w:firstLine="420" w:firstLineChars="200"/>
        <w:jc w:val="left"/>
        <w:rPr>
          <w:rFonts w:ascii="黑体" w:hAnsi="黑体" w:eastAsia="黑体"/>
          <w:szCs w:val="32"/>
        </w:rPr>
      </w:pP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附件1 </w:t>
      </w:r>
      <w:r>
        <w:rPr>
          <w:rFonts w:hint="eastAsia" w:ascii="黑体" w:hAnsi="黑体" w:eastAsia="黑体"/>
          <w:szCs w:val="32"/>
          <w:lang w:eastAsia="zh-CN"/>
        </w:rPr>
        <w:t>《昆明市盘龙区财政局主要职责内设机构和人员编制规定》</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附件2 </w:t>
      </w:r>
      <w:r>
        <w:rPr>
          <w:rFonts w:hint="eastAsia" w:ascii="黑体" w:hAnsi="黑体" w:eastAsia="黑体"/>
          <w:szCs w:val="32"/>
          <w:lang w:eastAsia="zh-CN"/>
        </w:rPr>
        <w:t>昆明市盘龙区财政局编制人员情况表</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附件3</w:t>
      </w:r>
      <w:r>
        <w:rPr>
          <w:rFonts w:hint="eastAsia" w:ascii="黑体" w:hAnsi="黑体" w:eastAsia="黑体"/>
          <w:szCs w:val="32"/>
          <w:lang w:eastAsia="zh-CN"/>
        </w:rPr>
        <w:t>《昆明市盘龙区财政局</w:t>
      </w:r>
      <w:r>
        <w:rPr>
          <w:rFonts w:hint="eastAsia" w:ascii="黑体" w:hAnsi="黑体" w:eastAsia="黑体"/>
          <w:szCs w:val="32"/>
          <w:lang w:val="en-US" w:eastAsia="zh-CN"/>
        </w:rPr>
        <w:t>工作总结及工作计划》</w:t>
      </w:r>
      <w:r>
        <w:rPr>
          <w:rFonts w:hint="eastAsia" w:ascii="黑体" w:hAnsi="黑体" w:eastAsia="黑体"/>
          <w:szCs w:val="32"/>
        </w:rPr>
        <w:t xml:space="preserve"> </w:t>
      </w:r>
    </w:p>
    <w:p>
      <w:pPr>
        <w:spacing w:line="400" w:lineRule="exact"/>
        <w:ind w:firstLine="420" w:firstLineChars="200"/>
        <w:jc w:val="left"/>
        <w:rPr>
          <w:rFonts w:hint="default" w:ascii="黑体" w:hAnsi="黑体" w:eastAsia="黑体"/>
          <w:szCs w:val="32"/>
          <w:lang w:val="en-US" w:eastAsia="zh-CN"/>
        </w:rPr>
      </w:pPr>
      <w:r>
        <w:rPr>
          <w:rFonts w:hint="eastAsia" w:ascii="黑体" w:hAnsi="黑体" w:eastAsia="黑体"/>
          <w:szCs w:val="32"/>
        </w:rPr>
        <w:t>附件4</w:t>
      </w:r>
      <w:r>
        <w:rPr>
          <w:rFonts w:hint="eastAsia" w:ascii="黑体" w:hAnsi="黑体" w:eastAsia="黑体"/>
          <w:szCs w:val="32"/>
          <w:lang w:eastAsia="zh-CN"/>
        </w:rPr>
        <w:t>《</w:t>
      </w:r>
      <w:r>
        <w:rPr>
          <w:rFonts w:hint="eastAsia" w:ascii="黑体" w:hAnsi="黑体" w:eastAsia="黑体"/>
          <w:szCs w:val="32"/>
        </w:rPr>
        <w:tab/>
      </w:r>
      <w:r>
        <w:rPr>
          <w:rFonts w:hint="eastAsia" w:ascii="黑体" w:hAnsi="黑体" w:eastAsia="黑体"/>
          <w:szCs w:val="32"/>
          <w:lang w:eastAsia="zh-CN"/>
        </w:rPr>
        <w:t>盘龙区财政局</w:t>
      </w:r>
      <w:r>
        <w:rPr>
          <w:rFonts w:hint="eastAsia" w:ascii="黑体" w:hAnsi="黑体" w:eastAsia="黑体"/>
          <w:szCs w:val="32"/>
          <w:lang w:val="en-US" w:eastAsia="zh-CN"/>
        </w:rPr>
        <w:t>2020年上半年工作总结和下半年工作计划》</w:t>
      </w:r>
    </w:p>
    <w:p>
      <w:pPr>
        <w:spacing w:line="400" w:lineRule="exact"/>
        <w:ind w:firstLine="420" w:firstLineChars="200"/>
        <w:jc w:val="left"/>
        <w:rPr>
          <w:rFonts w:ascii="黑体" w:hAnsi="黑体" w:eastAsia="黑体"/>
          <w:szCs w:val="32"/>
        </w:rPr>
      </w:pPr>
      <w:r>
        <w:rPr>
          <w:rFonts w:hint="eastAsia" w:ascii="黑体" w:hAnsi="黑体" w:eastAsia="黑体"/>
          <w:szCs w:val="32"/>
        </w:rPr>
        <w:t>附件5</w:t>
      </w:r>
      <w:r>
        <w:rPr>
          <w:rFonts w:hint="eastAsia" w:ascii="黑体" w:hAnsi="黑体" w:eastAsia="黑体"/>
          <w:szCs w:val="32"/>
          <w:lang w:eastAsia="zh-CN"/>
        </w:rPr>
        <w:t>昆明市盘龙区财政局预算批复</w:t>
      </w:r>
      <w:r>
        <w:rPr>
          <w:rFonts w:hint="eastAsia" w:ascii="黑体" w:hAnsi="黑体" w:eastAsia="黑体"/>
          <w:szCs w:val="32"/>
        </w:rPr>
        <w:tab/>
      </w:r>
    </w:p>
    <w:p>
      <w:pPr>
        <w:spacing w:line="400" w:lineRule="exact"/>
        <w:ind w:firstLine="420" w:firstLineChars="200"/>
        <w:jc w:val="left"/>
        <w:rPr>
          <w:rFonts w:hint="default" w:ascii="黑体" w:hAnsi="黑体" w:eastAsia="黑体"/>
          <w:szCs w:val="32"/>
          <w:lang w:val="en-US" w:eastAsia="zh-CN"/>
        </w:rPr>
      </w:pPr>
      <w:r>
        <w:rPr>
          <w:rFonts w:hint="eastAsia" w:ascii="黑体" w:hAnsi="黑体" w:eastAsia="黑体"/>
          <w:szCs w:val="32"/>
        </w:rPr>
        <w:t xml:space="preserve">附件6 </w:t>
      </w:r>
      <w:r>
        <w:rPr>
          <w:rFonts w:hint="eastAsia" w:ascii="黑体" w:hAnsi="黑体" w:eastAsia="黑体"/>
          <w:szCs w:val="32"/>
          <w:lang w:val="en-US" w:eastAsia="zh-CN"/>
        </w:rPr>
        <w:t>2020年决算相关材料</w:t>
      </w:r>
    </w:p>
    <w:p>
      <w:pPr>
        <w:spacing w:line="600" w:lineRule="exact"/>
        <w:ind w:firstLine="420" w:firstLineChars="200"/>
        <w:jc w:val="left"/>
        <w:rPr>
          <w:rFonts w:ascii="黑体" w:hAnsi="黑体" w:eastAsia="黑体"/>
          <w:szCs w:val="32"/>
        </w:rPr>
      </w:pPr>
    </w:p>
    <w:p>
      <w:pPr>
        <w:spacing w:line="600" w:lineRule="exact"/>
        <w:ind w:firstLine="420" w:firstLineChars="200"/>
        <w:jc w:val="center"/>
        <w:rPr>
          <w:rFonts w:ascii="方正小标宋_GBK" w:hAnsi="黑体" w:eastAsia="方正小标宋_GBK"/>
          <w:szCs w:val="32"/>
        </w:rPr>
      </w:pPr>
    </w:p>
    <w:p>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盘龙区财政局2020年部门整体支出</w:t>
      </w:r>
    </w:p>
    <w:p>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spacing w:line="520" w:lineRule="exact"/>
        <w:ind w:firstLine="480" w:firstLineChars="200"/>
        <w:jc w:val="center"/>
        <w:rPr>
          <w:rFonts w:ascii="仿宋_GB2312" w:eastAsia="仿宋_GB2312"/>
          <w:sz w:val="24"/>
          <w:szCs w:val="24"/>
        </w:rPr>
      </w:pPr>
    </w:p>
    <w:p>
      <w:pPr>
        <w:keepNext w:val="0"/>
        <w:keepLines w:val="0"/>
        <w:pageBreakBefore w:val="0"/>
        <w:widowControl w:val="0"/>
        <w:numPr>
          <w:ilvl w:val="0"/>
          <w:numId w:val="0"/>
        </w:numPr>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一、</w:t>
      </w:r>
      <w:r>
        <w:rPr>
          <w:rFonts w:hint="default" w:ascii="Times New Roman" w:hAnsi="Times New Roman" w:eastAsia="黑体" w:cs="Times New Roman"/>
          <w:sz w:val="32"/>
          <w:szCs w:val="32"/>
        </w:rPr>
        <w:t>摘要</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2020年是全面建成小康社会和“十三五”规划收官之年，盘龙区财政局在区委、区政府的正确领导和上级财政部门的悉心指导下，</w:t>
      </w:r>
      <w:r>
        <w:rPr>
          <w:rFonts w:hint="default" w:ascii="Times New Roman" w:hAnsi="Times New Roman" w:eastAsia="仿宋_GB2312" w:cs="Times New Roman"/>
          <w:color w:val="000000"/>
          <w:kern w:val="0"/>
          <w:sz w:val="32"/>
          <w:szCs w:val="32"/>
        </w:rPr>
        <w:t>以习近平新时代中国特色社会主义思想和党的十九大精神为指导，</w:t>
      </w:r>
      <w:r>
        <w:rPr>
          <w:rFonts w:hint="default" w:ascii="Times New Roman" w:hAnsi="Times New Roman" w:eastAsia="仿宋_GB2312" w:cs="Times New Roman"/>
          <w:sz w:val="32"/>
          <w:szCs w:val="32"/>
        </w:rPr>
        <w:t>围绕区委各项决策部署，在区人大常委会的监督指导下，把依法理财、深化改革、提高效能贯穿财政管理始终，按照推进区域性国际中心城市核心城区建设目标要求，抓住关键环节、坚持精准施策、紧盯目标任务、埋头苦干实干，进一步推动高质量跨越发展。</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2020年，我局预算资金共计</w:t>
      </w:r>
      <w:r>
        <w:rPr>
          <w:rFonts w:hint="default" w:ascii="Times New Roman" w:hAnsi="Times New Roman" w:eastAsia="仿宋_GB2312" w:cs="Times New Roman"/>
          <w:sz w:val="32"/>
          <w:szCs w:val="32"/>
          <w:highlight w:val="none"/>
        </w:rPr>
        <w:t>16</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052.32</w:t>
      </w:r>
      <w:r>
        <w:rPr>
          <w:rFonts w:hint="default" w:ascii="Times New Roman" w:hAnsi="Times New Roman" w:eastAsia="仿宋_GB2312" w:cs="Times New Roman"/>
          <w:sz w:val="32"/>
          <w:szCs w:val="32"/>
          <w:highlight w:val="none"/>
          <w:lang w:eastAsia="ar-SA"/>
        </w:rPr>
        <w:t>万元</w:t>
      </w:r>
      <w:r>
        <w:rPr>
          <w:rFonts w:hint="default" w:ascii="Times New Roman" w:hAnsi="Times New Roman" w:eastAsia="仿宋_GB2312" w:cs="Times New Roman"/>
          <w:color w:val="000000"/>
          <w:sz w:val="32"/>
          <w:szCs w:val="32"/>
        </w:rPr>
        <w:t>（其中：财政</w:t>
      </w:r>
      <w:r>
        <w:rPr>
          <w:rFonts w:hint="default" w:ascii="Times New Roman" w:hAnsi="Times New Roman" w:eastAsia="仿宋_GB2312" w:cs="Times New Roman"/>
          <w:sz w:val="32"/>
          <w:szCs w:val="32"/>
        </w:rPr>
        <w:t>2</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595.52</w:t>
      </w:r>
      <w:r>
        <w:rPr>
          <w:rFonts w:hint="default" w:ascii="Times New Roman" w:hAnsi="Times New Roman" w:eastAsia="仿宋_GB2312" w:cs="Times New Roman"/>
          <w:sz w:val="32"/>
          <w:szCs w:val="32"/>
          <w:lang w:eastAsia="ar-SA"/>
        </w:rPr>
        <w:t>万元</w:t>
      </w:r>
      <w:r>
        <w:rPr>
          <w:rFonts w:hint="default" w:ascii="Times New Roman" w:hAnsi="Times New Roman" w:eastAsia="仿宋_GB2312" w:cs="Times New Roman"/>
          <w:sz w:val="32"/>
          <w:szCs w:val="32"/>
        </w:rPr>
        <w:t>，国资委13</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456.8万元）。用于保障我局（含国资委）人员、业务开展等开支。整体绩效目标完成情况较好，切实把握财政工作重点，积极履行财政职能职责，进一步深化和完善财政体制改革，强化工作措施，优化服务水平，发挥职能作用，不断促进经济平稳较快发展和社会和谐稳定，较好完成了各项目标任务。</w:t>
      </w:r>
    </w:p>
    <w:p>
      <w:pPr>
        <w:topLinePunct/>
        <w:spacing w:line="560" w:lineRule="exact"/>
        <w:ind w:firstLine="640" w:firstLineChars="200"/>
        <w:rPr>
          <w:rFonts w:hint="default" w:ascii="Times New Roman" w:hAnsi="Times New Roman" w:eastAsia="仿宋_GB2312" w:cs="Times New Roman"/>
          <w:color w:val="000000"/>
          <w:kern w:val="32"/>
          <w:sz w:val="32"/>
          <w:szCs w:val="32"/>
        </w:rPr>
      </w:pPr>
      <w:r>
        <w:rPr>
          <w:rFonts w:hint="default" w:ascii="Times New Roman" w:hAnsi="Times New Roman" w:eastAsia="仿宋_GB2312" w:cs="Times New Roman"/>
          <w:color w:val="000000"/>
          <w:kern w:val="32"/>
          <w:sz w:val="32"/>
          <w:szCs w:val="32"/>
        </w:rPr>
        <w:t>为较好实现2020年预算支出，我局在设立绩效目标时，以立项科室为责任人，由科室负责人按照资金使用用途及相关支出节点为关键进行目标设置及细化。但是在项目实际开展过程中，仍会存在项目执行过程和预期稍有差异在未来的绩效目标设立过程中，我局会更加全面的考虑项目开展情况，多思考前瞻性及严谨性。</w:t>
      </w:r>
    </w:p>
    <w:p>
      <w:pPr>
        <w:numPr>
          <w:ilvl w:val="0"/>
          <w:numId w:val="1"/>
        </w:numPr>
        <w:topLinePunct/>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部门概况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部门机构设置、编制</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eastAsia="ar-SA"/>
        </w:rPr>
        <w:t>盘龙区财政局是区政府的工作部门，根据昆明市盘龙区人民政府办公室关于《关于印发&lt;昆明市盘龙区财政局职能配置、内设机构和人员编制规定&gt;的通知》盘办通〔2019〕109号）文件，共设有办公室、预算科、国库科、</w:t>
      </w:r>
      <w:r>
        <w:rPr>
          <w:rFonts w:hint="default" w:ascii="Times New Roman" w:hAnsi="Times New Roman" w:eastAsia="仿宋_GB2312" w:cs="Times New Roman"/>
          <w:bCs/>
          <w:sz w:val="32"/>
          <w:szCs w:val="32"/>
        </w:rPr>
        <w:t>综合科、</w:t>
      </w:r>
      <w:r>
        <w:rPr>
          <w:rFonts w:hint="default" w:ascii="Times New Roman" w:hAnsi="Times New Roman" w:eastAsia="仿宋_GB2312" w:cs="Times New Roman"/>
          <w:color w:val="000000"/>
          <w:kern w:val="0"/>
          <w:sz w:val="32"/>
          <w:szCs w:val="32"/>
          <w:lang w:eastAsia="ar-SA"/>
        </w:rPr>
        <w:t>行政事业财务管理科、农财科、社会保障科、经济建设科</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bCs/>
          <w:sz w:val="32"/>
          <w:szCs w:val="32"/>
        </w:rPr>
        <w:t>产业发展科、政府采购管理科、</w:t>
      </w:r>
      <w:r>
        <w:rPr>
          <w:rFonts w:hint="default" w:ascii="Times New Roman" w:hAnsi="Times New Roman" w:eastAsia="仿宋_GB2312" w:cs="Times New Roman"/>
          <w:color w:val="000000"/>
          <w:kern w:val="0"/>
          <w:sz w:val="32"/>
          <w:szCs w:val="32"/>
          <w:lang w:eastAsia="ar-SA"/>
        </w:rPr>
        <w:t>会计监察科、绩效管理科、</w:t>
      </w:r>
      <w:r>
        <w:rPr>
          <w:rFonts w:hint="default" w:ascii="Times New Roman" w:hAnsi="Times New Roman" w:eastAsia="仿宋_GB2312" w:cs="Times New Roman"/>
          <w:bCs/>
          <w:sz w:val="32"/>
          <w:szCs w:val="32"/>
        </w:rPr>
        <w:t>资产管理科、金融管理科、债务管理科</w:t>
      </w:r>
      <w:r>
        <w:rPr>
          <w:rFonts w:hint="default" w:ascii="Times New Roman" w:hAnsi="Times New Roman" w:eastAsia="仿宋_GB2312" w:cs="Times New Roman"/>
          <w:color w:val="000000"/>
          <w:kern w:val="0"/>
          <w:sz w:val="32"/>
          <w:szCs w:val="32"/>
          <w:lang w:eastAsia="ar-SA"/>
        </w:rPr>
        <w:t>等</w:t>
      </w:r>
      <w:r>
        <w:rPr>
          <w:rFonts w:hint="default" w:ascii="Times New Roman" w:hAnsi="Times New Roman" w:eastAsia="仿宋_GB2312" w:cs="Times New Roman"/>
          <w:color w:val="000000"/>
          <w:kern w:val="0"/>
          <w:sz w:val="32"/>
          <w:szCs w:val="32"/>
        </w:rPr>
        <w:t>15</w:t>
      </w:r>
      <w:r>
        <w:rPr>
          <w:rFonts w:hint="default" w:ascii="Times New Roman" w:hAnsi="Times New Roman" w:eastAsia="仿宋_GB2312" w:cs="Times New Roman"/>
          <w:color w:val="000000"/>
          <w:kern w:val="0"/>
          <w:sz w:val="32"/>
          <w:szCs w:val="32"/>
          <w:lang w:eastAsia="ar-SA"/>
        </w:rPr>
        <w:t>个科室。</w:t>
      </w:r>
      <w:r>
        <w:rPr>
          <w:rFonts w:hint="default" w:ascii="Times New Roman" w:hAnsi="Times New Roman" w:eastAsia="仿宋_GB2312" w:cs="Times New Roman"/>
          <w:bCs/>
          <w:sz w:val="32"/>
          <w:szCs w:val="32"/>
        </w:rPr>
        <w:t>加挂昆明市盘龙区人民政府国有资产监督管理委员会、昆明市盘龙区人民政府金融办公室牌子。下属事业单位3个，分别是</w:t>
      </w:r>
      <w:r>
        <w:rPr>
          <w:rFonts w:hint="default" w:ascii="Times New Roman" w:hAnsi="Times New Roman" w:eastAsia="仿宋_GB2312" w:cs="Times New Roman"/>
          <w:color w:val="000000"/>
          <w:kern w:val="0"/>
          <w:sz w:val="32"/>
          <w:szCs w:val="32"/>
          <w:lang w:eastAsia="ar-SA"/>
        </w:rPr>
        <w:t>昆明市盘龙区会计服务中心（2016年8月根据盘机编复〔2016〕9号变更为昆明市盘龙区财政投资评审中心）</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eastAsia="ar-SA"/>
        </w:rPr>
        <w:t>盘龙区金融服务中心（2017年9月18日根据盘机编复〔2016〕19号成立）</w:t>
      </w:r>
      <w:r>
        <w:rPr>
          <w:rFonts w:hint="default" w:ascii="Times New Roman" w:hAnsi="Times New Roman" w:eastAsia="仿宋_GB2312" w:cs="Times New Roman"/>
          <w:color w:val="000000"/>
          <w:kern w:val="0"/>
          <w:sz w:val="32"/>
          <w:szCs w:val="32"/>
        </w:rPr>
        <w:t>；盘龙区财务服务中心（2019年12月10日根据</w:t>
      </w:r>
      <w:r>
        <w:rPr>
          <w:rFonts w:hint="default" w:ascii="Times New Roman" w:hAnsi="Times New Roman" w:eastAsia="仿宋_GB2312" w:cs="Times New Roman"/>
          <w:color w:val="000000"/>
          <w:kern w:val="0"/>
          <w:sz w:val="32"/>
          <w:szCs w:val="32"/>
          <w:lang w:eastAsia="ar-SA"/>
        </w:rPr>
        <w:t>盘机编复〔201</w:t>
      </w:r>
      <w:r>
        <w:rPr>
          <w:rFonts w:hint="default" w:ascii="Times New Roman" w:hAnsi="Times New Roman" w:eastAsia="仿宋_GB2312" w:cs="Times New Roman"/>
          <w:color w:val="000000"/>
          <w:kern w:val="0"/>
          <w:sz w:val="32"/>
          <w:szCs w:val="32"/>
        </w:rPr>
        <w:t>9</w:t>
      </w:r>
      <w:r>
        <w:rPr>
          <w:rFonts w:hint="default" w:ascii="Times New Roman" w:hAnsi="Times New Roman" w:eastAsia="仿宋_GB2312" w:cs="Times New Roman"/>
          <w:color w:val="000000"/>
          <w:kern w:val="0"/>
          <w:sz w:val="32"/>
          <w:szCs w:val="32"/>
          <w:lang w:eastAsia="ar-SA"/>
        </w:rPr>
        <w:t>〕</w:t>
      </w:r>
      <w:r>
        <w:rPr>
          <w:rFonts w:hint="default" w:ascii="Times New Roman" w:hAnsi="Times New Roman" w:eastAsia="仿宋_GB2312" w:cs="Times New Roman"/>
          <w:color w:val="000000"/>
          <w:kern w:val="0"/>
          <w:sz w:val="32"/>
          <w:szCs w:val="32"/>
        </w:rPr>
        <w:t>9</w:t>
      </w:r>
      <w:r>
        <w:rPr>
          <w:rFonts w:hint="default" w:ascii="Times New Roman" w:hAnsi="Times New Roman" w:eastAsia="仿宋_GB2312" w:cs="Times New Roman"/>
          <w:color w:val="000000"/>
          <w:kern w:val="0"/>
          <w:sz w:val="32"/>
          <w:szCs w:val="32"/>
          <w:lang w:eastAsia="ar-SA"/>
        </w:rPr>
        <w:t>号成立</w:t>
      </w:r>
      <w:r>
        <w:rPr>
          <w:rFonts w:hint="default" w:ascii="Times New Roman" w:hAnsi="Times New Roman" w:eastAsia="仿宋_GB2312" w:cs="Times New Roman"/>
          <w:color w:val="000000"/>
          <w:kern w:val="0"/>
          <w:sz w:val="32"/>
          <w:szCs w:val="32"/>
        </w:rPr>
        <w:t>）</w:t>
      </w:r>
      <w:r>
        <w:rPr>
          <w:rFonts w:hint="default" w:ascii="Times New Roman" w:hAnsi="Times New Roman" w:eastAsia="仿宋_GB2312" w:cs="Times New Roman"/>
          <w:color w:val="000000"/>
          <w:kern w:val="0"/>
          <w:sz w:val="32"/>
          <w:szCs w:val="32"/>
          <w:lang w:eastAsia="ar-SA"/>
        </w:rPr>
        <w:t>。在</w:t>
      </w:r>
      <w:r>
        <w:rPr>
          <w:rFonts w:hint="default" w:ascii="Times New Roman" w:hAnsi="Times New Roman" w:eastAsia="仿宋_GB2312" w:cs="Times New Roman"/>
          <w:bCs/>
          <w:sz w:val="32"/>
          <w:szCs w:val="32"/>
        </w:rPr>
        <w:t>在12个街道办事处分别设财政所</w:t>
      </w:r>
      <w:r>
        <w:rPr>
          <w:rFonts w:hint="default" w:ascii="Times New Roman" w:hAnsi="Times New Roman" w:eastAsia="仿宋_GB2312" w:cs="Times New Roman"/>
          <w:color w:val="000000"/>
          <w:kern w:val="0"/>
          <w:sz w:val="32"/>
          <w:szCs w:val="32"/>
          <w:lang w:eastAsia="ar-SA"/>
        </w:rPr>
        <w:t>。截止20</w:t>
      </w:r>
      <w:r>
        <w:rPr>
          <w:rFonts w:hint="default" w:ascii="Times New Roman" w:hAnsi="Times New Roman" w:eastAsia="仿宋_GB2312" w:cs="Times New Roman"/>
          <w:color w:val="000000"/>
          <w:kern w:val="0"/>
          <w:sz w:val="32"/>
          <w:szCs w:val="32"/>
        </w:rPr>
        <w:t>20</w:t>
      </w:r>
      <w:r>
        <w:rPr>
          <w:rFonts w:hint="default" w:ascii="Times New Roman" w:hAnsi="Times New Roman" w:eastAsia="仿宋_GB2312" w:cs="Times New Roman"/>
          <w:color w:val="000000"/>
          <w:kern w:val="0"/>
          <w:sz w:val="32"/>
          <w:szCs w:val="32"/>
          <w:lang w:eastAsia="ar-SA"/>
        </w:rPr>
        <w:t>年12月31日，局机关共有行政编制</w:t>
      </w:r>
      <w:r>
        <w:rPr>
          <w:rFonts w:hint="default" w:ascii="Times New Roman" w:hAnsi="Times New Roman" w:eastAsia="仿宋_GB2312" w:cs="Times New Roman"/>
          <w:color w:val="000000"/>
          <w:kern w:val="0"/>
          <w:sz w:val="32"/>
          <w:szCs w:val="32"/>
        </w:rPr>
        <w:t>30</w:t>
      </w:r>
      <w:r>
        <w:rPr>
          <w:rFonts w:hint="default" w:ascii="Times New Roman" w:hAnsi="Times New Roman" w:eastAsia="仿宋_GB2312" w:cs="Times New Roman"/>
          <w:color w:val="000000"/>
          <w:kern w:val="0"/>
          <w:sz w:val="32"/>
          <w:szCs w:val="32"/>
          <w:lang w:eastAsia="ar-SA"/>
        </w:rPr>
        <w:t>名，工勤编制1名，</w:t>
      </w:r>
      <w:r>
        <w:rPr>
          <w:rFonts w:hint="default" w:ascii="Times New Roman" w:hAnsi="Times New Roman" w:eastAsia="仿宋_GB2312" w:cs="Times New Roman"/>
          <w:color w:val="000000"/>
          <w:kern w:val="0"/>
          <w:sz w:val="32"/>
          <w:szCs w:val="32"/>
        </w:rPr>
        <w:t>参照公务员法管理的事业单位编制49人，</w:t>
      </w:r>
      <w:r>
        <w:rPr>
          <w:rFonts w:hint="default" w:ascii="Times New Roman" w:hAnsi="Times New Roman" w:eastAsia="仿宋_GB2312" w:cs="Times New Roman"/>
          <w:color w:val="000000"/>
          <w:kern w:val="0"/>
          <w:sz w:val="32"/>
          <w:szCs w:val="32"/>
          <w:lang w:eastAsia="ar-SA"/>
        </w:rPr>
        <w:t>事业编制</w:t>
      </w:r>
      <w:r>
        <w:rPr>
          <w:rFonts w:hint="default" w:ascii="Times New Roman" w:hAnsi="Times New Roman" w:eastAsia="仿宋_GB2312" w:cs="Times New Roman"/>
          <w:color w:val="000000"/>
          <w:kern w:val="0"/>
          <w:sz w:val="32"/>
          <w:szCs w:val="32"/>
        </w:rPr>
        <w:t>27</w:t>
      </w:r>
      <w:r>
        <w:rPr>
          <w:rFonts w:hint="default" w:ascii="Times New Roman" w:hAnsi="Times New Roman" w:eastAsia="仿宋_GB2312" w:cs="Times New Roman"/>
          <w:color w:val="000000"/>
          <w:kern w:val="0"/>
          <w:sz w:val="32"/>
          <w:szCs w:val="32"/>
          <w:lang w:eastAsia="ar-SA"/>
        </w:rPr>
        <w:t>名；实有人数</w:t>
      </w:r>
      <w:r>
        <w:rPr>
          <w:rFonts w:hint="default" w:ascii="Times New Roman" w:hAnsi="Times New Roman" w:eastAsia="仿宋_GB2312" w:cs="Times New Roman"/>
          <w:color w:val="000000"/>
          <w:kern w:val="0"/>
          <w:sz w:val="32"/>
          <w:szCs w:val="32"/>
        </w:rPr>
        <w:t>9</w:t>
      </w:r>
      <w:r>
        <w:rPr>
          <w:rFonts w:hint="eastAsia" w:ascii="Times New Roman" w:hAnsi="Times New Roman" w:eastAsia="仿宋_GB2312" w:cs="Times New Roman"/>
          <w:color w:val="000000"/>
          <w:kern w:val="0"/>
          <w:sz w:val="32"/>
          <w:szCs w:val="32"/>
          <w:lang w:val="en-US" w:eastAsia="zh-CN"/>
        </w:rPr>
        <w:t>7</w:t>
      </w:r>
      <w:r>
        <w:rPr>
          <w:rFonts w:hint="default" w:ascii="Times New Roman" w:hAnsi="Times New Roman" w:eastAsia="仿宋_GB2312" w:cs="Times New Roman"/>
          <w:color w:val="000000"/>
          <w:kern w:val="0"/>
          <w:sz w:val="32"/>
          <w:szCs w:val="32"/>
          <w:lang w:eastAsia="ar-SA"/>
        </w:rPr>
        <w:t>人，其中：在职</w:t>
      </w:r>
      <w:r>
        <w:rPr>
          <w:rFonts w:hint="eastAsia" w:ascii="Times New Roman" w:hAnsi="Times New Roman" w:eastAsia="仿宋_GB2312" w:cs="Times New Roman"/>
          <w:color w:val="000000"/>
          <w:kern w:val="0"/>
          <w:sz w:val="32"/>
          <w:szCs w:val="32"/>
          <w:lang w:val="en-US" w:eastAsia="zh-CN"/>
        </w:rPr>
        <w:t>78</w:t>
      </w:r>
      <w:r>
        <w:rPr>
          <w:rFonts w:hint="default" w:ascii="Times New Roman" w:hAnsi="Times New Roman" w:eastAsia="仿宋_GB2312" w:cs="Times New Roman"/>
          <w:color w:val="000000"/>
          <w:kern w:val="0"/>
          <w:sz w:val="32"/>
          <w:szCs w:val="32"/>
          <w:lang w:eastAsia="ar-SA"/>
        </w:rPr>
        <w:t>人（包括行政</w:t>
      </w:r>
      <w:r>
        <w:rPr>
          <w:rFonts w:hint="default" w:ascii="Times New Roman" w:hAnsi="Times New Roman" w:eastAsia="仿宋_GB2312" w:cs="Times New Roman"/>
          <w:color w:val="000000"/>
          <w:kern w:val="0"/>
          <w:sz w:val="32"/>
          <w:szCs w:val="32"/>
        </w:rPr>
        <w:t>2</w:t>
      </w:r>
      <w:r>
        <w:rPr>
          <w:rFonts w:hint="eastAsia" w:ascii="Times New Roman" w:hAnsi="Times New Roman" w:eastAsia="仿宋_GB2312" w:cs="Times New Roman"/>
          <w:color w:val="000000"/>
          <w:kern w:val="0"/>
          <w:sz w:val="32"/>
          <w:szCs w:val="32"/>
          <w:lang w:val="en-US" w:eastAsia="zh-CN"/>
        </w:rPr>
        <w:t>6</w:t>
      </w:r>
      <w:r>
        <w:rPr>
          <w:rFonts w:hint="default" w:ascii="Times New Roman" w:hAnsi="Times New Roman" w:eastAsia="仿宋_GB2312" w:cs="Times New Roman"/>
          <w:color w:val="000000"/>
          <w:kern w:val="0"/>
          <w:sz w:val="32"/>
          <w:szCs w:val="32"/>
          <w:lang w:eastAsia="ar-SA"/>
        </w:rPr>
        <w:t>人、参照公务员法管理人员</w:t>
      </w:r>
      <w:r>
        <w:rPr>
          <w:rFonts w:hint="default" w:ascii="Times New Roman" w:hAnsi="Times New Roman" w:eastAsia="仿宋_GB2312" w:cs="Times New Roman"/>
          <w:color w:val="000000"/>
          <w:kern w:val="0"/>
          <w:sz w:val="32"/>
          <w:szCs w:val="32"/>
        </w:rPr>
        <w:t>35</w:t>
      </w:r>
      <w:r>
        <w:rPr>
          <w:rFonts w:hint="default" w:ascii="Times New Roman" w:hAnsi="Times New Roman" w:eastAsia="仿宋_GB2312" w:cs="Times New Roman"/>
          <w:color w:val="000000"/>
          <w:kern w:val="0"/>
          <w:sz w:val="32"/>
          <w:szCs w:val="32"/>
          <w:lang w:eastAsia="ar-SA"/>
        </w:rPr>
        <w:t>人、</w:t>
      </w:r>
      <w:r>
        <w:rPr>
          <w:rFonts w:hint="eastAsia" w:ascii="Times New Roman" w:hAnsi="Times New Roman" w:eastAsia="仿宋_GB2312" w:cs="Times New Roman"/>
          <w:color w:val="000000"/>
          <w:kern w:val="0"/>
          <w:sz w:val="32"/>
          <w:szCs w:val="32"/>
          <w:lang w:eastAsia="zh-CN"/>
        </w:rPr>
        <w:t>工勤</w:t>
      </w:r>
      <w:r>
        <w:rPr>
          <w:rFonts w:hint="eastAsia" w:ascii="Times New Roman" w:hAnsi="Times New Roman" w:eastAsia="仿宋_GB2312" w:cs="Times New Roman"/>
          <w:color w:val="000000"/>
          <w:kern w:val="0"/>
          <w:sz w:val="32"/>
          <w:szCs w:val="32"/>
          <w:lang w:val="en-US" w:eastAsia="zh-CN"/>
        </w:rPr>
        <w:t>1人、</w:t>
      </w:r>
      <w:r>
        <w:rPr>
          <w:rFonts w:hint="default" w:ascii="Times New Roman" w:hAnsi="Times New Roman" w:eastAsia="仿宋_GB2312" w:cs="Times New Roman"/>
          <w:color w:val="000000"/>
          <w:kern w:val="0"/>
          <w:sz w:val="32"/>
          <w:szCs w:val="32"/>
          <w:lang w:eastAsia="ar-SA"/>
        </w:rPr>
        <w:t>事业</w:t>
      </w:r>
      <w:r>
        <w:rPr>
          <w:rFonts w:hint="default" w:ascii="Times New Roman" w:hAnsi="Times New Roman" w:eastAsia="仿宋_GB2312" w:cs="Times New Roman"/>
          <w:color w:val="000000"/>
          <w:kern w:val="0"/>
          <w:sz w:val="32"/>
          <w:szCs w:val="32"/>
        </w:rPr>
        <w:t>16</w:t>
      </w:r>
      <w:r>
        <w:rPr>
          <w:rFonts w:hint="default" w:ascii="Times New Roman" w:hAnsi="Times New Roman" w:eastAsia="仿宋_GB2312" w:cs="Times New Roman"/>
          <w:color w:val="000000"/>
          <w:kern w:val="0"/>
          <w:sz w:val="32"/>
          <w:szCs w:val="32"/>
          <w:lang w:eastAsia="ar-SA"/>
        </w:rPr>
        <w:t>人），退休</w:t>
      </w:r>
      <w:r>
        <w:rPr>
          <w:rFonts w:hint="default" w:ascii="Times New Roman" w:hAnsi="Times New Roman" w:eastAsia="仿宋_GB2312" w:cs="Times New Roman"/>
          <w:color w:val="000000"/>
          <w:kern w:val="0"/>
          <w:sz w:val="32"/>
          <w:szCs w:val="32"/>
        </w:rPr>
        <w:t>19</w:t>
      </w:r>
      <w:r>
        <w:rPr>
          <w:rFonts w:hint="default" w:ascii="Times New Roman" w:hAnsi="Times New Roman" w:eastAsia="仿宋_GB2312" w:cs="Times New Roman"/>
          <w:color w:val="000000"/>
          <w:kern w:val="0"/>
          <w:sz w:val="32"/>
          <w:szCs w:val="32"/>
          <w:lang w:eastAsia="ar-SA"/>
        </w:rPr>
        <w:t>人。</w:t>
      </w:r>
    </w:p>
    <w:p>
      <w:pPr>
        <w:topLinePunct/>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（二）部门职能</w:t>
      </w:r>
    </w:p>
    <w:p>
      <w:pPr>
        <w:topLinePunct/>
        <w:spacing w:line="560" w:lineRule="exact"/>
        <w:ind w:firstLine="640" w:firstLineChars="200"/>
        <w:rPr>
          <w:rFonts w:hint="default" w:ascii="Times New Roman" w:hAnsi="Times New Roman" w:eastAsia="仿宋_GB2312" w:cs="Times New Roman"/>
          <w:color w:val="000000"/>
          <w:kern w:val="0"/>
          <w:sz w:val="32"/>
          <w:szCs w:val="32"/>
          <w:lang w:eastAsia="ar-SA"/>
        </w:rPr>
      </w:pPr>
      <w:r>
        <w:rPr>
          <w:rFonts w:hint="default" w:ascii="Times New Roman" w:hAnsi="Times New Roman" w:eastAsia="仿宋_GB2312" w:cs="Times New Roman"/>
          <w:color w:val="000000"/>
          <w:kern w:val="0"/>
          <w:sz w:val="32"/>
          <w:szCs w:val="32"/>
          <w:lang w:eastAsia="ar-SA"/>
        </w:rPr>
        <w:t>盘龙区财政局</w:t>
      </w:r>
      <w:r>
        <w:rPr>
          <w:rFonts w:hint="default" w:ascii="Times New Roman" w:hAnsi="Times New Roman" w:eastAsia="仿宋_GB2312" w:cs="Times New Roman"/>
          <w:color w:val="000000"/>
          <w:kern w:val="0"/>
          <w:sz w:val="32"/>
          <w:szCs w:val="32"/>
        </w:rPr>
        <w:t>的部门职能</w:t>
      </w:r>
      <w:r>
        <w:rPr>
          <w:rFonts w:hint="default" w:ascii="Times New Roman" w:hAnsi="Times New Roman" w:eastAsia="仿宋_GB2312" w:cs="Times New Roman"/>
          <w:color w:val="000000"/>
          <w:kern w:val="0"/>
          <w:sz w:val="32"/>
          <w:szCs w:val="32"/>
          <w:lang w:eastAsia="ar-SA"/>
        </w:rPr>
        <w:t>是贯彻执行国家有关财政、税收、国有资产管理、政府采购等方面的法律法规和政策，拟订和执行区财政、税收、国有资产管理的发展战略、政策、规划、改革方案。</w:t>
      </w:r>
    </w:p>
    <w:p>
      <w:pPr>
        <w:topLinePunct/>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color w:val="000000"/>
          <w:kern w:val="0"/>
          <w:sz w:val="32"/>
          <w:szCs w:val="32"/>
          <w:lang w:eastAsia="zh-CN"/>
        </w:rPr>
        <w:t>（三）</w:t>
      </w:r>
      <w:r>
        <w:rPr>
          <w:rFonts w:hint="eastAsia" w:ascii="楷体_GB2312" w:hAnsi="楷体_GB2312" w:eastAsia="楷体_GB2312" w:cs="楷体_GB2312"/>
          <w:sz w:val="32"/>
          <w:szCs w:val="32"/>
        </w:rPr>
        <w:t>部门工作完成情况</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基本支出</w:t>
      </w:r>
    </w:p>
    <w:p>
      <w:pPr>
        <w:widowControl/>
        <w:shd w:val="clear" w:color="auto" w:fill="FFFFFF"/>
        <w:suppressAutoHyphens/>
        <w:spacing w:line="560" w:lineRule="exact"/>
        <w:ind w:firstLine="640" w:firstLineChars="200"/>
        <w:rPr>
          <w:rFonts w:hint="default" w:ascii="Times New Roman" w:hAnsi="Times New Roman" w:eastAsia="仿宋_GB2312" w:cs="Times New Roman"/>
          <w:color w:val="000000"/>
          <w:kern w:val="0"/>
          <w:sz w:val="32"/>
          <w:szCs w:val="32"/>
          <w:lang w:eastAsia="ar-SA"/>
        </w:rPr>
      </w:pPr>
      <w:r>
        <w:rPr>
          <w:rFonts w:hint="default" w:ascii="Times New Roman" w:hAnsi="Times New Roman" w:eastAsia="仿宋_GB2312" w:cs="Times New Roman"/>
          <w:color w:val="000000"/>
          <w:kern w:val="0"/>
          <w:sz w:val="32"/>
          <w:szCs w:val="32"/>
          <w:lang w:eastAsia="ar-SA"/>
        </w:rPr>
        <w:t>20</w:t>
      </w:r>
      <w:r>
        <w:rPr>
          <w:rFonts w:hint="default" w:ascii="Times New Roman" w:hAnsi="Times New Roman" w:eastAsia="仿宋_GB2312" w:cs="Times New Roman"/>
          <w:color w:val="000000"/>
          <w:kern w:val="0"/>
          <w:sz w:val="32"/>
          <w:szCs w:val="32"/>
        </w:rPr>
        <w:t>20</w:t>
      </w:r>
      <w:r>
        <w:rPr>
          <w:rFonts w:hint="default" w:ascii="Times New Roman" w:hAnsi="Times New Roman" w:eastAsia="仿宋_GB2312" w:cs="Times New Roman"/>
          <w:color w:val="000000"/>
          <w:kern w:val="0"/>
          <w:sz w:val="32"/>
          <w:szCs w:val="32"/>
          <w:lang w:eastAsia="ar-SA"/>
        </w:rPr>
        <w:t>年度基本支出</w:t>
      </w:r>
      <w:r>
        <w:rPr>
          <w:rFonts w:hint="default" w:ascii="Times New Roman" w:hAnsi="Times New Roman" w:eastAsia="仿宋_GB2312" w:cs="Times New Roman"/>
          <w:color w:val="000000"/>
          <w:kern w:val="0"/>
          <w:sz w:val="32"/>
          <w:szCs w:val="32"/>
        </w:rPr>
        <w:t>1</w:t>
      </w:r>
      <w:r>
        <w:rPr>
          <w:rFonts w:hint="eastAsia"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567.68</w:t>
      </w:r>
      <w:r>
        <w:rPr>
          <w:rFonts w:hint="default" w:ascii="Times New Roman" w:hAnsi="Times New Roman" w:eastAsia="仿宋_GB2312" w:cs="Times New Roman"/>
          <w:color w:val="000000"/>
          <w:kern w:val="0"/>
          <w:sz w:val="32"/>
          <w:szCs w:val="32"/>
          <w:lang w:eastAsia="ar-SA"/>
        </w:rPr>
        <w:t>万元，包括：工资福利支出</w:t>
      </w:r>
      <w:r>
        <w:rPr>
          <w:rFonts w:hint="default" w:ascii="Times New Roman" w:hAnsi="Times New Roman" w:eastAsia="仿宋_GB2312" w:cs="Times New Roman"/>
          <w:color w:val="000000"/>
          <w:kern w:val="0"/>
          <w:sz w:val="32"/>
          <w:szCs w:val="32"/>
        </w:rPr>
        <w:t>1</w:t>
      </w:r>
      <w:r>
        <w:rPr>
          <w:rFonts w:hint="eastAsia" w:eastAsia="仿宋_GB2312" w:cs="Times New Roman"/>
          <w:color w:val="000000"/>
          <w:kern w:val="0"/>
          <w:sz w:val="32"/>
          <w:szCs w:val="32"/>
          <w:lang w:val="en-US" w:eastAsia="zh-CN"/>
        </w:rPr>
        <w:t>,</w:t>
      </w:r>
      <w:r>
        <w:rPr>
          <w:rFonts w:hint="default" w:ascii="Times New Roman" w:hAnsi="Times New Roman" w:eastAsia="仿宋_GB2312" w:cs="Times New Roman"/>
          <w:color w:val="000000"/>
          <w:kern w:val="0"/>
          <w:sz w:val="32"/>
          <w:szCs w:val="32"/>
        </w:rPr>
        <w:t>438.22</w:t>
      </w:r>
      <w:r>
        <w:rPr>
          <w:rFonts w:hint="default" w:ascii="Times New Roman" w:hAnsi="Times New Roman" w:eastAsia="仿宋_GB2312" w:cs="Times New Roman"/>
          <w:color w:val="000000"/>
          <w:kern w:val="0"/>
          <w:sz w:val="32"/>
          <w:szCs w:val="32"/>
          <w:lang w:eastAsia="ar-SA"/>
        </w:rPr>
        <w:t>万元，商品和服务支出</w:t>
      </w:r>
      <w:r>
        <w:rPr>
          <w:rFonts w:hint="default" w:ascii="Times New Roman" w:hAnsi="Times New Roman" w:eastAsia="仿宋_GB2312" w:cs="Times New Roman"/>
          <w:color w:val="000000"/>
          <w:kern w:val="0"/>
          <w:sz w:val="32"/>
          <w:szCs w:val="32"/>
        </w:rPr>
        <w:t>127.58</w:t>
      </w:r>
      <w:r>
        <w:rPr>
          <w:rFonts w:hint="default" w:ascii="Times New Roman" w:hAnsi="Times New Roman" w:eastAsia="仿宋_GB2312" w:cs="Times New Roman"/>
          <w:color w:val="000000"/>
          <w:kern w:val="0"/>
          <w:sz w:val="32"/>
          <w:szCs w:val="32"/>
          <w:lang w:eastAsia="ar-SA"/>
        </w:rPr>
        <w:t>万元，对个人和家庭的补助</w:t>
      </w:r>
      <w:r>
        <w:rPr>
          <w:rFonts w:hint="default" w:ascii="Times New Roman" w:hAnsi="Times New Roman" w:eastAsia="仿宋_GB2312" w:cs="Times New Roman"/>
          <w:color w:val="000000"/>
          <w:kern w:val="0"/>
          <w:sz w:val="32"/>
          <w:szCs w:val="32"/>
        </w:rPr>
        <w:t>1.88</w:t>
      </w:r>
      <w:r>
        <w:rPr>
          <w:rFonts w:hint="default" w:ascii="Times New Roman" w:hAnsi="Times New Roman" w:eastAsia="仿宋_GB2312" w:cs="Times New Roman"/>
          <w:color w:val="000000"/>
          <w:kern w:val="0"/>
          <w:sz w:val="32"/>
          <w:szCs w:val="32"/>
          <w:lang w:eastAsia="ar-SA"/>
        </w:rPr>
        <w:t>万元。20</w:t>
      </w:r>
      <w:r>
        <w:rPr>
          <w:rFonts w:hint="default" w:ascii="Times New Roman" w:hAnsi="Times New Roman" w:eastAsia="仿宋_GB2312" w:cs="Times New Roman"/>
          <w:color w:val="000000"/>
          <w:kern w:val="0"/>
          <w:sz w:val="32"/>
          <w:szCs w:val="32"/>
        </w:rPr>
        <w:t>20年</w:t>
      </w:r>
      <w:r>
        <w:rPr>
          <w:rFonts w:hint="default" w:ascii="Times New Roman" w:hAnsi="Times New Roman" w:eastAsia="仿宋_GB2312" w:cs="Times New Roman"/>
          <w:color w:val="000000"/>
          <w:kern w:val="0"/>
          <w:sz w:val="32"/>
          <w:szCs w:val="32"/>
          <w:lang w:eastAsia="ar-SA"/>
        </w:rPr>
        <w:t>度三公经费支出</w:t>
      </w:r>
      <w:r>
        <w:rPr>
          <w:rFonts w:hint="default" w:ascii="Times New Roman" w:hAnsi="Times New Roman" w:eastAsia="仿宋_GB2312" w:cs="Times New Roman"/>
          <w:color w:val="000000"/>
          <w:kern w:val="0"/>
          <w:sz w:val="32"/>
          <w:szCs w:val="32"/>
        </w:rPr>
        <w:t>0</w:t>
      </w:r>
      <w:r>
        <w:rPr>
          <w:rFonts w:hint="default" w:ascii="Times New Roman" w:hAnsi="Times New Roman" w:eastAsia="仿宋_GB2312" w:cs="Times New Roman"/>
          <w:color w:val="000000"/>
          <w:kern w:val="0"/>
          <w:sz w:val="32"/>
          <w:szCs w:val="32"/>
          <w:lang w:eastAsia="ar-SA"/>
        </w:rPr>
        <w:t>万元，其中：因公出国境费用</w:t>
      </w:r>
      <w:r>
        <w:rPr>
          <w:rFonts w:hint="default" w:ascii="Times New Roman" w:hAnsi="Times New Roman" w:eastAsia="仿宋_GB2312" w:cs="Times New Roman"/>
          <w:color w:val="000000"/>
          <w:kern w:val="0"/>
          <w:sz w:val="32"/>
          <w:szCs w:val="32"/>
        </w:rPr>
        <w:t>0</w:t>
      </w:r>
      <w:r>
        <w:rPr>
          <w:rFonts w:hint="default" w:ascii="Times New Roman" w:hAnsi="Times New Roman" w:eastAsia="仿宋_GB2312" w:cs="Times New Roman"/>
          <w:color w:val="000000"/>
          <w:kern w:val="0"/>
          <w:sz w:val="32"/>
          <w:szCs w:val="32"/>
          <w:lang w:eastAsia="ar-SA"/>
        </w:rPr>
        <w:t>万元，公务用车购置及运行维护费</w:t>
      </w:r>
      <w:r>
        <w:rPr>
          <w:rFonts w:hint="default" w:ascii="Times New Roman" w:hAnsi="Times New Roman" w:eastAsia="仿宋_GB2312" w:cs="Times New Roman"/>
          <w:color w:val="000000"/>
          <w:kern w:val="0"/>
          <w:sz w:val="32"/>
          <w:szCs w:val="32"/>
        </w:rPr>
        <w:t>0</w:t>
      </w:r>
      <w:r>
        <w:rPr>
          <w:rFonts w:hint="default" w:ascii="Times New Roman" w:hAnsi="Times New Roman" w:eastAsia="仿宋_GB2312" w:cs="Times New Roman"/>
          <w:color w:val="000000"/>
          <w:kern w:val="0"/>
          <w:sz w:val="32"/>
          <w:szCs w:val="32"/>
          <w:lang w:eastAsia="ar-SA"/>
        </w:rPr>
        <w:t>万元，公务接待费</w:t>
      </w:r>
      <w:r>
        <w:rPr>
          <w:rFonts w:hint="default" w:ascii="Times New Roman" w:hAnsi="Times New Roman" w:eastAsia="仿宋_GB2312" w:cs="Times New Roman"/>
          <w:color w:val="000000"/>
          <w:kern w:val="0"/>
          <w:sz w:val="32"/>
          <w:szCs w:val="32"/>
        </w:rPr>
        <w:t>0</w:t>
      </w:r>
      <w:r>
        <w:rPr>
          <w:rFonts w:hint="default" w:ascii="Times New Roman" w:hAnsi="Times New Roman" w:eastAsia="仿宋_GB2312" w:cs="Times New Roman"/>
          <w:color w:val="000000"/>
          <w:kern w:val="0"/>
          <w:sz w:val="32"/>
          <w:szCs w:val="32"/>
          <w:lang w:eastAsia="ar-SA"/>
        </w:rPr>
        <w:t>万元。</w:t>
      </w:r>
    </w:p>
    <w:p>
      <w:pPr>
        <w:keepNext w:val="0"/>
        <w:keepLines w:val="0"/>
        <w:pageBreakBefore w:val="0"/>
        <w:widowControl/>
        <w:numPr>
          <w:ilvl w:val="0"/>
          <w:numId w:val="0"/>
        </w:numPr>
        <w:shd w:val="clear" w:color="auto" w:fill="FFFFFF"/>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2.</w:t>
      </w:r>
      <w:r>
        <w:rPr>
          <w:rFonts w:hint="eastAsia" w:ascii="仿宋_GB2312" w:hAnsi="仿宋_GB2312" w:eastAsia="仿宋_GB2312" w:cs="仿宋_GB2312"/>
          <w:color w:val="000000"/>
          <w:kern w:val="0"/>
          <w:sz w:val="32"/>
          <w:szCs w:val="32"/>
        </w:rPr>
        <w:t>项目支出</w:t>
      </w:r>
    </w:p>
    <w:p>
      <w:pPr>
        <w:widowControl/>
        <w:shd w:val="clear" w:color="auto" w:fill="FFFFFF"/>
        <w:suppressAutoHyphens/>
        <w:spacing w:line="560" w:lineRule="exact"/>
        <w:ind w:firstLine="562" w:firstLineChars="200"/>
        <w:jc w:val="center"/>
        <w:rPr>
          <w:rFonts w:hint="default" w:ascii="Times New Roman" w:hAnsi="Times New Roman" w:eastAsia="仿宋_GB2312" w:cs="Times New Roman"/>
          <w:b/>
          <w:bCs/>
          <w:color w:val="000000"/>
          <w:kern w:val="0"/>
          <w:sz w:val="28"/>
          <w:szCs w:val="28"/>
        </w:rPr>
      </w:pPr>
      <w:r>
        <w:rPr>
          <w:rFonts w:hint="default" w:ascii="Times New Roman" w:hAnsi="Times New Roman" w:eastAsia="仿宋_GB2312" w:cs="Times New Roman"/>
          <w:b/>
          <w:bCs/>
          <w:color w:val="000000"/>
          <w:kern w:val="0"/>
          <w:sz w:val="28"/>
          <w:szCs w:val="28"/>
          <w:lang w:eastAsia="ar-SA"/>
        </w:rPr>
        <w:t>项目支出明细表</w:t>
      </w:r>
    </w:p>
    <w:p>
      <w:pPr>
        <w:widowControl/>
        <w:shd w:val="clear" w:color="auto" w:fill="FFFFFF"/>
        <w:suppressAutoHyphens/>
        <w:spacing w:line="560" w:lineRule="exact"/>
        <w:ind w:right="360" w:firstLine="480" w:firstLineChars="200"/>
        <w:jc w:val="right"/>
        <w:rPr>
          <w:rFonts w:hint="default" w:ascii="Times New Roman" w:hAnsi="Times New Roman" w:eastAsia="仿宋_GB2312" w:cs="Times New Roman"/>
          <w:bCs/>
          <w:color w:val="000000"/>
          <w:kern w:val="0"/>
          <w:sz w:val="24"/>
        </w:rPr>
      </w:pPr>
      <w:r>
        <w:rPr>
          <w:rFonts w:hint="default" w:ascii="Times New Roman" w:hAnsi="Times New Roman" w:eastAsia="仿宋_GB2312" w:cs="Times New Roman"/>
          <w:bCs/>
          <w:color w:val="000000"/>
          <w:kern w:val="0"/>
          <w:sz w:val="24"/>
        </w:rPr>
        <w:t>单位：元</w:t>
      </w:r>
    </w:p>
    <w:p>
      <w:pPr>
        <w:widowControl/>
        <w:shd w:val="clear" w:color="auto" w:fill="FFFFFF"/>
        <w:suppressAutoHyphens/>
        <w:spacing w:line="240" w:lineRule="auto"/>
        <w:rPr>
          <w:rFonts w:hint="eastAsia" w:ascii="Times New Roman" w:hAnsi="Times New Roman" w:eastAsia="楷体_GB2312" w:cs="Times New Roman"/>
          <w:color w:val="000000"/>
          <w:kern w:val="0"/>
          <w:sz w:val="32"/>
          <w:szCs w:val="32"/>
          <w:lang w:eastAsia="zh-CN"/>
        </w:rPr>
      </w:pPr>
      <w:r>
        <w:rPr>
          <w:rFonts w:hint="eastAsia" w:ascii="Times New Roman" w:hAnsi="Times New Roman" w:eastAsia="楷体_GB2312" w:cs="Times New Roman"/>
          <w:color w:val="000000"/>
          <w:kern w:val="0"/>
          <w:sz w:val="32"/>
          <w:szCs w:val="32"/>
          <w:lang w:eastAsia="zh-CN"/>
        </w:rPr>
        <w:drawing>
          <wp:inline distT="0" distB="0" distL="114300" distR="114300">
            <wp:extent cx="5269865" cy="3869055"/>
            <wp:effectExtent l="0" t="0" r="6985" b="17145"/>
            <wp:docPr id="2" name="图片 2" descr="项目支出明细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项目支出明细表"/>
                    <pic:cNvPicPr>
                      <a:picLocks noChangeAspect="1"/>
                    </pic:cNvPicPr>
                  </pic:nvPicPr>
                  <pic:blipFill>
                    <a:blip r:embed="rId8"/>
                    <a:stretch>
                      <a:fillRect/>
                    </a:stretch>
                  </pic:blipFill>
                  <pic:spPr>
                    <a:xfrm>
                      <a:off x="0" y="0"/>
                      <a:ext cx="5269865" cy="3869055"/>
                    </a:xfrm>
                    <a:prstGeom prst="rect">
                      <a:avLst/>
                    </a:prstGeom>
                  </pic:spPr>
                </pic:pic>
              </a:graphicData>
            </a:graphic>
          </wp:inline>
        </w:drawing>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部门管理制度</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《昆明市盘龙区财政局内部控制基本制度（试行）》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《昆明市盘龙区财政局预算管理内部控制制度（试行）》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《昆明市盘龙区财政局预算管理内部控制流程（试行）》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《昆明市盘龙区财政局收支管理内部控制制度（试行）》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《昆明市盘龙区财政局收支管理内部控制流程（试行）》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《昆明市盘龙区财政局采购管理内部控制制度（试行）》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《昆明市盘龙区财政局采购管理内部控制流程（试行）》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《昆明市盘龙区财政局资产管理内部控制制度（试行）》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《昆明市盘龙区财政局国有资产管理内部控制流程（试行）》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《昆明市盘龙区财政局合同管理内部控制制度（试行）》</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《昆明市盘龙区财政局合同管理内部控制流程（试行）》</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部门资金来源及使用情况</w:t>
      </w:r>
    </w:p>
    <w:p>
      <w:pPr>
        <w:shd w:val="clear" w:color="auto" w:fill="FFFFFF"/>
        <w:suppressAutoHyphens/>
        <w:spacing w:line="560" w:lineRule="exact"/>
        <w:ind w:firstLine="640" w:firstLineChars="200"/>
        <w:rPr>
          <w:rFonts w:hint="default" w:ascii="Times New Roman" w:hAnsi="Times New Roman" w:eastAsia="仿宋_GB2312" w:cs="Times New Roman"/>
          <w:sz w:val="32"/>
          <w:szCs w:val="32"/>
          <w:lang w:eastAsia="ar-SA"/>
        </w:rPr>
      </w:pPr>
      <w:r>
        <w:rPr>
          <w:rFonts w:hint="default" w:ascii="Times New Roman" w:hAnsi="Times New Roman" w:eastAsia="仿宋_GB2312" w:cs="Times New Roman"/>
          <w:sz w:val="32"/>
          <w:szCs w:val="32"/>
          <w:lang w:eastAsia="ar-SA"/>
        </w:rPr>
        <w:t>盘龙区财政局</w:t>
      </w:r>
      <w:r>
        <w:rPr>
          <w:rFonts w:hint="default" w:ascii="Times New Roman" w:hAnsi="Times New Roman" w:eastAsia="仿宋_GB2312" w:cs="Times New Roman"/>
          <w:sz w:val="32"/>
          <w:szCs w:val="32"/>
        </w:rPr>
        <w:t>（含国资委）</w:t>
      </w:r>
      <w:r>
        <w:rPr>
          <w:rFonts w:hint="default" w:ascii="Times New Roman" w:hAnsi="Times New Roman" w:eastAsia="仿宋_GB2312" w:cs="Times New Roman"/>
          <w:sz w:val="32"/>
          <w:szCs w:val="32"/>
          <w:lang w:eastAsia="ar-SA"/>
        </w:rPr>
        <w:t>20</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eastAsia="ar-SA"/>
        </w:rPr>
        <w:t>年年初预算资金为</w:t>
      </w:r>
      <w:r>
        <w:rPr>
          <w:rFonts w:hint="default" w:ascii="Times New Roman" w:hAnsi="Times New Roman" w:eastAsia="仿宋_GB2312" w:cs="Times New Roman"/>
          <w:sz w:val="32"/>
          <w:szCs w:val="32"/>
        </w:rPr>
        <w:t>15</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663.39万元（其中：区财政局2</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206.59</w:t>
      </w:r>
      <w:r>
        <w:rPr>
          <w:rFonts w:hint="default" w:ascii="Times New Roman" w:hAnsi="Times New Roman" w:eastAsia="仿宋_GB2312" w:cs="Times New Roman"/>
          <w:sz w:val="32"/>
          <w:szCs w:val="32"/>
          <w:lang w:eastAsia="ar-SA"/>
        </w:rPr>
        <w:t>万元，</w:t>
      </w:r>
      <w:r>
        <w:rPr>
          <w:rFonts w:hint="default" w:ascii="Times New Roman" w:hAnsi="Times New Roman" w:eastAsia="仿宋_GB2312" w:cs="Times New Roman"/>
          <w:sz w:val="32"/>
          <w:szCs w:val="32"/>
        </w:rPr>
        <w:t>区国资委13</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456.8万元），</w:t>
      </w:r>
      <w:r>
        <w:rPr>
          <w:rFonts w:hint="default" w:ascii="Times New Roman" w:hAnsi="Times New Roman" w:eastAsia="仿宋_GB2312" w:cs="Times New Roman"/>
          <w:sz w:val="32"/>
          <w:szCs w:val="32"/>
          <w:lang w:eastAsia="ar-SA"/>
        </w:rPr>
        <w:t>调整预算</w:t>
      </w:r>
      <w:r>
        <w:rPr>
          <w:rFonts w:hint="default" w:ascii="Times New Roman" w:hAnsi="Times New Roman" w:eastAsia="仿宋_GB2312" w:cs="Times New Roman"/>
          <w:sz w:val="32"/>
          <w:szCs w:val="32"/>
        </w:rPr>
        <w:t>数16</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052.32</w:t>
      </w:r>
      <w:r>
        <w:rPr>
          <w:rFonts w:hint="default" w:ascii="Times New Roman" w:hAnsi="Times New Roman" w:eastAsia="仿宋_GB2312" w:cs="Times New Roman"/>
          <w:sz w:val="32"/>
          <w:szCs w:val="32"/>
          <w:lang w:eastAsia="ar-SA"/>
        </w:rPr>
        <w:t>万元</w:t>
      </w:r>
      <w:r>
        <w:rPr>
          <w:rFonts w:hint="default" w:ascii="Times New Roman" w:hAnsi="Times New Roman" w:eastAsia="仿宋_GB2312" w:cs="Times New Roman"/>
          <w:sz w:val="32"/>
          <w:szCs w:val="32"/>
        </w:rPr>
        <w:t>（其中：区财政局2</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595.52万元，区国资委13</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456.8万元）</w:t>
      </w:r>
      <w:r>
        <w:rPr>
          <w:rFonts w:hint="default" w:ascii="Times New Roman" w:hAnsi="Times New Roman" w:eastAsia="仿宋_GB2312" w:cs="Times New Roman"/>
          <w:sz w:val="32"/>
          <w:szCs w:val="32"/>
          <w:lang w:eastAsia="ar-SA"/>
        </w:rPr>
        <w:t>。</w:t>
      </w:r>
    </w:p>
    <w:p>
      <w:pPr>
        <w:topLinePunct/>
        <w:spacing w:line="560" w:lineRule="exact"/>
        <w:ind w:firstLine="640" w:firstLineChars="200"/>
        <w:rPr>
          <w:rFonts w:hint="default" w:ascii="Times New Roman" w:hAnsi="Times New Roman" w:eastAsia="仿宋_GB2312" w:cs="Times New Roman"/>
          <w:sz w:val="32"/>
          <w:szCs w:val="32"/>
          <w:lang w:eastAsia="ar-SA"/>
        </w:rPr>
      </w:pPr>
      <w:r>
        <w:rPr>
          <w:rFonts w:hint="default" w:ascii="Times New Roman" w:hAnsi="Times New Roman" w:eastAsia="仿宋_GB2312" w:cs="Times New Roman"/>
          <w:sz w:val="32"/>
          <w:szCs w:val="32"/>
          <w:lang w:eastAsia="ar-SA"/>
        </w:rPr>
        <w:t>20</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eastAsia="ar-SA"/>
        </w:rPr>
        <w:t>年实际发生支出</w:t>
      </w:r>
      <w:r>
        <w:rPr>
          <w:rFonts w:hint="default" w:ascii="Times New Roman" w:hAnsi="Times New Roman" w:eastAsia="仿宋_GB2312" w:cs="Times New Roman"/>
          <w:sz w:val="32"/>
          <w:szCs w:val="32"/>
        </w:rPr>
        <w:t>16</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051.59万元（其中：区财政局2</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594.79</w:t>
      </w:r>
      <w:r>
        <w:rPr>
          <w:rFonts w:hint="default" w:ascii="Times New Roman" w:hAnsi="Times New Roman" w:eastAsia="仿宋_GB2312" w:cs="Times New Roman"/>
          <w:sz w:val="32"/>
          <w:szCs w:val="32"/>
          <w:lang w:eastAsia="ar-SA"/>
        </w:rPr>
        <w:t>万元，</w:t>
      </w:r>
      <w:r>
        <w:rPr>
          <w:rFonts w:hint="default" w:ascii="Times New Roman" w:hAnsi="Times New Roman" w:eastAsia="仿宋_GB2312" w:cs="Times New Roman"/>
          <w:sz w:val="32"/>
          <w:szCs w:val="32"/>
        </w:rPr>
        <w:t>区国资委13</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456.8万元），具体列支</w:t>
      </w:r>
      <w:r>
        <w:rPr>
          <w:rFonts w:hint="default" w:ascii="Times New Roman" w:hAnsi="Times New Roman" w:eastAsia="仿宋_GB2312" w:cs="Times New Roman"/>
          <w:sz w:val="32"/>
          <w:szCs w:val="32"/>
          <w:lang w:eastAsia="ar-SA"/>
        </w:rPr>
        <w:t>基本支出</w:t>
      </w:r>
      <w:r>
        <w:rPr>
          <w:rFonts w:hint="default" w:ascii="Times New Roman" w:hAnsi="Times New Roman" w:eastAsia="仿宋_GB2312" w:cs="Times New Roman"/>
          <w:sz w:val="32"/>
          <w:szCs w:val="32"/>
        </w:rPr>
        <w:t>1</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567.68</w:t>
      </w:r>
      <w:r>
        <w:rPr>
          <w:rFonts w:hint="default" w:ascii="Times New Roman" w:hAnsi="Times New Roman" w:eastAsia="仿宋_GB2312" w:cs="Times New Roman"/>
          <w:sz w:val="32"/>
          <w:szCs w:val="32"/>
          <w:lang w:eastAsia="ar-SA"/>
        </w:rPr>
        <w:t>万元，</w:t>
      </w:r>
      <w:r>
        <w:rPr>
          <w:rFonts w:hint="default" w:ascii="Times New Roman" w:hAnsi="Times New Roman" w:eastAsia="仿宋_GB2312" w:cs="Times New Roman"/>
          <w:sz w:val="32"/>
          <w:szCs w:val="32"/>
        </w:rPr>
        <w:t>列支</w:t>
      </w:r>
      <w:r>
        <w:rPr>
          <w:rFonts w:hint="default" w:ascii="Times New Roman" w:hAnsi="Times New Roman" w:eastAsia="仿宋_GB2312" w:cs="Times New Roman"/>
          <w:sz w:val="32"/>
          <w:szCs w:val="32"/>
          <w:lang w:eastAsia="ar-SA"/>
        </w:rPr>
        <w:t>项目支出</w:t>
      </w:r>
      <w:r>
        <w:rPr>
          <w:rFonts w:hint="default" w:ascii="Times New Roman" w:hAnsi="Times New Roman" w:eastAsia="仿宋_GB2312" w:cs="Times New Roman"/>
          <w:sz w:val="32"/>
          <w:szCs w:val="32"/>
        </w:rPr>
        <w:t>14</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t>483.90</w:t>
      </w:r>
      <w:r>
        <w:rPr>
          <w:rFonts w:hint="default" w:ascii="Times New Roman" w:hAnsi="Times New Roman" w:eastAsia="仿宋_GB2312" w:cs="Times New Roman"/>
          <w:sz w:val="32"/>
          <w:szCs w:val="32"/>
          <w:lang w:eastAsia="ar-SA"/>
        </w:rPr>
        <w:t>万元。年初财政拨款结转和结余调整预算数为</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eastAsia="ar-SA"/>
        </w:rPr>
        <w:t>万元，年末项目支出结余</w:t>
      </w:r>
      <w:r>
        <w:rPr>
          <w:rFonts w:hint="default" w:ascii="Times New Roman" w:hAnsi="Times New Roman" w:eastAsia="仿宋_GB2312" w:cs="Times New Roman"/>
          <w:sz w:val="32"/>
          <w:szCs w:val="32"/>
        </w:rPr>
        <w:t>0.73</w:t>
      </w:r>
      <w:r>
        <w:rPr>
          <w:rFonts w:hint="default" w:ascii="Times New Roman" w:hAnsi="Times New Roman" w:eastAsia="仿宋_GB2312" w:cs="Times New Roman"/>
          <w:sz w:val="32"/>
          <w:szCs w:val="32"/>
          <w:lang w:eastAsia="ar-SA"/>
        </w:rPr>
        <w:t>万元。</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政府采购情况</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无</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（七）</w:t>
      </w:r>
      <w:r>
        <w:rPr>
          <w:rFonts w:hint="eastAsia" w:ascii="楷体_GB2312" w:hAnsi="楷体_GB2312" w:eastAsia="楷体_GB2312" w:cs="楷体_GB2312"/>
          <w:sz w:val="32"/>
          <w:szCs w:val="32"/>
        </w:rPr>
        <w:t>固定资产情况</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ar-SA"/>
        </w:rPr>
        <w:t>盘龙区财政局20</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ar-SA"/>
        </w:rPr>
        <w:t>年</w:t>
      </w:r>
      <w:r>
        <w:rPr>
          <w:rFonts w:hint="default" w:ascii="Times New Roman" w:hAnsi="Times New Roman" w:eastAsia="仿宋_GB2312" w:cs="Times New Roman"/>
          <w:sz w:val="32"/>
          <w:szCs w:val="32"/>
        </w:rPr>
        <w:t>年初价值为814.20万元，其中：土地、房屋及建筑物440.77万元，通用设备295.74万元，专用设备2.88万元，家具、用具、装具及动植物74.80万元。</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ar-SA"/>
        </w:rPr>
        <w:t>盘龙区财政局20</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eastAsia="ar-SA"/>
        </w:rPr>
        <w:t>年</w:t>
      </w:r>
      <w:r>
        <w:rPr>
          <w:rFonts w:hint="default" w:ascii="Times New Roman" w:hAnsi="Times New Roman" w:eastAsia="仿宋_GB2312" w:cs="Times New Roman"/>
          <w:sz w:val="32"/>
          <w:szCs w:val="32"/>
        </w:rPr>
        <w:t>年末价值为</w:t>
      </w:r>
      <w:r>
        <w:rPr>
          <w:rFonts w:hint="default" w:ascii="Times New Roman" w:hAnsi="Times New Roman" w:eastAsia="仿宋_GB2312" w:cs="Times New Roman"/>
          <w:sz w:val="32"/>
          <w:szCs w:val="32"/>
          <w:highlight w:val="none"/>
          <w:lang w:val="en-US" w:eastAsia="zh-CN"/>
        </w:rPr>
        <w:t>821.76</w:t>
      </w:r>
      <w:r>
        <w:rPr>
          <w:rFonts w:hint="default" w:ascii="Times New Roman" w:hAnsi="Times New Roman" w:eastAsia="仿宋_GB2312" w:cs="Times New Roman"/>
          <w:sz w:val="32"/>
          <w:szCs w:val="32"/>
          <w:highlight w:val="none"/>
        </w:rPr>
        <w:t>万元，其中：土地、房屋及建筑物</w:t>
      </w:r>
      <w:r>
        <w:rPr>
          <w:rFonts w:hint="default" w:ascii="Times New Roman" w:hAnsi="Times New Roman" w:eastAsia="仿宋_GB2312" w:cs="Times New Roman"/>
          <w:sz w:val="32"/>
          <w:szCs w:val="32"/>
          <w:highlight w:val="none"/>
          <w:lang w:val="en-US" w:eastAsia="zh-CN"/>
        </w:rPr>
        <w:t>440.77</w:t>
      </w:r>
      <w:r>
        <w:rPr>
          <w:rFonts w:hint="default" w:ascii="Times New Roman" w:hAnsi="Times New Roman" w:eastAsia="仿宋_GB2312" w:cs="Times New Roman"/>
          <w:sz w:val="32"/>
          <w:szCs w:val="32"/>
          <w:highlight w:val="none"/>
        </w:rPr>
        <w:t>万元，通用设备</w:t>
      </w:r>
      <w:r>
        <w:rPr>
          <w:rFonts w:hint="default" w:ascii="Times New Roman" w:hAnsi="Times New Roman" w:eastAsia="仿宋_GB2312" w:cs="Times New Roman"/>
          <w:sz w:val="32"/>
          <w:szCs w:val="32"/>
          <w:highlight w:val="none"/>
          <w:lang w:val="en-US" w:eastAsia="zh-CN"/>
        </w:rPr>
        <w:t>302.04</w:t>
      </w:r>
      <w:r>
        <w:rPr>
          <w:rFonts w:hint="default" w:ascii="Times New Roman" w:hAnsi="Times New Roman" w:eastAsia="仿宋_GB2312" w:cs="Times New Roman"/>
          <w:sz w:val="32"/>
          <w:szCs w:val="32"/>
          <w:highlight w:val="none"/>
        </w:rPr>
        <w:t>万元，专用设备2.88万元，家具、用具、装具及动植物</w:t>
      </w:r>
      <w:r>
        <w:rPr>
          <w:rFonts w:hint="default" w:ascii="Times New Roman" w:hAnsi="Times New Roman" w:eastAsia="仿宋_GB2312" w:cs="Times New Roman"/>
          <w:sz w:val="32"/>
          <w:szCs w:val="32"/>
          <w:highlight w:val="none"/>
          <w:lang w:val="en-US" w:eastAsia="zh-CN"/>
        </w:rPr>
        <w:t>76.07</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rPr>
        <w:t>年末相较年初价值增加，其主要原因为：新增会议椅30张，</w:t>
      </w:r>
      <w:r>
        <w:rPr>
          <w:rFonts w:hint="default" w:ascii="Times New Roman" w:hAnsi="Times New Roman" w:eastAsia="仿宋_GB2312" w:cs="Times New Roman"/>
          <w:sz w:val="32"/>
          <w:szCs w:val="32"/>
          <w:lang w:eastAsia="zh-CN"/>
        </w:rPr>
        <w:t>价值</w:t>
      </w:r>
      <w:r>
        <w:rPr>
          <w:rFonts w:hint="default" w:ascii="Times New Roman" w:hAnsi="Times New Roman" w:eastAsia="仿宋_GB2312" w:cs="Times New Roman"/>
          <w:sz w:val="32"/>
          <w:szCs w:val="32"/>
          <w:lang w:val="en-US" w:eastAsia="zh-CN"/>
        </w:rPr>
        <w:t>0.39万</w:t>
      </w:r>
      <w:r>
        <w:rPr>
          <w:rFonts w:hint="default" w:ascii="Times New Roman" w:hAnsi="Times New Roman" w:eastAsia="仿宋_GB2312" w:cs="Times New Roman"/>
          <w:sz w:val="32"/>
          <w:szCs w:val="32"/>
        </w:rPr>
        <w:t>元；新增视频会议终端，</w:t>
      </w:r>
      <w:r>
        <w:rPr>
          <w:rFonts w:hint="default" w:ascii="Times New Roman" w:hAnsi="Times New Roman" w:eastAsia="仿宋_GB2312" w:cs="Times New Roman"/>
          <w:sz w:val="32"/>
          <w:szCs w:val="32"/>
          <w:lang w:eastAsia="zh-CN"/>
        </w:rPr>
        <w:t>价值</w:t>
      </w: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val="en-US" w:eastAsia="zh-CN"/>
        </w:rPr>
        <w:t>.3万</w:t>
      </w:r>
      <w:r>
        <w:rPr>
          <w:rFonts w:hint="default" w:ascii="Times New Roman" w:hAnsi="Times New Roman" w:eastAsia="仿宋_GB2312" w:cs="Times New Roman"/>
          <w:sz w:val="32"/>
          <w:szCs w:val="32"/>
        </w:rPr>
        <w:t>元；新增财</w:t>
      </w:r>
      <w:r>
        <w:rPr>
          <w:rFonts w:hint="default" w:ascii="Times New Roman" w:hAnsi="Times New Roman" w:eastAsia="仿宋_GB2312" w:cs="Times New Roman"/>
          <w:sz w:val="32"/>
          <w:szCs w:val="32"/>
          <w:lang w:eastAsia="zh-CN"/>
        </w:rPr>
        <w:t>务</w:t>
      </w:r>
      <w:r>
        <w:rPr>
          <w:rFonts w:hint="default" w:ascii="Times New Roman" w:hAnsi="Times New Roman" w:eastAsia="仿宋_GB2312" w:cs="Times New Roman"/>
          <w:sz w:val="32"/>
          <w:szCs w:val="32"/>
        </w:rPr>
        <w:t>服务中心办公桌3套、茶几1张、文件柜</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组，</w:t>
      </w:r>
      <w:r>
        <w:rPr>
          <w:rFonts w:hint="default" w:ascii="Times New Roman" w:hAnsi="Times New Roman" w:eastAsia="仿宋_GB2312" w:cs="Times New Roman"/>
          <w:sz w:val="32"/>
          <w:szCs w:val="32"/>
          <w:lang w:eastAsia="zh-CN"/>
        </w:rPr>
        <w:t>价值</w:t>
      </w:r>
      <w:r>
        <w:rPr>
          <w:rFonts w:hint="default" w:ascii="Times New Roman" w:hAnsi="Times New Roman" w:eastAsia="仿宋_GB2312" w:cs="Times New Roman"/>
          <w:sz w:val="32"/>
          <w:szCs w:val="32"/>
          <w:lang w:val="en-US" w:eastAsia="zh-CN"/>
        </w:rPr>
        <w:t>0.69万</w:t>
      </w:r>
      <w:r>
        <w:rPr>
          <w:rFonts w:hint="default" w:ascii="Times New Roman" w:hAnsi="Times New Roman" w:eastAsia="仿宋_GB2312" w:cs="Times New Roman"/>
          <w:sz w:val="32"/>
          <w:szCs w:val="32"/>
        </w:rPr>
        <w:t>元；新增联盟财政所办公桌1套、办公椅1张，</w:t>
      </w:r>
      <w:r>
        <w:rPr>
          <w:rFonts w:hint="default" w:ascii="Times New Roman" w:hAnsi="Times New Roman" w:eastAsia="仿宋_GB2312" w:cs="Times New Roman"/>
          <w:sz w:val="32"/>
          <w:szCs w:val="32"/>
          <w:lang w:eastAsia="zh-CN"/>
        </w:rPr>
        <w:t>价值</w:t>
      </w:r>
      <w:r>
        <w:rPr>
          <w:rFonts w:hint="default" w:ascii="Times New Roman" w:hAnsi="Times New Roman" w:eastAsia="仿宋_GB2312" w:cs="Times New Roman"/>
          <w:sz w:val="32"/>
          <w:szCs w:val="32"/>
          <w:lang w:val="en-US" w:eastAsia="zh-CN"/>
        </w:rPr>
        <w:t>0.11万</w:t>
      </w:r>
      <w:r>
        <w:rPr>
          <w:rFonts w:hint="default" w:ascii="Times New Roman" w:hAnsi="Times New Roman" w:eastAsia="仿宋_GB2312" w:cs="Times New Roman"/>
          <w:sz w:val="32"/>
          <w:szCs w:val="32"/>
        </w:rPr>
        <w:t>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新增阿子营财政所沙发1张，价值0.07万元</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三、</w:t>
      </w:r>
      <w:r>
        <w:rPr>
          <w:rFonts w:hint="default" w:ascii="Times New Roman" w:hAnsi="Times New Roman" w:eastAsia="黑体" w:cs="Times New Roman"/>
          <w:sz w:val="32"/>
          <w:szCs w:val="32"/>
        </w:rPr>
        <w:t>绩效目标</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部门总目标</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以“五大发展理念”为引领，以“六稳”、“六保”为主线，全面落实区委、区政府工作决策部署，接受区人大及其常委会的监督指导，继续保持求真务实的工作作风，坚持精准发力，狠抓落实，进一步提高财政运行质量和效益，推动全区经济社会健康持续发展。</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2.紧紧围绕区人大通过及市政府下达的财政收支目标任务，全面加强财政收入征管，积极优化支出结构，强化财政重点工作管理，财政管理水平不断提升。</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3.实现财政平稳运行及全年收支平衡，加快推进我区经济可持续发展。</w:t>
      </w:r>
    </w:p>
    <w:p>
      <w:pPr>
        <w:topLinePunct/>
        <w:spacing w:line="560" w:lineRule="exact"/>
        <w:ind w:firstLine="640" w:firstLineChars="200"/>
        <w:rPr>
          <w:rFonts w:hint="default" w:ascii="Times New Roman" w:hAnsi="Times New Roman" w:eastAsia="楷体" w:cs="Times New Roman"/>
          <w:szCs w:val="32"/>
        </w:rPr>
      </w:pPr>
      <w:r>
        <w:rPr>
          <w:rFonts w:hint="default" w:ascii="Times New Roman" w:hAnsi="Times New Roman" w:eastAsia="仿宋_GB2312" w:cs="Times New Roman"/>
          <w:sz w:val="32"/>
          <w:szCs w:val="32"/>
        </w:rPr>
        <w:t>4.聚焦于深化改革和促进发展，积极推进全年财政目标任务，力争充分发挥财政服务区域性国际中心城市建设的职能作用。</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楷体" w:cs="Times New Roman"/>
          <w:sz w:val="32"/>
          <w:szCs w:val="32"/>
        </w:rPr>
      </w:pPr>
      <w:r>
        <w:rPr>
          <w:rFonts w:hint="eastAsia" w:ascii="Times New Roman" w:hAnsi="Times New Roman" w:eastAsia="楷体" w:cs="Times New Roman"/>
          <w:sz w:val="32"/>
          <w:szCs w:val="32"/>
          <w:lang w:eastAsia="zh-CN"/>
        </w:rPr>
        <w:t>（二）</w:t>
      </w:r>
      <w:r>
        <w:rPr>
          <w:rFonts w:hint="default" w:ascii="Times New Roman" w:hAnsi="Times New Roman" w:eastAsia="楷体" w:cs="Times New Roman"/>
          <w:sz w:val="32"/>
          <w:szCs w:val="32"/>
        </w:rPr>
        <w:t>部门项目具体计划目标</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1.农村综合改革领导小组专项资金:确保年度村级公益事业一事一议财政奖补工作顺利完成,引入中介机构或由有资质的造价公司进行项目工程预算审核及财务审计等相关工作；力争各项考核指标完成工作任务。</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2.财政管理软件及系统维护费：按照相关合同约定督查软件服务商对我局相关管理软件进行维护并按期支付服务费用，确保财政局各项工作顺利开展。</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3.国库管理工作经费:确保财政国库各项管理工作的稳步推进。</w:t>
      </w:r>
    </w:p>
    <w:p>
      <w:pPr>
        <w:topLinePunct/>
        <w:spacing w:line="560" w:lineRule="exact"/>
        <w:ind w:firstLine="640" w:firstLineChars="200"/>
        <w:rPr>
          <w:rFonts w:hint="default" w:ascii="Times New Roman" w:hAnsi="Times New Roman" w:eastAsia="楷体" w:cs="Times New Roman"/>
          <w:sz w:val="32"/>
          <w:szCs w:val="32"/>
        </w:rPr>
      </w:pPr>
      <w:r>
        <w:rPr>
          <w:rFonts w:hint="default" w:ascii="Times New Roman" w:hAnsi="Times New Roman" w:eastAsia="仿宋_GB2312" w:cs="Times New Roman"/>
          <w:sz w:val="32"/>
          <w:szCs w:val="32"/>
        </w:rPr>
        <w:t>4.财政所业务补助经费：通过安排业务委托费用，缓解茨坝财政所因空编人员不能及时到位而影响街道正常收支核算管理和服务民生。</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5.非税收入管理工作经费：按照本年度上级工作具体要求，继续做好非税收入征收管理、财政票据管理等各项工作。对资金使用进度及项目安排将按照本年度工作完成情况及时调整并统筹计划使用。</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6.区国管公司注册资本专项资金:增加区国管公司注册资本金持续推进企业改革和规范化管理，做大做强区属国有企业。</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7.财政投资评审专项经费:通过招标（询价）聘请中介机构对我局资金科室委托的建设项目开展竣工决算评审工作，节约财政资金、提高财政资金使用效率。</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8.财政预算绩效管理经费: 通过政府购买服务等方式聘请中介对确定的重点评价、跟踪单位及预算项目绩效目标申报情况开展预算绩效管理评审，将绩效评价结果反馈和应用管理等纳入预算编制、执行、监督全过程，与2019-2020年预算、决算密切结合。</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9.区金库业务补助经费：确保财政国库各项管理工作的稳步推进。</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10.会计管理及监督检查经费：加强全区财务人员队伍素质，组织相应业务、新政策制度培训，健全会计管理工作。为加强我区会计监督检查工作，用于支付聘请中介机构进行会计监督检查费用。</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11.国资业务经费：采取公开招标的方式，拟进房屋中介机构为我区经营性资产租赁出租提供价格咨询服务，加强经营性国有资产管理，提高经营性资产运营效率，实现国有资产保值增值。</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12.区国管公司注册资本专项经费：持续推进企业改革和规范化管理，做大做强区属国有企业。</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13.金融办工作经费：做好盘龙区金融服务业发展规划编制工作及地方金融风险防范工作，牢牢守住不发生区域性系统性金融风险底线，举全区之力，打赢我区地方金融风险防范化解攻坚战。</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14.村级委托代理中心工作业务经费：进一步规范村级财务行为，维护村级集体和农民群众合法权益，促进农村经济发展和社会稳定，保障我区村级会计委托代理服务中心财务管理工作顺利开展。</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15.盘龙区内部控制规范化建设工作经费：通过政府采购方式聘请中介对我区确定的预算单位开展内部控制规范化建设工作，力争在2020年完成我区十五人以上18家预算单位内部控制规范化建设工作。</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16.业务大楼运行经费：严格合同管理，督促服务机构按照合同约定做好局机关安全服务和物业管理服务，确保局机关安全整洁。</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国企工委党建工作经费：按照本年度上级工作具体要求，继续做好党建、意识形态、党风廉政各项工作，确保全年圆满完成考核任务。通过组织专题教育培训等工作，确保党员群众思想政治意识不断提高；通过组织主题党日、志愿服务活动、群团活动等，不断提高企业干部职工的凝聚力、向心力，发挥党员干部模范先锋及党支部战斗堡垒作用；通过组织拍摄党建视频、观影、征订发放党建书籍等工作，拓展党建工作载体，丰富工作形式，不断扩大党建工作成效。资金使用进度及项目安排将按照本年度上级党建工作具体要求及时调整并统筹计划使用。</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四、</w:t>
      </w:r>
      <w:r>
        <w:rPr>
          <w:rFonts w:hint="default" w:ascii="Times New Roman" w:hAnsi="Times New Roman" w:eastAsia="黑体" w:cs="Times New Roman"/>
          <w:sz w:val="32"/>
          <w:szCs w:val="32"/>
        </w:rPr>
        <w:t>评价思路和过程</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评价思路</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确认当年度部门整体支出的绩效目标→梳理部门内部管理制度及存量资源→分析确定当年度部门整体支出的评价重点→构建绩效评价指标体系。</w:t>
      </w:r>
    </w:p>
    <w:p>
      <w:pPr>
        <w:keepNext w:val="0"/>
        <w:keepLines w:val="0"/>
        <w:pageBreakBefore w:val="0"/>
        <w:widowControl w:val="0"/>
        <w:kinsoku/>
        <w:wordWrap/>
        <w:overflowPunct/>
        <w:topLinePunct w:val="0"/>
        <w:autoSpaceDE/>
        <w:autoSpaceDN/>
        <w:bidi w:val="0"/>
        <w:adjustRightInd w:val="0"/>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评价目的</w:t>
      </w:r>
    </w:p>
    <w:p>
      <w:pPr>
        <w:keepNext w:val="0"/>
        <w:keepLines w:val="0"/>
        <w:pageBreakBefore w:val="0"/>
        <w:widowControl w:val="0"/>
        <w:kinsoku/>
        <w:wordWrap/>
        <w:overflowPunct/>
        <w:topLinePunct w:val="0"/>
        <w:autoSpaceDE/>
        <w:autoSpaceDN/>
        <w:bidi w:val="0"/>
        <w:adjustRightInd w:val="0"/>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rPr>
        <w:t>通过收集部门（单位）基本情况、预算制定与明细、部门中长期规划目标及组织架构等信息，分析部门（单位）资源配置的合理性及中长期规划目标完成与履职情况，总结经验做法，找出预算绩效管理中的薄弱环节，提出改进建议，提高财政资金的使用效益。</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评价依据</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1.国家相关法律、法规和规章制度；</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2.区委、区政府方针政策；</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3.预算管理制度、项目及财务管理办法；</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4.部门职能职责、中长期发展规划及年度工作计划；</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5.行业政策、标准及专业技术规范；</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6.申请预算时提出的绩效目标及其他相关材料，预算批复，年度预算执行情况，年度决算报告；</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7.人大、审计等报告及决定。</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评价对象及评价时段</w:t>
      </w:r>
    </w:p>
    <w:p>
      <w:pPr>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楷体" w:cs="Times New Roman"/>
          <w:sz w:val="32"/>
          <w:szCs w:val="32"/>
        </w:rPr>
        <w:t>1.</w:t>
      </w:r>
      <w:r>
        <w:rPr>
          <w:rFonts w:hint="default" w:ascii="Times New Roman" w:hAnsi="Times New Roman" w:eastAsia="仿宋_GB2312" w:cs="Times New Roman"/>
          <w:sz w:val="32"/>
          <w:szCs w:val="32"/>
        </w:rPr>
        <w:t>评价对象：盘龙区财政局基本支出、项目支出。</w:t>
      </w:r>
    </w:p>
    <w:p>
      <w:pPr>
        <w:spacing w:line="560" w:lineRule="exact"/>
        <w:ind w:firstLine="640" w:firstLineChars="200"/>
        <w:rPr>
          <w:rFonts w:hint="default" w:ascii="Times New Roman" w:hAnsi="Times New Roman" w:eastAsia="楷体" w:cs="Times New Roman"/>
          <w:sz w:val="32"/>
          <w:szCs w:val="32"/>
        </w:rPr>
      </w:pPr>
      <w:r>
        <w:rPr>
          <w:rFonts w:hint="default" w:ascii="Times New Roman" w:hAnsi="Times New Roman" w:eastAsia="楷体" w:cs="Times New Roman"/>
          <w:sz w:val="32"/>
          <w:szCs w:val="32"/>
        </w:rPr>
        <w:t>2.</w:t>
      </w:r>
      <w:r>
        <w:rPr>
          <w:rFonts w:hint="default" w:ascii="Times New Roman" w:hAnsi="Times New Roman" w:eastAsia="仿宋_GB2312" w:cs="Times New Roman"/>
          <w:spacing w:val="-14"/>
          <w:sz w:val="32"/>
          <w:szCs w:val="32"/>
        </w:rPr>
        <w:t>评价时段：项目执行时于季度进行追踪，做好相关指标记录；</w:t>
      </w:r>
      <w:r>
        <w:rPr>
          <w:rFonts w:hint="default" w:ascii="Times New Roman" w:hAnsi="Times New Roman" w:eastAsia="仿宋_GB2312" w:cs="Times New Roman"/>
          <w:sz w:val="32"/>
          <w:szCs w:val="32"/>
        </w:rPr>
        <w:t xml:space="preserve"> 于年度完成后的第二年度一季度进行评价。</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五、</w:t>
      </w:r>
      <w:r>
        <w:rPr>
          <w:rFonts w:hint="default" w:ascii="Times New Roman" w:hAnsi="Times New Roman" w:eastAsia="黑体" w:cs="Times New Roman"/>
          <w:sz w:val="32"/>
          <w:szCs w:val="32"/>
        </w:rPr>
        <w:t>评价结论和绩效分析</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评价结论</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1.</w:t>
      </w:r>
      <w:r>
        <w:rPr>
          <w:rFonts w:hint="eastAsia" w:ascii="仿宋_GB2312" w:hAnsi="仿宋_GB2312" w:eastAsia="仿宋_GB2312" w:cs="仿宋_GB2312"/>
          <w:sz w:val="32"/>
          <w:szCs w:val="32"/>
        </w:rPr>
        <w:t>评价结果</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仿宋" w:cs="Times New Roman"/>
          <w:sz w:val="32"/>
          <w:szCs w:val="32"/>
        </w:rPr>
      </w:pPr>
      <w:r>
        <w:rPr>
          <w:rFonts w:hint="eastAsia" w:ascii="仿宋_GB2312" w:hAnsi="仿宋_GB2312" w:eastAsia="仿宋_GB2312" w:cs="仿宋_GB2312"/>
          <w:sz w:val="32"/>
          <w:szCs w:val="32"/>
        </w:rPr>
        <w:t>盘龙区财政局2020年整体绩效目标完成情况良好，自评得分99.5分。</w:t>
      </w:r>
    </w:p>
    <w:p>
      <w:pPr>
        <w:keepNext w:val="0"/>
        <w:keepLines w:val="0"/>
        <w:pageBreakBefore w:val="0"/>
        <w:widowControl w:val="0"/>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2.</w:t>
      </w:r>
      <w:r>
        <w:rPr>
          <w:rFonts w:hint="eastAsia" w:ascii="仿宋_GB2312" w:hAnsi="仿宋_GB2312" w:eastAsia="仿宋_GB2312" w:cs="仿宋_GB2312"/>
          <w:sz w:val="32"/>
          <w:szCs w:val="32"/>
        </w:rPr>
        <w:t>主要绩效</w:t>
      </w:r>
    </w:p>
    <w:p>
      <w:pPr>
        <w:suppressAutoHyphens/>
        <w:spacing w:line="560" w:lineRule="exact"/>
        <w:ind w:firstLine="643" w:firstLineChars="200"/>
        <w:rPr>
          <w:rFonts w:hint="eastAsia" w:ascii="仿宋_GB2312" w:hAnsi="仿宋_GB2312" w:eastAsia="仿宋_GB2312" w:cs="仿宋_GB2312"/>
          <w:sz w:val="32"/>
          <w:szCs w:val="32"/>
          <w:highlight w:val="yellow"/>
        </w:rPr>
      </w:pPr>
      <w:r>
        <w:rPr>
          <w:rFonts w:hint="eastAsia" w:ascii="仿宋_GB2312" w:hAnsi="仿宋_GB2312" w:eastAsia="仿宋_GB2312" w:cs="仿宋_GB2312"/>
          <w:b/>
          <w:color w:val="000000"/>
          <w:kern w:val="0"/>
          <w:sz w:val="32"/>
          <w:szCs w:val="32"/>
          <w:lang w:eastAsia="ar-SA"/>
        </w:rPr>
        <w:t>一是</w:t>
      </w:r>
      <w:r>
        <w:rPr>
          <w:rFonts w:hint="eastAsia" w:ascii="仿宋_GB2312" w:hAnsi="仿宋_GB2312" w:eastAsia="仿宋_GB2312" w:cs="仿宋_GB2312"/>
          <w:color w:val="000000"/>
          <w:kern w:val="0"/>
          <w:sz w:val="32"/>
          <w:szCs w:val="32"/>
          <w:lang w:eastAsia="ar-SA"/>
        </w:rPr>
        <w:t>全面完成了市区下达的财政收支目标任务，实现了全年财政平稳运行；</w:t>
      </w:r>
      <w:r>
        <w:rPr>
          <w:rFonts w:hint="eastAsia" w:ascii="仿宋_GB2312" w:hAnsi="仿宋_GB2312" w:eastAsia="仿宋_GB2312" w:cs="仿宋_GB2312"/>
          <w:b/>
          <w:color w:val="000000"/>
          <w:kern w:val="0"/>
          <w:sz w:val="32"/>
          <w:szCs w:val="32"/>
          <w:lang w:eastAsia="ar-SA"/>
        </w:rPr>
        <w:t>二是</w:t>
      </w:r>
      <w:r>
        <w:rPr>
          <w:rFonts w:hint="eastAsia" w:ascii="仿宋_GB2312" w:hAnsi="仿宋_GB2312" w:eastAsia="仿宋_GB2312" w:cs="仿宋_GB2312"/>
          <w:color w:val="000000"/>
          <w:kern w:val="0"/>
          <w:sz w:val="32"/>
          <w:szCs w:val="32"/>
          <w:lang w:eastAsia="ar-SA"/>
        </w:rPr>
        <w:t>较好地完成了年初制定的各项职能目标工作；</w:t>
      </w:r>
      <w:r>
        <w:rPr>
          <w:rFonts w:hint="eastAsia" w:ascii="仿宋_GB2312" w:hAnsi="仿宋_GB2312" w:eastAsia="仿宋_GB2312" w:cs="仿宋_GB2312"/>
          <w:b/>
          <w:color w:val="000000"/>
          <w:kern w:val="0"/>
          <w:sz w:val="32"/>
          <w:szCs w:val="32"/>
          <w:lang w:eastAsia="ar-SA"/>
        </w:rPr>
        <w:t>三是</w:t>
      </w:r>
      <w:r>
        <w:rPr>
          <w:rFonts w:hint="eastAsia" w:ascii="仿宋_GB2312" w:hAnsi="仿宋_GB2312" w:eastAsia="仿宋_GB2312" w:cs="仿宋_GB2312"/>
          <w:color w:val="000000"/>
          <w:kern w:val="0"/>
          <w:sz w:val="32"/>
          <w:szCs w:val="32"/>
          <w:lang w:eastAsia="ar-SA"/>
        </w:rPr>
        <w:t>部门整体支出使用效果达到了预期；</w:t>
      </w:r>
      <w:r>
        <w:rPr>
          <w:rFonts w:hint="eastAsia" w:ascii="仿宋_GB2312" w:hAnsi="仿宋_GB2312" w:eastAsia="仿宋_GB2312" w:cs="仿宋_GB2312"/>
          <w:b/>
          <w:color w:val="000000"/>
          <w:kern w:val="0"/>
          <w:sz w:val="32"/>
          <w:szCs w:val="32"/>
          <w:lang w:eastAsia="ar-SA"/>
        </w:rPr>
        <w:t>四是</w:t>
      </w:r>
      <w:r>
        <w:rPr>
          <w:rFonts w:hint="eastAsia" w:ascii="仿宋_GB2312" w:hAnsi="仿宋_GB2312" w:eastAsia="仿宋_GB2312" w:cs="仿宋_GB2312"/>
          <w:color w:val="000000"/>
          <w:kern w:val="0"/>
          <w:sz w:val="32"/>
          <w:szCs w:val="32"/>
          <w:lang w:eastAsia="ar-SA"/>
        </w:rPr>
        <w:t>各项支出严格控制在预算额度内，且按规定支出无挤占挪用现象；</w:t>
      </w:r>
      <w:r>
        <w:rPr>
          <w:rFonts w:hint="eastAsia" w:ascii="仿宋_GB2312" w:hAnsi="仿宋_GB2312" w:eastAsia="仿宋_GB2312" w:cs="仿宋_GB2312"/>
          <w:b/>
          <w:kern w:val="0"/>
          <w:sz w:val="32"/>
          <w:szCs w:val="32"/>
          <w:lang w:eastAsia="ar-SA"/>
        </w:rPr>
        <w:t>五是</w:t>
      </w:r>
      <w:r>
        <w:rPr>
          <w:rFonts w:hint="eastAsia" w:ascii="仿宋_GB2312" w:hAnsi="仿宋_GB2312" w:eastAsia="仿宋_GB2312" w:cs="仿宋_GB2312"/>
          <w:kern w:val="0"/>
          <w:sz w:val="32"/>
          <w:szCs w:val="32"/>
          <w:lang w:eastAsia="ar-SA"/>
        </w:rPr>
        <w:t>在业务工作方面取得的成绩：</w:t>
      </w:r>
      <w:r>
        <w:rPr>
          <w:rFonts w:hint="eastAsia" w:ascii="仿宋_GB2312" w:hAnsi="仿宋_GB2312" w:eastAsia="仿宋_GB2312" w:cs="仿宋_GB2312"/>
          <w:kern w:val="0"/>
          <w:sz w:val="32"/>
          <w:szCs w:val="32"/>
        </w:rPr>
        <w:t>根据《昆明市财政局关于反馈2020年度预算绩效管理考评情况的函》文件，我局被评为“优秀等次”。根据《关于2020年度全区综合目标管理绩效考核结果的通报》文件，我局被评为“优秀等次”。根据《关于盘龙区2020年法治建设成效考核结果的通报》，我局被评为“优秀等次”。根据</w:t>
      </w:r>
      <w:r>
        <w:rPr>
          <w:rFonts w:hint="eastAsia" w:ascii="仿宋_GB2312" w:hAnsi="仿宋_GB2312" w:eastAsia="仿宋_GB2312" w:cs="仿宋_GB2312"/>
          <w:kern w:val="0"/>
          <w:sz w:val="32"/>
          <w:szCs w:val="32"/>
          <w:lang w:eastAsia="ar-SA"/>
        </w:rPr>
        <w:t>《</w:t>
      </w:r>
      <w:r>
        <w:rPr>
          <w:rFonts w:hint="eastAsia" w:ascii="仿宋_GB2312" w:hAnsi="仿宋_GB2312" w:eastAsia="仿宋_GB2312" w:cs="仿宋_GB2312"/>
          <w:kern w:val="0"/>
          <w:sz w:val="32"/>
          <w:szCs w:val="32"/>
        </w:rPr>
        <w:t>盘龙区消防安全委员会关于2020年消防安全责任制考核情况的通报</w:t>
      </w:r>
      <w:r>
        <w:rPr>
          <w:rFonts w:hint="eastAsia" w:ascii="仿宋_GB2312" w:hAnsi="仿宋_GB2312" w:eastAsia="仿宋_GB2312" w:cs="仿宋_GB2312"/>
          <w:kern w:val="0"/>
          <w:sz w:val="32"/>
          <w:szCs w:val="32"/>
          <w:lang w:eastAsia="ar-SA"/>
        </w:rPr>
        <w:t>》</w:t>
      </w:r>
      <w:r>
        <w:rPr>
          <w:rFonts w:hint="eastAsia" w:ascii="仿宋_GB2312" w:hAnsi="仿宋_GB2312" w:eastAsia="仿宋_GB2312" w:cs="仿宋_GB2312"/>
          <w:color w:val="000000"/>
          <w:kern w:val="0"/>
          <w:sz w:val="32"/>
          <w:szCs w:val="32"/>
        </w:rPr>
        <w:t>文件</w:t>
      </w:r>
      <w:r>
        <w:rPr>
          <w:rFonts w:hint="eastAsia" w:ascii="仿宋_GB2312" w:hAnsi="仿宋_GB2312" w:eastAsia="仿宋_GB2312" w:cs="仿宋_GB2312"/>
          <w:kern w:val="0"/>
          <w:sz w:val="32"/>
          <w:szCs w:val="32"/>
        </w:rPr>
        <w:t>，我局被评为“优秀单位”。根据《盘龙区2020年度落实党风廉政建设责任制工作检查考核结果的通报》文件，我局被评为“优秀等次”。</w:t>
      </w:r>
    </w:p>
    <w:p>
      <w:pPr>
        <w:keepNext w:val="0"/>
        <w:keepLines w:val="0"/>
        <w:pageBreakBefore w:val="0"/>
        <w:widowControl w:val="0"/>
        <w:numPr>
          <w:ilvl w:val="0"/>
          <w:numId w:val="0"/>
        </w:numPr>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楷体" w:cs="Times New Roman"/>
          <w:sz w:val="32"/>
          <w:szCs w:val="32"/>
        </w:rPr>
      </w:pPr>
      <w:r>
        <w:rPr>
          <w:rFonts w:hint="eastAsia" w:ascii="Times New Roman" w:hAnsi="Times New Roman" w:eastAsia="楷体" w:cs="Times New Roman"/>
          <w:sz w:val="32"/>
          <w:szCs w:val="32"/>
          <w:lang w:eastAsia="zh-CN"/>
        </w:rPr>
        <w:t>（二）</w:t>
      </w:r>
      <w:r>
        <w:rPr>
          <w:rFonts w:hint="default" w:ascii="Times New Roman" w:hAnsi="Times New Roman" w:eastAsia="楷体" w:cs="Times New Roman"/>
          <w:sz w:val="32"/>
          <w:szCs w:val="32"/>
        </w:rPr>
        <w:t>具体绩效分析</w:t>
      </w:r>
    </w:p>
    <w:p>
      <w:pPr>
        <w:widowControl/>
        <w:jc w:val="center"/>
        <w:rPr>
          <w:rFonts w:hint="default" w:ascii="Times New Roman" w:hAnsi="Times New Roman" w:eastAsia="方正小标宋_GBK" w:cs="Times New Roman"/>
          <w:sz w:val="32"/>
          <w:szCs w:val="32"/>
        </w:rPr>
      </w:pPr>
      <w:r>
        <w:rPr>
          <w:rFonts w:hint="default" w:ascii="Times New Roman" w:hAnsi="Times New Roman" w:eastAsia="方正小标宋_GBK" w:cs="Times New Roman"/>
          <w:sz w:val="32"/>
          <w:szCs w:val="32"/>
        </w:rPr>
        <w:t>部门整体支出绩效评价共性指标体系</w:t>
      </w:r>
    </w:p>
    <w:tbl>
      <w:tblPr>
        <w:tblStyle w:val="8"/>
        <w:tblW w:w="10065" w:type="dxa"/>
        <w:tblInd w:w="-459" w:type="dxa"/>
        <w:tblLayout w:type="fixed"/>
        <w:tblCellMar>
          <w:top w:w="0" w:type="dxa"/>
          <w:left w:w="108" w:type="dxa"/>
          <w:bottom w:w="0" w:type="dxa"/>
          <w:right w:w="108" w:type="dxa"/>
        </w:tblCellMar>
      </w:tblPr>
      <w:tblGrid>
        <w:gridCol w:w="579"/>
        <w:gridCol w:w="981"/>
        <w:gridCol w:w="1559"/>
        <w:gridCol w:w="689"/>
        <w:gridCol w:w="2050"/>
        <w:gridCol w:w="2846"/>
        <w:gridCol w:w="1361"/>
      </w:tblGrid>
      <w:tr>
        <w:tblPrEx>
          <w:tblLayout w:type="fixed"/>
          <w:tblCellMar>
            <w:top w:w="0" w:type="dxa"/>
            <w:left w:w="108" w:type="dxa"/>
            <w:bottom w:w="0" w:type="dxa"/>
            <w:right w:w="108" w:type="dxa"/>
          </w:tblCellMar>
        </w:tblPrEx>
        <w:trPr>
          <w:trHeight w:val="270" w:hRule="atLeast"/>
        </w:trPr>
        <w:tc>
          <w:tcPr>
            <w:tcW w:w="579"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一级指标</w:t>
            </w:r>
          </w:p>
        </w:tc>
        <w:tc>
          <w:tcPr>
            <w:tcW w:w="981"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二级</w:t>
            </w:r>
          </w:p>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指标</w:t>
            </w:r>
          </w:p>
        </w:tc>
        <w:tc>
          <w:tcPr>
            <w:tcW w:w="1559"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三级指标</w:t>
            </w:r>
          </w:p>
        </w:tc>
        <w:tc>
          <w:tcPr>
            <w:tcW w:w="689"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得分</w:t>
            </w:r>
          </w:p>
        </w:tc>
        <w:tc>
          <w:tcPr>
            <w:tcW w:w="2050"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指标解释</w:t>
            </w:r>
          </w:p>
        </w:tc>
        <w:tc>
          <w:tcPr>
            <w:tcW w:w="2846"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指标评分细则</w:t>
            </w:r>
          </w:p>
        </w:tc>
        <w:tc>
          <w:tcPr>
            <w:tcW w:w="1361" w:type="dxa"/>
            <w:tcBorders>
              <w:top w:val="single" w:color="auto" w:sz="4" w:space="0"/>
              <w:left w:val="nil"/>
              <w:bottom w:val="single" w:color="auto" w:sz="4" w:space="0"/>
              <w:right w:val="single" w:color="auto" w:sz="4" w:space="0"/>
            </w:tcBorders>
            <w:noWrap/>
            <w:vAlign w:val="center"/>
          </w:tcPr>
          <w:p>
            <w:pPr>
              <w:widowControl/>
              <w:jc w:val="center"/>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数据来源</w:t>
            </w:r>
          </w:p>
        </w:tc>
      </w:tr>
      <w:tr>
        <w:tblPrEx>
          <w:tblLayout w:type="fixed"/>
          <w:tblCellMar>
            <w:top w:w="0" w:type="dxa"/>
            <w:left w:w="108" w:type="dxa"/>
            <w:bottom w:w="0" w:type="dxa"/>
            <w:right w:w="108" w:type="dxa"/>
          </w:tblCellMar>
        </w:tblPrEx>
        <w:trPr>
          <w:trHeight w:val="1575" w:hRule="atLeast"/>
        </w:trPr>
        <w:tc>
          <w:tcPr>
            <w:tcW w:w="579"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A部门决策（35分）</w:t>
            </w:r>
          </w:p>
        </w:tc>
        <w:tc>
          <w:tcPr>
            <w:tcW w:w="981" w:type="dxa"/>
            <w:vMerge w:val="restart"/>
            <w:tcBorders>
              <w:top w:val="nil"/>
              <w:left w:val="single" w:color="auto" w:sz="4" w:space="0"/>
              <w:bottom w:val="single" w:color="000000" w:sz="4" w:space="0"/>
              <w:right w:val="single" w:color="auto" w:sz="4" w:space="0"/>
            </w:tcBorders>
            <w:noWrap/>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A1部门目标（12分）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A11部门中长期规划目标的明确性与合理性（2分）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部门（单位）中长期规划目标的设定情况；中长期规划目标应设定明确，应与政府中长期规划目标相适应，且应与部门职能相适应。</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①设定了部门中长期规划目标，得0.5分；②设定的部门中长期规划目标明确，得0.5分；③能够适应《盘龙区XXXXX事业发展“十XX五”规划》，得0.5分；④能够与部门职能相适应，得0.5分。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部门中长期规划目标、区政府相关规划、部门“三定”方案、部门职能文件。</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A12年度工作目标的明确性与合理性（2分）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部门年度工作目标的设定是否明确合理</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①部门年度工作目标明确设定，得1分；②年度工作目标与部门中长期规划目标一致，得1分。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年度工作目标与部门中长期规划文件</w:t>
            </w:r>
          </w:p>
        </w:tc>
      </w:tr>
      <w:tr>
        <w:tblPrEx>
          <w:tblLayout w:type="fixed"/>
          <w:tblCellMar>
            <w:top w:w="0" w:type="dxa"/>
            <w:left w:w="108" w:type="dxa"/>
            <w:bottom w:w="0" w:type="dxa"/>
            <w:right w:w="108" w:type="dxa"/>
          </w:tblCellMar>
        </w:tblPrEx>
        <w:trPr>
          <w:trHeight w:val="123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A13年度工作计划与年度工作目标的一致性（2分）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部门年度工作计划是否与部门年度工作目标相一致。</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将部门详细工作计划与年度工作目标对应匹配，视匹配情况酌情得0-2分。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年度工作计划与年度工作目标文件</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A14绩效目标合理性（3分）</w:t>
            </w:r>
          </w:p>
        </w:tc>
        <w:tc>
          <w:tcPr>
            <w:tcW w:w="68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3</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用以反映和考核部门整体绩效目标与部门职能、年度工作目标的一致性。</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①符合部门制定的中长期实施规划计1分；②符合部门“三定”方案确定的职责计1分；③与部门年度工作目标、任务相一致计1分。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部门中长期规划、部门“三定”方案、年度重点工作任务与工作计划</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A15绩效指标明确性（3分）</w:t>
            </w:r>
          </w:p>
        </w:tc>
        <w:tc>
          <w:tcPr>
            <w:tcW w:w="68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3</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整体绩效目标所设定的绩效指标是否依据部门工作目标和工作任务进行细化、量化，绩效指标是否可衡量。</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①将部门整体的绩效目标细化分解为具体的工作任务计1分；②通过清晰、可衡量的指标值予以体现计0.5分。③与部门年度的任务数或计划数相对应计0.5分；④与本年度部门预算资金相匹配计1分。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部门年度重点工作任务与工作计划。</w:t>
            </w:r>
          </w:p>
        </w:tc>
      </w:tr>
      <w:tr>
        <w:tblPrEx>
          <w:tblLayout w:type="fixed"/>
          <w:tblCellMar>
            <w:top w:w="0" w:type="dxa"/>
            <w:left w:w="108" w:type="dxa"/>
            <w:bottom w:w="0" w:type="dxa"/>
            <w:right w:w="108" w:type="dxa"/>
          </w:tblCellMar>
        </w:tblPrEx>
        <w:trPr>
          <w:trHeight w:val="108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A2部门职能（10分）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A21部门职能的明确性与科学性（1分）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考察部门职能界定是否明确科学，是否有相关文件。</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①职能明确、设定依据充分，得1分；②有“三定”文件，但职能描述不明确，得0.5分;③没有职能设定的文件依据且职能不清，得0分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部门职能描述、“三定”文件</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A22年度工作目标与部门职能的适应性（4分）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4</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部门所设定的具体目标是否与部门职能相适应。</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将部门详细工作目标与部门职能对应匹配，视匹配情况酌情得0-4分。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部门年度工作目标、部门职能</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A23年度具体工作与部门职能的匹配性（4分）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4</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部门年度各类具体工作是否与部门职能相匹配。</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将部门年度具体工作与部门职能对应匹配，视匹配情况酌情得0-4分。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部门年度各项具体工作，部门职能</w:t>
            </w:r>
          </w:p>
        </w:tc>
      </w:tr>
      <w:tr>
        <w:tblPrEx>
          <w:tblLayout w:type="fixed"/>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single" w:color="auto" w:sz="4" w:space="0"/>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A24部门内设科室及下属单位职责的明确性（1分）</w:t>
            </w:r>
          </w:p>
        </w:tc>
        <w:tc>
          <w:tcPr>
            <w:tcW w:w="689" w:type="dxa"/>
            <w:tcBorders>
              <w:top w:val="single" w:color="auto" w:sz="4" w:space="0"/>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single" w:color="auto" w:sz="4" w:space="0"/>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部门内设科室及下属单位具体职责是否明确</w:t>
            </w:r>
          </w:p>
        </w:tc>
        <w:tc>
          <w:tcPr>
            <w:tcW w:w="2846" w:type="dxa"/>
            <w:tcBorders>
              <w:top w:val="single" w:color="auto" w:sz="4" w:space="0"/>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①有职责文件制度规定部门各科室及下属单位具体职责，得0.5分；②具体职责明确，得0.5分。</w:t>
            </w:r>
          </w:p>
        </w:tc>
        <w:tc>
          <w:tcPr>
            <w:tcW w:w="1361" w:type="dxa"/>
            <w:tcBorders>
              <w:top w:val="single" w:color="auto" w:sz="4" w:space="0"/>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内设科室及下属单位职责文件</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A3资源配置（13分）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A31基本支出预算合理性（2分）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用以反映部门年度基本支出预算是否根据人员经费、公用经费标准进行合理编制。</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①如实核定人员基数，得1分；②根据基本预算标准进行编制，得1分。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部门基本支出预算标准、基本支出预算</w:t>
            </w:r>
          </w:p>
        </w:tc>
      </w:tr>
      <w:tr>
        <w:tblPrEx>
          <w:tblLayout w:type="fixed"/>
          <w:tblCellMar>
            <w:top w:w="0" w:type="dxa"/>
            <w:left w:w="108" w:type="dxa"/>
            <w:bottom w:w="0" w:type="dxa"/>
            <w:right w:w="108" w:type="dxa"/>
          </w:tblCellMar>
        </w:tblPrEx>
        <w:trPr>
          <w:trHeight w:val="135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A32项目支出预算合理性（4分）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4</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用以反映部门年度项目支出预算程序、预算依据、适用范围的合理性。</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①预算程序合理，得1分；②预算依据充分，得2分；③符合资金使用范围，得1分。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部门项目支出预算编制详细资料，访谈、文件梳理等、其他资料</w:t>
            </w:r>
          </w:p>
        </w:tc>
      </w:tr>
      <w:tr>
        <w:tblPrEx>
          <w:tblLayout w:type="fixed"/>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A33人力资源投入合理性（2分）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用以反映部门核定人员的编制与部门工作内容的合理性</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通过问卷及访谈调研,分析人员的工作量和工作时长，视匹配情况得0-2分。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人员编制文件、调研</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A34办公资源投入合理性（2分）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用以反映部门现有办公资源能否满足部门日常工作需求。</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①办公资源经费保障充足，得1分；②办公资源配置合理，得1分。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部门办公资源配置情况、调研等资料</w:t>
            </w:r>
          </w:p>
        </w:tc>
      </w:tr>
      <w:tr>
        <w:tblPrEx>
          <w:tblLayout w:type="fixed"/>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A35重点项目资源分配合理性（3分）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3</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部门本年度预算安排的重点项目支出与部门项目总支出的比率，用以反映和考核部门对履行主要职责或完成重点任务的保障程度。</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根据重点项目资源分配，对重点项目完成实施的保障程度进行评分。能够保障重点项目顺利实施、全面完成当年工作目标任务的得满分，每有一项重点项目因资金不足无法完成，按权重（3分）的1/3扣分，扣完为止。</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重点项目相关资料</w:t>
            </w:r>
          </w:p>
        </w:tc>
      </w:tr>
      <w:tr>
        <w:tblPrEx>
          <w:tblLayout w:type="fixed"/>
          <w:tblCellMar>
            <w:top w:w="0" w:type="dxa"/>
            <w:left w:w="108" w:type="dxa"/>
            <w:bottom w:w="0" w:type="dxa"/>
            <w:right w:w="108" w:type="dxa"/>
          </w:tblCellMar>
        </w:tblPrEx>
        <w:trPr>
          <w:trHeight w:val="1635" w:hRule="atLeast"/>
        </w:trPr>
        <w:tc>
          <w:tcPr>
            <w:tcW w:w="579"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B部门管理（20分）</w:t>
            </w: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B1预算管理（7分）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B11基本支出预算执行率（1分）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部门基本支出本年度决算数与预算数的比率，用以反映和考核部门（单位）基本支出预算执行程度。</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预算执行率=部门基本支出决算/部门基本支出预算×100%。决算数：部门本年度基本支出实际支出资金数。预算数：财政部门批复的本年度部门基本支出预算数以及当年批复的调整数。预算完成率≥95%得满分，未达到的每低于1%扣0.1分，扣完为止。</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基本支出预算批复，预算调整批复、预算编制等其他资料</w:t>
            </w:r>
          </w:p>
        </w:tc>
      </w:tr>
      <w:tr>
        <w:tblPrEx>
          <w:tblLayout w:type="fixed"/>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B12项目支出预算执行率（4分）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4</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部门项目支出本年度决算数与预算数的比率，用以反映和考核部门项目支出预算执行程度。</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预算执行率=部门项目支出决算/部门项目支出预算×100%。决算数：部门（单位）本年度项目支出实际支出资金数。预算数：财政部门批复的本年度部门（单位）项目支出预算数以及当年批复的调整数。预算完成率≥95%得满分，每低于1%扣0.2分，扣完为止。</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项目支出预算批复，预算调整批复、预算编制等其他资料</w:t>
            </w:r>
          </w:p>
        </w:tc>
      </w:tr>
      <w:tr>
        <w:tblPrEx>
          <w:tblLayout w:type="fixed"/>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B13“三公经费”控制率（1分）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部门本年度“三公”经费预算数与上年度“三公”经费预算数的变动比率，用以反映和考核部门（单位）对控制行政成本的努力程度。</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三公经费使用情况</w:t>
            </w:r>
          </w:p>
        </w:tc>
      </w:tr>
      <w:tr>
        <w:tblPrEx>
          <w:tblLayout w:type="fixed"/>
          <w:tblCellMar>
            <w:top w:w="0" w:type="dxa"/>
            <w:left w:w="108" w:type="dxa"/>
            <w:bottom w:w="0" w:type="dxa"/>
            <w:right w:w="108" w:type="dxa"/>
          </w:tblCellMar>
        </w:tblPrEx>
        <w:trPr>
          <w:trHeight w:val="85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B14预算调整情况（1分）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用以反映预算单位是否根据年中预算实际执行情况及时合规进行预算调整。</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①根据年中预算执行情况及时申请预算调整，得0.5分；②按规定程序进行预算调整，得0.5分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预算调整相关资料</w:t>
            </w:r>
          </w:p>
        </w:tc>
      </w:tr>
      <w:tr>
        <w:tblPrEx>
          <w:tblLayout w:type="fixed"/>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B2财务管理（6分）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B21财务管理制度健全性及执行情况（1分）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部门为加强预算管理、规范财务行为而制定的财务管理制度是否健全完整。用以反映和考核部门预算管理制度对完成主要职责或促进事业发展的保障情况。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①是否已制定预算资金管理办法、内部财务管理制度、会计核算制度等管理制度，0.25分；②相关管理制度是否合法、合规、完整，0.25分；③相关管理制度是否得到有效执行，0.5分。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财务管理相关制度及执行情况调研</w:t>
            </w:r>
          </w:p>
        </w:tc>
      </w:tr>
      <w:tr>
        <w:tblPrEx>
          <w:tblLayout w:type="fixed"/>
          <w:tblCellMar>
            <w:top w:w="0" w:type="dxa"/>
            <w:left w:w="108" w:type="dxa"/>
            <w:bottom w:w="0" w:type="dxa"/>
            <w:right w:w="108" w:type="dxa"/>
          </w:tblCellMar>
        </w:tblPrEx>
        <w:trPr>
          <w:trHeight w:val="220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B22资金使用合规性（4分）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4</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部门使用预算资金是否符合相关财务管理制度的规定，用以反映和考核部门预算资金的规范运行情况。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符合国家财经法规和财务管理制度规定以及有关专项资金管理办法的规定,1分；②资金的拨付有完整的审批程序和手续，1分；③项目的重大开支经过专题论证，1分；④符合部门预算批复的用途，1分；⑤是否存在截留、挤占、挪用、虚列支出等情况，一旦存在该指标不得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资金支出相关凭证、流程梳理等</w:t>
            </w:r>
          </w:p>
        </w:tc>
      </w:tr>
      <w:tr>
        <w:tblPrEx>
          <w:tblLayout w:type="fixed"/>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B23财务监控的有效性（1分）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用以反映部门财务监控监督工作的有效性，包括监控、监督措施的制定及执行等方面。</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①制定明确的财务监控监督措施，得0.5分；②监控、监督措施执行有效，得0.5分；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财务监控监督相关办法及条款，实际执行情况资料</w:t>
            </w:r>
          </w:p>
        </w:tc>
      </w:tr>
      <w:tr>
        <w:tblPrEx>
          <w:tblLayout w:type="fixed"/>
          <w:tblCellMar>
            <w:top w:w="0" w:type="dxa"/>
            <w:left w:w="108" w:type="dxa"/>
            <w:bottom w:w="0" w:type="dxa"/>
            <w:right w:w="108" w:type="dxa"/>
          </w:tblCellMar>
        </w:tblPrEx>
        <w:trPr>
          <w:trHeight w:val="157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B3人力资源管理（2分）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B31在职人员控制率（1分）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部门本年度实际在职人员数与编制数的比率，用以反映和考核部门对人员成本的控制程度。</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在职人员控制率=（在职人员数/编制数）×100%。在职人员数：部门（单位）实际在职人数，以财政部门确定的部门决算编制口径为准。编制数：机构编制部门核定批复的部门人员编制数。在职人员控制率≤100%得满分，有超出不得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部门编制数、在职人数、年内变化情况</w:t>
            </w:r>
          </w:p>
        </w:tc>
      </w:tr>
      <w:tr>
        <w:tblPrEx>
          <w:tblLayout w:type="fixed"/>
          <w:tblCellMar>
            <w:top w:w="0" w:type="dxa"/>
            <w:left w:w="108" w:type="dxa"/>
            <w:bottom w:w="0" w:type="dxa"/>
            <w:right w:w="108" w:type="dxa"/>
          </w:tblCellMar>
        </w:tblPrEx>
        <w:trPr>
          <w:trHeight w:val="124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B32人力资源管理执行情况（1分）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考察部门人力资源管理的健全性及执行规范性，包括在编、派遣、临时员工的管理，包括招聘、培训、工资发放及考核等。</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①有具体的人力资源管理制度文件或参照文件，得0.5分；②严格按照相关文件对各类型人员进行管理和考核，得0.5分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人力资源管理相关文件及实施情况</w:t>
            </w:r>
          </w:p>
        </w:tc>
      </w:tr>
      <w:tr>
        <w:tblPrEx>
          <w:tblLayout w:type="fixed"/>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B4资产管理（2分）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B41资产管理制度健全性及执行情况（1分）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资产管理相关办法</w:t>
            </w:r>
          </w:p>
        </w:tc>
      </w:tr>
      <w:tr>
        <w:tblPrEx>
          <w:tblLayout w:type="fixed"/>
          <w:tblCellMar>
            <w:top w:w="0" w:type="dxa"/>
            <w:left w:w="108" w:type="dxa"/>
            <w:bottom w:w="0" w:type="dxa"/>
            <w:right w:w="108" w:type="dxa"/>
          </w:tblCellMar>
        </w:tblPrEx>
        <w:trPr>
          <w:trHeight w:val="126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B42固定资产在用率（1分）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固定资产在用率=（实际在用固定资产总额/所有固定资产总额）×100%。固定资产在用率达到95%以上得满分.每降低1%扣权重分（1分）的5%，扣完为止。</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固定资产卡片、固定资产使用信息等</w:t>
            </w:r>
          </w:p>
        </w:tc>
      </w:tr>
      <w:tr>
        <w:tblPrEx>
          <w:tblLayout w:type="fixed"/>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B5业务管理（3分）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B51业务管理制度健全性及执行情况（1分）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部门为加强业务管理、规范业务执行而制定的管理制度是否健全完整，用以反映和考核部门业务管理制度对完成主要职责或促进事业发展的保障情况。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①已制定或具有业务管理、项目管理等管理制度，得0.25分；②相关管理制度合法、合规、完整，得0.25分；③相关管理制度得到有效执行，得0.5分。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业务管理相关办法及执行情况资料</w:t>
            </w:r>
          </w:p>
        </w:tc>
      </w:tr>
      <w:tr>
        <w:tblPrEx>
          <w:tblLayout w:type="fixed"/>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B52政府采购规范性（1分）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考察政府采购项目的采购程序、采购方式的规范性</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①政府采购方式、程序都规范，得满分；②采购方式、程序中每有一点不规范，扣0.5分，扣完为止。</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政府采购相关资料</w:t>
            </w:r>
          </w:p>
        </w:tc>
      </w:tr>
      <w:tr>
        <w:tblPrEx>
          <w:tblLayout w:type="fixed"/>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B53监督考核情况（1分）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考察部门是否对各所属单位或项目实施主体进行工作监督和定期考核。</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有定期指导记录、考核结果，得1分，缺少项视情况酌情进行扣分。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监督考核记录等</w:t>
            </w:r>
          </w:p>
        </w:tc>
      </w:tr>
      <w:tr>
        <w:tblPrEx>
          <w:tblLayout w:type="fixed"/>
          <w:tblCellMar>
            <w:top w:w="0" w:type="dxa"/>
            <w:left w:w="108" w:type="dxa"/>
            <w:bottom w:w="0" w:type="dxa"/>
            <w:right w:w="108" w:type="dxa"/>
          </w:tblCellMar>
        </w:tblPrEx>
        <w:trPr>
          <w:trHeight w:val="1215" w:hRule="atLeast"/>
        </w:trPr>
        <w:tc>
          <w:tcPr>
            <w:tcW w:w="579"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C部门绩效（45分）</w:t>
            </w: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C1部门产出（18分）（说明：该指标主要反映部门（单位）重点工作任务的完成情况。）</w:t>
            </w:r>
          </w:p>
        </w:tc>
        <w:tc>
          <w:tcPr>
            <w:tcW w:w="1559"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C11重点项目完成情况（4分）</w:t>
            </w:r>
          </w:p>
        </w:tc>
        <w:tc>
          <w:tcPr>
            <w:tcW w:w="689" w:type="dxa"/>
            <w:tcBorders>
              <w:top w:val="nil"/>
              <w:left w:val="nil"/>
              <w:bottom w:val="single" w:color="auto" w:sz="4" w:space="0"/>
              <w:right w:val="single" w:color="auto" w:sz="4" w:space="0"/>
            </w:tcBorders>
            <w:shd w:val="clear" w:color="auto" w:fill="auto"/>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4</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考察国资业务费、财政投资、国库管理工作、等重点项目完成情况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重点项目全部完成为满分，每一项不达标扣权重分（4分）的20%；三项不达标则为零分。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重点项目指标及完成情况</w:t>
            </w:r>
          </w:p>
        </w:tc>
      </w:tr>
      <w:tr>
        <w:tblPrEx>
          <w:tblLayout w:type="fixed"/>
          <w:tblCellMar>
            <w:top w:w="0" w:type="dxa"/>
            <w:left w:w="108" w:type="dxa"/>
            <w:bottom w:w="0" w:type="dxa"/>
            <w:right w:w="108" w:type="dxa"/>
          </w:tblCellMar>
        </w:tblPrEx>
        <w:trPr>
          <w:trHeight w:val="81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C12国库管理工作完成情况（2分）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考察零余额账户管理、银行年度考评、对财政资金的监督管理等工作的完成情况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考察零余额账户管理、银行年度考评、对财政资金的监督管理等工作，按照权重分*完成率进行打分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国库管理工作计划及实施资料</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C13盘龙区内部控制试点单位工作完成情况（2分）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考察盘龙区内部控制试点单位工作完成情况</w:t>
            </w:r>
          </w:p>
        </w:tc>
        <w:tc>
          <w:tcPr>
            <w:tcW w:w="2846"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考察对确定的重点评价、跟踪单位及项目进行预算绩效管理工作是否完成，按照权重分*完成率进行打分</w:t>
            </w:r>
          </w:p>
        </w:tc>
        <w:tc>
          <w:tcPr>
            <w:tcW w:w="1361"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盘龙区内部控制试点单位工作实施资料、实施效果</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C14财政预算绩效管理完成情况（2分）</w:t>
            </w:r>
          </w:p>
        </w:tc>
        <w:tc>
          <w:tcPr>
            <w:tcW w:w="689" w:type="dxa"/>
            <w:tcBorders>
              <w:top w:val="nil"/>
              <w:left w:val="nil"/>
              <w:bottom w:val="single" w:color="auto" w:sz="4" w:space="0"/>
              <w:right w:val="single" w:color="auto" w:sz="4" w:space="0"/>
            </w:tcBorders>
            <w:noWrap/>
            <w:vAlign w:val="center"/>
          </w:tcPr>
          <w:p>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2</w:t>
            </w:r>
          </w:p>
        </w:tc>
        <w:tc>
          <w:tcPr>
            <w:tcW w:w="2050"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考察财政预算绩效管理计划的完成情况</w:t>
            </w:r>
          </w:p>
        </w:tc>
        <w:tc>
          <w:tcPr>
            <w:tcW w:w="2846"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考察各类财政预算绩效管理计划的完成情况，按照权重分*完成率进行打分</w:t>
            </w:r>
          </w:p>
        </w:tc>
        <w:tc>
          <w:tcPr>
            <w:tcW w:w="1361"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财政预算绩效管理计划及实施资料、实施效果</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C15财政投资评审专项工作完成情况（2分）</w:t>
            </w:r>
          </w:p>
        </w:tc>
        <w:tc>
          <w:tcPr>
            <w:tcW w:w="689" w:type="dxa"/>
            <w:tcBorders>
              <w:top w:val="nil"/>
              <w:left w:val="nil"/>
              <w:bottom w:val="single" w:color="auto" w:sz="4" w:space="0"/>
              <w:right w:val="single" w:color="auto" w:sz="4" w:space="0"/>
            </w:tcBorders>
            <w:noWrap/>
            <w:vAlign w:val="center"/>
          </w:tcPr>
          <w:p>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2</w:t>
            </w:r>
          </w:p>
        </w:tc>
        <w:tc>
          <w:tcPr>
            <w:tcW w:w="2050"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考察财政投资评审专项工作的工作成效</w:t>
            </w:r>
          </w:p>
        </w:tc>
        <w:tc>
          <w:tcPr>
            <w:tcW w:w="2846"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考察财政投资评审专项工作的完成情况，按照权重分*完成率进行打分</w:t>
            </w:r>
          </w:p>
        </w:tc>
        <w:tc>
          <w:tcPr>
            <w:tcW w:w="1361"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财政投资评审专项工作计划及完成情况，完成效果</w:t>
            </w:r>
          </w:p>
        </w:tc>
      </w:tr>
      <w:tr>
        <w:tblPrEx>
          <w:tblLayout w:type="fixed"/>
          <w:tblCellMar>
            <w:top w:w="0" w:type="dxa"/>
            <w:left w:w="108" w:type="dxa"/>
            <w:bottom w:w="0" w:type="dxa"/>
            <w:right w:w="108" w:type="dxa"/>
          </w:tblCellMar>
        </w:tblPrEx>
        <w:trPr>
          <w:trHeight w:val="102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C16国资工作完成情况（2分）</w:t>
            </w:r>
          </w:p>
        </w:tc>
        <w:tc>
          <w:tcPr>
            <w:tcW w:w="689" w:type="dxa"/>
            <w:tcBorders>
              <w:top w:val="nil"/>
              <w:left w:val="nil"/>
              <w:bottom w:val="single" w:color="auto" w:sz="4" w:space="0"/>
              <w:right w:val="single" w:color="auto" w:sz="4" w:space="0"/>
            </w:tcBorders>
            <w:noWrap/>
            <w:vAlign w:val="center"/>
          </w:tcPr>
          <w:p>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2</w:t>
            </w:r>
          </w:p>
        </w:tc>
        <w:tc>
          <w:tcPr>
            <w:tcW w:w="2050"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考察国资管理工作成效</w:t>
            </w:r>
          </w:p>
        </w:tc>
        <w:tc>
          <w:tcPr>
            <w:tcW w:w="2846"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考察国资管理工作的完成情况，按照权重分*完成率进行打分</w:t>
            </w:r>
          </w:p>
        </w:tc>
        <w:tc>
          <w:tcPr>
            <w:tcW w:w="1361"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国资管理工作计划及完成情况，完成效果</w:t>
            </w:r>
          </w:p>
        </w:tc>
      </w:tr>
      <w:tr>
        <w:tblPrEx>
          <w:tblLayout w:type="fixed"/>
          <w:tblCellMar>
            <w:top w:w="0" w:type="dxa"/>
            <w:left w:w="108" w:type="dxa"/>
            <w:bottom w:w="0" w:type="dxa"/>
            <w:right w:w="108" w:type="dxa"/>
          </w:tblCellMar>
        </w:tblPrEx>
        <w:trPr>
          <w:trHeight w:val="190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C17村级委托代理工作完成情况（2分）</w:t>
            </w:r>
          </w:p>
        </w:tc>
        <w:tc>
          <w:tcPr>
            <w:tcW w:w="689" w:type="dxa"/>
            <w:tcBorders>
              <w:top w:val="nil"/>
              <w:left w:val="nil"/>
              <w:bottom w:val="single" w:color="auto" w:sz="4" w:space="0"/>
              <w:right w:val="single" w:color="auto" w:sz="4" w:space="0"/>
            </w:tcBorders>
            <w:noWrap/>
            <w:vAlign w:val="center"/>
          </w:tcPr>
          <w:p>
            <w:pPr>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2</w:t>
            </w:r>
          </w:p>
        </w:tc>
        <w:tc>
          <w:tcPr>
            <w:tcW w:w="2050"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考察村级委托代理工作成效</w:t>
            </w:r>
          </w:p>
        </w:tc>
        <w:tc>
          <w:tcPr>
            <w:tcW w:w="2846"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考察村级委托代理工作的完成情况，按照权重分*完成率进行打分</w:t>
            </w:r>
          </w:p>
        </w:tc>
        <w:tc>
          <w:tcPr>
            <w:tcW w:w="1361" w:type="dxa"/>
            <w:tcBorders>
              <w:top w:val="nil"/>
              <w:left w:val="nil"/>
              <w:bottom w:val="single" w:color="auto" w:sz="4" w:space="0"/>
              <w:right w:val="single" w:color="auto" w:sz="4" w:space="0"/>
            </w:tcBorders>
            <w:noWrap/>
            <w:vAlign w:val="center"/>
          </w:tcPr>
          <w:p>
            <w:pP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村级委托代理工作计划及完成情况，完成效果</w:t>
            </w:r>
          </w:p>
        </w:tc>
      </w:tr>
      <w:tr>
        <w:tblPrEx>
          <w:tblLayout w:type="fixed"/>
          <w:tblCellMar>
            <w:top w:w="0" w:type="dxa"/>
            <w:left w:w="108" w:type="dxa"/>
            <w:bottom w:w="0" w:type="dxa"/>
            <w:right w:w="108" w:type="dxa"/>
          </w:tblCellMar>
        </w:tblPrEx>
        <w:trPr>
          <w:trHeight w:val="190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C18考核任务完成率（2分）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达到考核标准的实际工作数与计划工作数的比率,用以反映和考核部门履职质量目标的实现程度。</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核完成率=（考核达标实际工作数/计划工作数）×100%。考核达标实际工作数：一定时期（年度或规划期）内部门实际完成工作数中达到上级部门（或同级政府）目标要求（绩效标准值）的工作任务数量。考核完成率达到100%得满分，未达到按权重进行扣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部门考核数与实际完成情况</w:t>
            </w:r>
          </w:p>
        </w:tc>
      </w:tr>
      <w:tr>
        <w:tblPrEx>
          <w:tblLayout w:type="fixed"/>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C2部门效果（21分）（说明：该指标反映部门（单位）的工作效果。）</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C21投诉信访降低率（2分）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考察部门通过各项工作使服务对象投诉信访降低情况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①投诉信访降低率=（本年度投诉信访数-上年度投诉信访数）/本年度投诉信访数×100%，投诉信访降低率≤0得满分，超过按权重进行扣分；②每有一项部门有责投诉扣0.5分。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服务对象投诉信访情况</w:t>
            </w:r>
          </w:p>
        </w:tc>
      </w:tr>
      <w:tr>
        <w:tblPrEx>
          <w:tblLayout w:type="fixed"/>
          <w:tblCellMar>
            <w:top w:w="0" w:type="dxa"/>
            <w:left w:w="108" w:type="dxa"/>
            <w:bottom w:w="0" w:type="dxa"/>
            <w:right w:w="108" w:type="dxa"/>
          </w:tblCellMar>
        </w:tblPrEx>
        <w:trPr>
          <w:trHeight w:val="76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C22全区一级预算单位内控合规性及有效性建设率（3分）</w:t>
            </w:r>
          </w:p>
        </w:tc>
        <w:tc>
          <w:tcPr>
            <w:tcW w:w="689"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3</w:t>
            </w:r>
          </w:p>
        </w:tc>
        <w:tc>
          <w:tcPr>
            <w:tcW w:w="2050"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考察全区一级预算单位内控合规性及有效性建设情况</w:t>
            </w:r>
          </w:p>
        </w:tc>
        <w:tc>
          <w:tcPr>
            <w:tcW w:w="2846"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考察全区一级预算单位内控合规性及有效性建设的覆盖程度，酌情得0-3分</w:t>
            </w:r>
          </w:p>
        </w:tc>
        <w:tc>
          <w:tcPr>
            <w:tcW w:w="1361"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全区一级预算单位内控合规性及有效性建设完成效果</w:t>
            </w:r>
          </w:p>
        </w:tc>
      </w:tr>
      <w:tr>
        <w:tblPrEx>
          <w:tblLayout w:type="fixed"/>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C23国库各项管理工作的完成率（3分）</w:t>
            </w:r>
          </w:p>
        </w:tc>
        <w:tc>
          <w:tcPr>
            <w:tcW w:w="689"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3</w:t>
            </w:r>
          </w:p>
        </w:tc>
        <w:tc>
          <w:tcPr>
            <w:tcW w:w="2050"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考察国库各项管理工作的工作成效</w:t>
            </w:r>
          </w:p>
        </w:tc>
        <w:tc>
          <w:tcPr>
            <w:tcW w:w="2846"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国库各项管理工作的完成率=2020年国库各项管理工作资金使用/2020年预算数；完成率得≥85%得满分；每减少5%，扣权重分1分，扣完为止</w:t>
            </w:r>
          </w:p>
        </w:tc>
        <w:tc>
          <w:tcPr>
            <w:tcW w:w="1361"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国库各项管理工作的完成数据</w:t>
            </w:r>
          </w:p>
        </w:tc>
      </w:tr>
      <w:tr>
        <w:tblPrEx>
          <w:tblLayout w:type="fixed"/>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C24财政预算绩效管理工作的完成率（3分）</w:t>
            </w:r>
          </w:p>
        </w:tc>
        <w:tc>
          <w:tcPr>
            <w:tcW w:w="689"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3</w:t>
            </w:r>
          </w:p>
        </w:tc>
        <w:tc>
          <w:tcPr>
            <w:tcW w:w="2050"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考察财政预算绩效管理工作的工作成效</w:t>
            </w:r>
          </w:p>
        </w:tc>
        <w:tc>
          <w:tcPr>
            <w:tcW w:w="2846"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财政预算绩效管理工作的完成率=2020年资金使用/2020年预算数；完成率得≥85%得满分；每减少5%，扣权重分1分，扣完为止</w:t>
            </w:r>
          </w:p>
        </w:tc>
        <w:tc>
          <w:tcPr>
            <w:tcW w:w="1361"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财政预算绩效管理工作的完成数据</w:t>
            </w:r>
          </w:p>
        </w:tc>
      </w:tr>
      <w:tr>
        <w:tblPrEx>
          <w:tblLayout w:type="fixed"/>
          <w:tblCellMar>
            <w:top w:w="0" w:type="dxa"/>
            <w:left w:w="108" w:type="dxa"/>
            <w:bottom w:w="0" w:type="dxa"/>
            <w:right w:w="108" w:type="dxa"/>
          </w:tblCellMar>
        </w:tblPrEx>
        <w:trPr>
          <w:trHeight w:val="102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C25财政投资评审专项工作的完成率（3分）</w:t>
            </w:r>
          </w:p>
        </w:tc>
        <w:tc>
          <w:tcPr>
            <w:tcW w:w="689"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3</w:t>
            </w:r>
          </w:p>
        </w:tc>
        <w:tc>
          <w:tcPr>
            <w:tcW w:w="2050"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考察财政投资评审专项工作的工作成效</w:t>
            </w:r>
          </w:p>
        </w:tc>
        <w:tc>
          <w:tcPr>
            <w:tcW w:w="2846"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财政投资评审专项项工作的完成率=2020年资金使用/2020年预算数；完成率得≥85%得满分；每减少5%，扣权重分1分，扣完为止</w:t>
            </w:r>
          </w:p>
        </w:tc>
        <w:tc>
          <w:tcPr>
            <w:tcW w:w="1361"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财政投资评审专项工作的完成数据</w:t>
            </w:r>
          </w:p>
        </w:tc>
      </w:tr>
      <w:tr>
        <w:tblPrEx>
          <w:tblLayout w:type="fixed"/>
          <w:tblCellMar>
            <w:top w:w="0" w:type="dxa"/>
            <w:left w:w="108" w:type="dxa"/>
            <w:bottom w:w="0" w:type="dxa"/>
            <w:right w:w="108" w:type="dxa"/>
          </w:tblCellMar>
        </w:tblPrEx>
        <w:trPr>
          <w:trHeight w:val="102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C26政策宣传知晓率（2分）</w:t>
            </w:r>
          </w:p>
        </w:tc>
        <w:tc>
          <w:tcPr>
            <w:tcW w:w="689"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2</w:t>
            </w:r>
          </w:p>
        </w:tc>
        <w:tc>
          <w:tcPr>
            <w:tcW w:w="2050"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考察政策宣传的力度和范围</w:t>
            </w:r>
          </w:p>
        </w:tc>
        <w:tc>
          <w:tcPr>
            <w:tcW w:w="2846"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考察预算单位对区财政现提供服务及相关政策的知晓程度，知晓率≥80%得满分；知晓率＜80%；按权重*知晓率评分</w:t>
            </w:r>
          </w:p>
        </w:tc>
        <w:tc>
          <w:tcPr>
            <w:tcW w:w="1361"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调研问卷</w:t>
            </w:r>
          </w:p>
        </w:tc>
      </w:tr>
      <w:tr>
        <w:tblPrEx>
          <w:tblLayout w:type="fixed"/>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C27财政系统相关人员满意度（2分）</w:t>
            </w:r>
          </w:p>
        </w:tc>
        <w:tc>
          <w:tcPr>
            <w:tcW w:w="689"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2</w:t>
            </w:r>
          </w:p>
        </w:tc>
        <w:tc>
          <w:tcPr>
            <w:tcW w:w="2050"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财政系统相关人员对部门的满意情况。</w:t>
            </w:r>
          </w:p>
        </w:tc>
        <w:tc>
          <w:tcPr>
            <w:tcW w:w="2846"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根据满意度线性统计取加权平均分值。满意度达到85%，得满分；满意度低于85%，每降低1%，扣权重分5%。</w:t>
            </w:r>
          </w:p>
        </w:tc>
        <w:tc>
          <w:tcPr>
            <w:tcW w:w="1361"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问卷调查、访谈</w:t>
            </w:r>
          </w:p>
        </w:tc>
      </w:tr>
      <w:tr>
        <w:tblPrEx>
          <w:tblLayout w:type="fixed"/>
          <w:tblCellMar>
            <w:top w:w="0" w:type="dxa"/>
            <w:left w:w="108" w:type="dxa"/>
            <w:bottom w:w="0" w:type="dxa"/>
            <w:right w:w="108" w:type="dxa"/>
          </w:tblCellMar>
        </w:tblPrEx>
        <w:trPr>
          <w:trHeight w:val="91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C28辖区内预算单位满意度（3分）</w:t>
            </w:r>
          </w:p>
        </w:tc>
        <w:tc>
          <w:tcPr>
            <w:tcW w:w="689" w:type="dxa"/>
            <w:tcBorders>
              <w:top w:val="nil"/>
              <w:left w:val="nil"/>
              <w:bottom w:val="single" w:color="auto" w:sz="4" w:space="0"/>
              <w:right w:val="single" w:color="auto" w:sz="4" w:space="0"/>
            </w:tcBorders>
            <w:noWrap/>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3</w:t>
            </w:r>
          </w:p>
        </w:tc>
        <w:tc>
          <w:tcPr>
            <w:tcW w:w="2050"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辖区内预算单位对区财政工作的满意情况。</w:t>
            </w:r>
          </w:p>
        </w:tc>
        <w:tc>
          <w:tcPr>
            <w:tcW w:w="2846"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根据满意度线性统计取加权平均分值。满意度达到85%，得满分；满意度低于85%，每降低1%，扣权重分5%。</w:t>
            </w:r>
          </w:p>
        </w:tc>
        <w:tc>
          <w:tcPr>
            <w:tcW w:w="1361"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sz w:val="18"/>
                <w:szCs w:val="18"/>
              </w:rPr>
              <w:t>问卷调查、访谈</w:t>
            </w:r>
          </w:p>
        </w:tc>
      </w:tr>
      <w:tr>
        <w:tblPrEx>
          <w:tblLayout w:type="fixed"/>
          <w:tblCellMar>
            <w:top w:w="0" w:type="dxa"/>
            <w:left w:w="108" w:type="dxa"/>
            <w:bottom w:w="0" w:type="dxa"/>
            <w:right w:w="108" w:type="dxa"/>
          </w:tblCellMar>
        </w:tblPrEx>
        <w:trPr>
          <w:trHeight w:val="73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C3部门可持续发展（6分）</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C31队伍建设情况（2分）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考察部门管理人员是否定期接受培训，熟悉政策、提高业务能力。</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部门全体人员每年至少接受一次业务或政策等培训，酌情得0-2分。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培训记录、培训效果调研</w:t>
            </w:r>
          </w:p>
        </w:tc>
      </w:tr>
      <w:tr>
        <w:tblPrEx>
          <w:tblLayout w:type="fixed"/>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C32信息共享、公开情况（2分）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2</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部门是否按照政府信息公开有关规定公开相关预决算信息、绩效信息及其他信息，是否信息共享，用以反映和考核部门信息公开透明及信息共享情况。</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①按规定内容公开预决算信息、绩效信息及其他信息，得0.5分；②按规定时限公开预决算信息、绩效信息及其他信息，得0.5分。③各处室、下属单位等信息共享，得1分。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信息公开、信息共享情况</w:t>
            </w:r>
          </w:p>
        </w:tc>
      </w:tr>
      <w:tr>
        <w:tblPrEx>
          <w:tblLayout w:type="fixed"/>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noWrap/>
            <w:vAlign w:val="center"/>
          </w:tcPr>
          <w:p>
            <w:pPr>
              <w:widowControl/>
              <w:jc w:val="left"/>
              <w:rPr>
                <w:rFonts w:hint="default" w:ascii="Times New Roman" w:hAnsi="Times New Roman" w:cs="Times New Roman"/>
                <w:color w:val="000000"/>
                <w:kern w:val="0"/>
                <w:sz w:val="18"/>
                <w:szCs w:val="18"/>
              </w:rPr>
            </w:pP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C33长效管理创新情况（2分）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　1.5</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考察部门是否在鼓励处室改进管理、提高效率方面建立了新举措，比如人员绩效考核机制、信息化建设、数据库管理等，是部门工作长期可持续发展的保障。</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管理创新机制和措施明确，且有相应工作及产出。酌情得0-2分。</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管理创新情况</w:t>
            </w:r>
          </w:p>
        </w:tc>
      </w:tr>
      <w:tr>
        <w:tblPrEx>
          <w:tblLayout w:type="fixed"/>
          <w:tblCellMar>
            <w:top w:w="0" w:type="dxa"/>
            <w:left w:w="108" w:type="dxa"/>
            <w:bottom w:w="0" w:type="dxa"/>
            <w:right w:w="108" w:type="dxa"/>
          </w:tblCellMar>
        </w:tblPrEx>
        <w:trPr>
          <w:trHeight w:val="270" w:hRule="atLeast"/>
        </w:trPr>
        <w:tc>
          <w:tcPr>
            <w:tcW w:w="579" w:type="dxa"/>
            <w:tcBorders>
              <w:top w:val="nil"/>
              <w:left w:val="single" w:color="auto" w:sz="4" w:space="0"/>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合计</w:t>
            </w:r>
          </w:p>
        </w:tc>
        <w:tc>
          <w:tcPr>
            <w:tcW w:w="981" w:type="dxa"/>
            <w:tcBorders>
              <w:top w:val="nil"/>
              <w:left w:val="nil"/>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　</w:t>
            </w:r>
          </w:p>
        </w:tc>
        <w:tc>
          <w:tcPr>
            <w:tcW w:w="1559" w:type="dxa"/>
            <w:tcBorders>
              <w:top w:val="nil"/>
              <w:left w:val="nil"/>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100分</w:t>
            </w:r>
          </w:p>
        </w:tc>
        <w:tc>
          <w:tcPr>
            <w:tcW w:w="689" w:type="dxa"/>
            <w:tcBorders>
              <w:top w:val="nil"/>
              <w:left w:val="nil"/>
              <w:bottom w:val="single" w:color="auto" w:sz="4" w:space="0"/>
              <w:right w:val="single" w:color="auto" w:sz="4" w:space="0"/>
            </w:tcBorders>
            <w:noWrap/>
            <w:vAlign w:val="center"/>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　99.5</w:t>
            </w:r>
          </w:p>
        </w:tc>
        <w:tc>
          <w:tcPr>
            <w:tcW w:w="2050" w:type="dxa"/>
            <w:tcBorders>
              <w:top w:val="nil"/>
              <w:left w:val="nil"/>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　</w:t>
            </w:r>
          </w:p>
        </w:tc>
        <w:tc>
          <w:tcPr>
            <w:tcW w:w="2846" w:type="dxa"/>
            <w:tcBorders>
              <w:top w:val="nil"/>
              <w:left w:val="nil"/>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　</w:t>
            </w:r>
          </w:p>
        </w:tc>
        <w:tc>
          <w:tcPr>
            <w:tcW w:w="1361" w:type="dxa"/>
            <w:tcBorders>
              <w:top w:val="nil"/>
              <w:left w:val="nil"/>
              <w:bottom w:val="single" w:color="auto" w:sz="4" w:space="0"/>
              <w:right w:val="single" w:color="auto" w:sz="4" w:space="0"/>
            </w:tcBorders>
            <w:noWrap/>
          </w:tcPr>
          <w:p>
            <w:pPr>
              <w:widowControl/>
              <w:rPr>
                <w:rFonts w:hint="default" w:ascii="Times New Roman" w:hAnsi="Times New Roman" w:cs="Times New Roman"/>
                <w:b/>
                <w:bCs/>
                <w:color w:val="000000"/>
                <w:kern w:val="0"/>
                <w:sz w:val="18"/>
                <w:szCs w:val="18"/>
              </w:rPr>
            </w:pPr>
            <w:r>
              <w:rPr>
                <w:rFonts w:hint="default" w:ascii="Times New Roman" w:hAnsi="Times New Roman" w:cs="Times New Roman"/>
                <w:b/>
                <w:bCs/>
                <w:color w:val="000000"/>
                <w:kern w:val="0"/>
                <w:sz w:val="18"/>
                <w:szCs w:val="18"/>
              </w:rPr>
              <w:t>　</w:t>
            </w:r>
          </w:p>
        </w:tc>
      </w:tr>
    </w:tbl>
    <w:p>
      <w:pPr>
        <w:topLinePunct/>
        <w:spacing w:line="520" w:lineRule="exact"/>
        <w:rPr>
          <w:rFonts w:hint="default" w:ascii="Times New Roman" w:hAnsi="Times New Roman" w:eastAsia="楷体" w:cs="Times New Roman"/>
          <w:sz w:val="32"/>
          <w:szCs w:val="32"/>
        </w:rPr>
      </w:pPr>
    </w:p>
    <w:p>
      <w:pPr>
        <w:keepNext w:val="0"/>
        <w:keepLines w:val="0"/>
        <w:pageBreakBefore w:val="0"/>
        <w:widowControl w:val="0"/>
        <w:numPr>
          <w:ilvl w:val="0"/>
          <w:numId w:val="0"/>
        </w:numPr>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六、</w:t>
      </w:r>
      <w:r>
        <w:rPr>
          <w:rFonts w:hint="default" w:ascii="Times New Roman" w:hAnsi="Times New Roman" w:eastAsia="黑体" w:cs="Times New Roman"/>
          <w:sz w:val="32"/>
          <w:szCs w:val="32"/>
        </w:rPr>
        <w:t>主要经验做法</w:t>
      </w:r>
    </w:p>
    <w:p>
      <w:pPr>
        <w:topLinePunct/>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年初制订绩效目标时全面细致进行考虑，根据工作开展进度制定详细的目标和使用计划，细化项目开展内容，确保项目开展时有理有据，资金使用时有节有点。</w:t>
      </w:r>
    </w:p>
    <w:p>
      <w:pPr>
        <w:keepNext w:val="0"/>
        <w:keepLines w:val="0"/>
        <w:pageBreakBefore w:val="0"/>
        <w:widowControl w:val="0"/>
        <w:numPr>
          <w:ilvl w:val="0"/>
          <w:numId w:val="0"/>
        </w:numPr>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七、</w:t>
      </w:r>
      <w:r>
        <w:rPr>
          <w:rFonts w:hint="default" w:ascii="Times New Roman" w:hAnsi="Times New Roman" w:eastAsia="黑体" w:cs="Times New Roman"/>
          <w:sz w:val="32"/>
          <w:szCs w:val="32"/>
        </w:rPr>
        <w:t>存在的问题</w:t>
      </w:r>
    </w:p>
    <w:p>
      <w:pPr>
        <w:topLinePunct/>
        <w:spacing w:line="560" w:lineRule="exact"/>
        <w:ind w:firstLine="640" w:firstLineChars="200"/>
        <w:rPr>
          <w:rFonts w:hint="default" w:ascii="Times New Roman" w:hAnsi="Times New Roman" w:eastAsia="黑体" w:cs="Times New Roman"/>
          <w:sz w:val="32"/>
          <w:szCs w:val="32"/>
        </w:rPr>
      </w:pPr>
      <w:r>
        <w:rPr>
          <w:rFonts w:hint="default" w:ascii="Times New Roman" w:hAnsi="Times New Roman" w:eastAsia="仿宋_GB2312" w:cs="Times New Roman"/>
          <w:sz w:val="32"/>
          <w:szCs w:val="32"/>
        </w:rPr>
        <w:t>项目支出按节点进度进行支出的自主性尚待提高。</w:t>
      </w:r>
    </w:p>
    <w:p>
      <w:pPr>
        <w:keepNext w:val="0"/>
        <w:keepLines w:val="0"/>
        <w:pageBreakBefore w:val="0"/>
        <w:widowControl w:val="0"/>
        <w:numPr>
          <w:ilvl w:val="0"/>
          <w:numId w:val="0"/>
        </w:numPr>
        <w:kinsoku/>
        <w:wordWrap/>
        <w:overflowPunct/>
        <w:topLinePunct/>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八、</w:t>
      </w:r>
      <w:r>
        <w:rPr>
          <w:rFonts w:hint="default" w:ascii="Times New Roman" w:hAnsi="Times New Roman" w:eastAsia="黑体" w:cs="Times New Roman"/>
          <w:sz w:val="32"/>
          <w:szCs w:val="32"/>
        </w:rPr>
        <w:t>改进措施及建议</w:t>
      </w:r>
    </w:p>
    <w:p>
      <w:pPr>
        <w:topLinePunct/>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项目在进行设立时具体对绩效目标进行细化，按照项目开展计划严控时间节点列支。</w:t>
      </w:r>
    </w:p>
    <w:p>
      <w:pPr>
        <w:topLinePunct/>
        <w:spacing w:line="560" w:lineRule="exact"/>
        <w:ind w:firstLine="640" w:firstLineChars="200"/>
        <w:rPr>
          <w:rFonts w:hint="default" w:ascii="Times New Roman" w:hAnsi="Times New Roman" w:eastAsia="仿宋_GB2312" w:cs="Times New Roman"/>
          <w:sz w:val="32"/>
          <w:szCs w:val="32"/>
        </w:rPr>
      </w:pPr>
    </w:p>
    <w:p>
      <w:pPr>
        <w:spacing w:line="520" w:lineRule="exact"/>
        <w:jc w:val="center"/>
        <w:rPr>
          <w:rFonts w:hint="default" w:ascii="Times New Roman" w:hAnsi="Times New Roman" w:eastAsia="方正小标宋_GBK" w:cs="Times New Roman"/>
        </w:rPr>
      </w:pPr>
      <w:r>
        <w:rPr>
          <w:rFonts w:hint="eastAsia" w:ascii="方正小标宋简体" w:hAnsi="方正小标宋简体" w:eastAsia="方正小标宋简体" w:cs="方正小标宋简体"/>
          <w:sz w:val="32"/>
          <w:szCs w:val="32"/>
        </w:rPr>
        <w:t>绩效评价报告正文后附以下佐证材料</w:t>
      </w:r>
    </w:p>
    <w:p>
      <w:pPr>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1.《昆明市盘龙区财政局主要职责内设机构和人员编制规定》；</w:t>
      </w:r>
    </w:p>
    <w:p>
      <w:pPr>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2.昆明市盘龙区财政局编制人员情况表；</w:t>
      </w:r>
    </w:p>
    <w:p>
      <w:pPr>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3.《昆明市盘龙区财政局工作总结及工作计划》；</w:t>
      </w:r>
    </w:p>
    <w:p>
      <w:pPr>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4.《盘龙区财政局2020年上半年工作总结和下半年工作计划》；</w:t>
      </w:r>
    </w:p>
    <w:p>
      <w:pPr>
        <w:spacing w:line="56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5.昆明市盘龙区财政局预算批复；</w:t>
      </w:r>
    </w:p>
    <w:p>
      <w:pPr>
        <w:spacing w:line="560" w:lineRule="exact"/>
        <w:ind w:firstLine="640" w:firstLineChars="200"/>
        <w:jc w:val="left"/>
        <w:rPr>
          <w:rFonts w:hint="default" w:ascii="Times New Roman" w:hAnsi="Times New Roman" w:cs="Times New Roman"/>
          <w:sz w:val="32"/>
          <w:szCs w:val="32"/>
        </w:rPr>
      </w:pPr>
      <w:r>
        <w:rPr>
          <w:rFonts w:hint="default" w:ascii="Times New Roman" w:hAnsi="Times New Roman" w:eastAsia="仿宋_GB2312" w:cs="Times New Roman"/>
          <w:sz w:val="32"/>
          <w:szCs w:val="32"/>
        </w:rPr>
        <w:t>6.2020年决算相关材料。</w:t>
      </w:r>
    </w:p>
    <w:p/>
    <w:p/>
    <w:p/>
    <w:p/>
    <w:p/>
    <w:p/>
    <w:p/>
    <w:p/>
    <w:p/>
    <w:p/>
    <w:p/>
    <w:p/>
    <w:p/>
    <w:p/>
    <w:p/>
    <w:p/>
    <w:p/>
    <w:p/>
    <w:p/>
    <w:p/>
    <w:p/>
    <w:p/>
    <w:p/>
    <w:p/>
    <w:p/>
    <w:p/>
    <w:p/>
    <w:p/>
    <w:p/>
    <w:p/>
    <w:p/>
    <w:p/>
    <w:p/>
    <w:p/>
    <w:p>
      <w:pPr>
        <w:widowControl/>
        <w:jc w:val="center"/>
        <w:rPr>
          <w:rFonts w:ascii="方正小标宋_GBK" w:eastAsia="方正小标宋_GBK"/>
          <w:sz w:val="28"/>
          <w:szCs w:val="28"/>
        </w:rPr>
      </w:pPr>
      <w:r>
        <w:rPr>
          <w:rFonts w:hint="eastAsia" w:ascii="方正小标宋_GBK" w:eastAsia="方正小标宋_GBK"/>
          <w:sz w:val="28"/>
          <w:szCs w:val="28"/>
        </w:rPr>
        <w:t>附件2：盘龙区内部控制规范化建设工作经费</w:t>
      </w:r>
    </w:p>
    <w:p>
      <w:pPr>
        <w:widowControl/>
        <w:jc w:val="center"/>
        <w:rPr>
          <w:rFonts w:ascii="方正小标宋_GBK" w:eastAsia="方正小标宋_GBK"/>
          <w:sz w:val="28"/>
          <w:szCs w:val="28"/>
        </w:rPr>
      </w:pPr>
      <w:r>
        <w:rPr>
          <w:rFonts w:hint="eastAsia" w:ascii="方正小标宋_GBK" w:eastAsia="方正小标宋_GBK"/>
          <w:sz w:val="28"/>
          <w:szCs w:val="28"/>
        </w:rPr>
        <w:t>绩效评价指标体系</w:t>
      </w:r>
    </w:p>
    <w:tbl>
      <w:tblPr>
        <w:tblStyle w:val="8"/>
        <w:tblpPr w:leftFromText="180" w:rightFromText="180" w:vertAnchor="text" w:horzAnchor="page" w:tblpX="1201" w:tblpY="383"/>
        <w:tblW w:w="9321" w:type="dxa"/>
        <w:tblInd w:w="0" w:type="dxa"/>
        <w:tblLayout w:type="fixed"/>
        <w:tblCellMar>
          <w:top w:w="0" w:type="dxa"/>
          <w:left w:w="108" w:type="dxa"/>
          <w:bottom w:w="0" w:type="dxa"/>
          <w:right w:w="108" w:type="dxa"/>
        </w:tblCellMar>
      </w:tblPr>
      <w:tblGrid>
        <w:gridCol w:w="846"/>
        <w:gridCol w:w="971"/>
        <w:gridCol w:w="1143"/>
        <w:gridCol w:w="499"/>
        <w:gridCol w:w="568"/>
        <w:gridCol w:w="2101"/>
        <w:gridCol w:w="1975"/>
        <w:gridCol w:w="1218"/>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499"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6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10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　2</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kern w:val="0"/>
                <w:sz w:val="18"/>
                <w:szCs w:val="18"/>
              </w:rPr>
            </w:pPr>
            <w:r>
              <w:rPr>
                <w:rFonts w:hint="eastAsia" w:ascii="宋体" w:hAnsi="宋体" w:cs="宋体"/>
                <w:kern w:val="0"/>
                <w:sz w:val="18"/>
                <w:szCs w:val="18"/>
              </w:rPr>
              <w:t>2</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kern w:val="0"/>
                <w:sz w:val="18"/>
                <w:szCs w:val="18"/>
              </w:rPr>
            </w:pPr>
            <w:r>
              <w:rPr>
                <w:rFonts w:hint="eastAsia" w:ascii="宋体" w:hAnsi="宋体" w:cs="宋体"/>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FF0000"/>
                <w:kern w:val="0"/>
                <w:sz w:val="18"/>
                <w:szCs w:val="18"/>
              </w:rPr>
            </w:pPr>
            <w:r>
              <w:rPr>
                <w:rFonts w:hint="eastAsia" w:ascii="宋体" w:hAnsi="宋体" w:cs="宋体"/>
                <w:color w:val="FF0000"/>
                <w:kern w:val="0"/>
                <w:sz w:val="18"/>
                <w:szCs w:val="18"/>
              </w:rPr>
              <w:t>0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1"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w:t>
            </w:r>
          </w:p>
        </w:tc>
        <w:tc>
          <w:tcPr>
            <w:tcW w:w="1143"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C11.内部控制规范化建设完成情况</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8　</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根据合同约定和制作小样，按照交货时限、数量进行验收</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全部及时签订，得满分；存在一次未及时处理的，扣权重的10%，扣完为止。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内控建设项目验收确认书</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C12.内部控制规范化建设项目成果修订及完善</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根据单位管理要求和实际业务，细化留个业务领域操作流程，制定内部控制相关制度及流程，成果具备有效执行和信息化落地条件</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全部完成，得满分；存在一项未完成工作扣权重的20%，扣完为止。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内控建设项目合同书</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C13..内部控制规范化建设项目预算编制及工作经费支出进度</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5</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是否严格按照执行进度计划支出工作经费</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达到100%及以上的，得满分；每降低5%，扣权重的额10%，扣完为止。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资金使用审批表、会计凭证</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w:t>
            </w: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C15.经济效益</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通过中介审核强化项目及资金管理，提高财政资金使用效益，节约有效财力，用于保障经济社会发展的刚性支出项目上</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内控规范化建设合同</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C16.社会效益</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68"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强化资金监管，加大宣传培训，确保全区内控规范化建设工作圆满完成，促进全区经济社会发展</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内控建设培训材料</w:t>
            </w:r>
          </w:p>
        </w:tc>
      </w:tr>
      <w:tr>
        <w:tblPrEx>
          <w:tblLayout w:type="fixed"/>
          <w:tblCellMar>
            <w:top w:w="0" w:type="dxa"/>
            <w:left w:w="108" w:type="dxa"/>
            <w:bottom w:w="0" w:type="dxa"/>
            <w:right w:w="108" w:type="dxa"/>
          </w:tblCellMar>
        </w:tblPrEx>
        <w:trPr>
          <w:trHeight w:val="23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C17.可持续影响</w:t>
            </w:r>
          </w:p>
        </w:tc>
        <w:tc>
          <w:tcPr>
            <w:tcW w:w="499" w:type="dxa"/>
            <w:tcBorders>
              <w:top w:val="nil"/>
              <w:left w:val="nil"/>
              <w:bottom w:val="single" w:color="auto" w:sz="4" w:space="0"/>
              <w:right w:val="single" w:color="auto" w:sz="4" w:space="0"/>
            </w:tcBorders>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568" w:type="dxa"/>
            <w:tcBorders>
              <w:top w:val="nil"/>
              <w:left w:val="nil"/>
              <w:bottom w:val="single" w:color="auto" w:sz="4" w:space="0"/>
              <w:right w:val="single" w:color="auto" w:sz="4" w:space="0"/>
            </w:tcBorders>
            <w:vAlign w:val="center"/>
          </w:tcPr>
          <w:p>
            <w:pPr>
              <w:widowControl/>
              <w:jc w:val="left"/>
              <w:rPr>
                <w:rFonts w:ascii="宋体" w:hAnsi="宋体" w:cs="宋体"/>
                <w:bCs/>
                <w:color w:val="000000"/>
                <w:kern w:val="0"/>
                <w:sz w:val="18"/>
                <w:szCs w:val="18"/>
              </w:rPr>
            </w:pPr>
            <w:r>
              <w:rPr>
                <w:rFonts w:hint="eastAsia" w:ascii="宋体" w:hAnsi="宋体" w:cs="宋体"/>
                <w:bCs/>
                <w:color w:val="000000"/>
                <w:kern w:val="0"/>
                <w:sz w:val="18"/>
                <w:szCs w:val="18"/>
              </w:rPr>
              <w:t>10</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r>
              <w:rPr>
                <w:rFonts w:hint="eastAsia" w:ascii="宋体" w:hAnsi="宋体" w:cs="宋体"/>
                <w:color w:val="000000"/>
                <w:kern w:val="0"/>
                <w:sz w:val="18"/>
                <w:szCs w:val="18"/>
              </w:rPr>
              <w:t>强化项目和资金监管，确保工作持续开展</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color w:val="000000"/>
                <w:kern w:val="0"/>
                <w:sz w:val="18"/>
                <w:szCs w:val="18"/>
              </w:rPr>
              <w:t>内控建设监督工作材料</w:t>
            </w: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68"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91.5分</w:t>
            </w:r>
          </w:p>
        </w:tc>
        <w:tc>
          <w:tcPr>
            <w:tcW w:w="2101"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center"/>
        <w:rPr>
          <w:rFonts w:ascii="方正小标宋_GBK" w:eastAsia="方正小标宋_GBK"/>
          <w:sz w:val="28"/>
          <w:szCs w:val="28"/>
        </w:rPr>
      </w:pPr>
    </w:p>
    <w:p>
      <w:pPr>
        <w:widowControl/>
        <w:jc w:val="center"/>
        <w:rPr>
          <w:rFonts w:ascii="方正小标宋_GBK" w:eastAsia="方正小标宋_GBK"/>
          <w:sz w:val="32"/>
          <w:szCs w:val="32"/>
        </w:rPr>
      </w:pPr>
      <w:r>
        <w:rPr>
          <w:rFonts w:ascii="方正小标宋_GBK" w:eastAsia="方正小标宋_GBK"/>
          <w:sz w:val="32"/>
          <w:szCs w:val="32"/>
        </w:rPr>
        <w:br w:type="page"/>
      </w:r>
    </w:p>
    <w:p>
      <w:pPr>
        <w:widowControl/>
        <w:jc w:val="center"/>
        <w:rPr>
          <w:rFonts w:ascii="方正小标宋_GBK" w:eastAsia="方正小标宋_GBK"/>
          <w:sz w:val="32"/>
          <w:szCs w:val="32"/>
        </w:rPr>
      </w:pPr>
    </w:p>
    <w:p>
      <w:pPr>
        <w:widowControl/>
        <w:jc w:val="center"/>
        <w:rPr>
          <w:rFonts w:ascii="方正小标宋_GBK" w:eastAsia="方正小标宋_GBK"/>
          <w:sz w:val="32"/>
          <w:szCs w:val="32"/>
        </w:rPr>
      </w:pPr>
    </w:p>
    <w:p>
      <w:pPr>
        <w:widowControl/>
        <w:jc w:val="center"/>
        <w:rPr>
          <w:rFonts w:hint="eastAsia" w:ascii="黑体" w:hAnsi="黑体" w:eastAsia="黑体" w:cs="黑体"/>
          <w:bCs/>
          <w:sz w:val="52"/>
          <w:szCs w:val="52"/>
        </w:rPr>
      </w:pPr>
      <w:r>
        <w:rPr>
          <w:rFonts w:hint="eastAsia" w:ascii="黑体" w:hAnsi="黑体" w:eastAsia="黑体" w:cs="黑体"/>
          <w:bCs/>
          <w:sz w:val="52"/>
          <w:szCs w:val="52"/>
        </w:rPr>
        <w:t>盘龙区内部控制规范化建设</w:t>
      </w:r>
    </w:p>
    <w:p>
      <w:pPr>
        <w:widowControl/>
        <w:jc w:val="center"/>
        <w:rPr>
          <w:rFonts w:ascii="方正小标宋_GBK" w:eastAsia="方正小标宋_GBK"/>
          <w:sz w:val="52"/>
          <w:szCs w:val="52"/>
        </w:rPr>
      </w:pPr>
      <w:r>
        <w:rPr>
          <w:rFonts w:hint="eastAsia" w:ascii="黑体" w:hAnsi="黑体" w:eastAsia="黑体" w:cs="黑体"/>
          <w:bCs/>
          <w:sz w:val="52"/>
          <w:szCs w:val="52"/>
        </w:rPr>
        <w:t>工作经费项目支出绩效自评报告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（2020年度）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848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6848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昆明市盘龙区财政局</w:t>
      </w:r>
      <w:r>
        <w:rPr>
          <w:rFonts w:ascii="Times New Roman" w:hAnsi="Times New Roman" w:eastAsia="黑体" w:cs="黑体"/>
          <w:b/>
          <w:bCs/>
          <w:sz w:val="28"/>
          <w:szCs w:val="28"/>
        </w:rPr>
        <w:t xml:space="preserve"> </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950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6" name="直接箭头连接符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950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twhtS4wEAAJ4DAAAOAAAAZHJzL2Uyb0RvYy54bWytU0uO&#10;EzEQ3SNxB8t70klEIqaVziwShg2CkYADVGx3tyX/5DLp5BJcAIkVsAJWs5/TwHAMyk4mw2eDEL1w&#10;l11Vr+o9lxfnO2vYVkXU3jV8MhpzppzwUruu4a9eXjx4xBkmcBKMd6rhe4X8fHn/3mIItZr63hup&#10;IiMQh/UQGt6nFOqqQtErCzjyQTlytj5aSLSNXSUjDIRuTTUdj+fV4KMM0QuFSKfrg5MvC37bKpGe&#10;ty2qxEzDqbdU1ljWTV6r5QLqLkLotTi2Af/QhQXtqOgJag0J2Ouo/4CyWkSPvk0j4W3l21YLVTgQ&#10;m8n4NzYvegiqcCFxMJxkwv8HK55tLyPTsuFzzhxYuqKbt1ff3ny4+fL56/ur79fvsv3pI5tnqYaA&#10;NWWs3GU87jBcxsx710ab/8SI7Yq8+5O8apeYoMPpw7PZbEa3IG591V1iiJieKG9ZNhqOKYLu+rTy&#10;ztEl+jgp8sL2KSYqTYm3CbmqcWxo+NlsOiN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7cIbU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昆明市盘龙区财政局</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rPr>
        <w:t>（会计监察科)</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7052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7" name="直接箭头连接符 7"/>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7052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J1bjJ4wEAAJ4DAAAOAAAAZHJzL2Uyb0RvYy54bWytU0uO&#10;EzEQ3SNxB8t70klEG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idW4ye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cs="黑体"/>
          <w:b/>
          <w:bCs/>
          <w:sz w:val="28"/>
          <w:szCs w:val="28"/>
        </w:rPr>
        <w:t>昆明市盘龙区财政局</w:t>
      </w:r>
      <w:r>
        <w:rPr>
          <w:rFonts w:ascii="Times New Roman" w:hAnsi="Times New Roman" w:eastAsia="黑体" w:cs="黑体"/>
          <w:b/>
          <w:bCs/>
          <w:sz w:val="28"/>
          <w:szCs w:val="28"/>
        </w:rPr>
        <w:t xml:space="preserve"> </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71552" behindDoc="0" locked="0" layoutInCell="1" allowOverlap="1">
                <wp:simplePos x="0" y="0"/>
                <wp:positionH relativeFrom="column">
                  <wp:posOffset>1847850</wp:posOffset>
                </wp:positionH>
                <wp:positionV relativeFrom="paragraph">
                  <wp:posOffset>180975</wp:posOffset>
                </wp:positionV>
                <wp:extent cx="2495550" cy="0"/>
                <wp:effectExtent l="0" t="0" r="0" b="0"/>
                <wp:wrapNone/>
                <wp:docPr id="8" name="直接箭头连接符 8"/>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45.5pt;margin-top:14.25pt;height:0pt;width:196.5pt;z-index:251671552;mso-width-relative:page;mso-height-relative:page;" filled="f" stroked="t" coordsize="21600,21600" o:gfxdata="UEsDBAoAAAAAAIdO4kAAAAAAAAAAAAAAAAAEAAAAZHJzL1BLAwQUAAAACACHTuJAoWH3sNcAAAAJ&#10;AQAADwAAAGRycy9kb3ducmV2LnhtbE2PQU/DMAyF70j7D5EncUEsacWmrjSdpkkcOLJN4po1pi00&#10;TtWk69ivx4gDu9nPT8/fKzYX14kzDqH1pCFZKBBIlbct1RqOh5fHDESIhqzpPKGGbwywKWd3hcmt&#10;n+gNz/tYCw6hkBsNTYx9LmWoGnQmLHyPxLcPPzgTeR1qaQczcbjrZKrUSjrTEn9oTI+7Bquv/eg0&#10;YBiXidquXX18vU4P7+n1c+oPWt/PE/UMIuIl/pvhF5/RoWSmkx/JBtFpSNcJd4k8ZEsQbFhlTyyc&#10;/gRZFvK2QfkDUEsDBBQAAAAIAIdO4kCREw274gEAAJ4DAAAOAAAAZHJzL2Uyb0RvYy54bWytU0uO&#10;EzEQ3SNxB8t70klE0EwrnVkkDBsEkYADVGx3tyX/5DLp5BJcAIkVsAJWs5/TwHAMyk4mw2eDEL1w&#10;l12uV/VelecXO2vYVkXU3jV8MhpzppzwUruu4a9eXj444wwTOAnGO9XwvUJ+sbh/bz6EWk19741U&#10;kRGIw3oIDe9TCnVVoeiVBRz5oBw5Wx8tJNrGrpIRBkK3ppqOx4+qwUcZohcKkU5XBydfFPy2VSI9&#10;b1tUiZmGU22prLGsm7xWiznUXYTQa3EsA/6hCgvaUdIT1AoSsNdR/wFltYgefZtGwtvKt60WqnAg&#10;NpPxb2xe9BBU4ULiYDjJhP8PVjzbriPTsuHUKAeWWnTz9urbmw83Xz5/fX/1/fpdtj99ZGdZqiFg&#10;TRFLt47HHYZ1zLx3bbT5T4zYrsi7P8mrdokJOpw+PJ/NZtQFceur7gJDxPREecuy0XBMEXTXp6V3&#10;jpro46TIC9unmCg1Bd4G5KzGsaHh57PpjMCBxqg1kMi0gYih60oseqPlpTYmR2DsNksT2RbyYJQv&#10;EyTcX67lJCvA/nCvuA4j0yuQj51kaR9IMkezzXMJVknOjKKnkC0ChDqBNn9zk1IbRxVkjQ+qZmvj&#10;5b6IXc5pCEqNx4HNU/bzvkTfPavF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Fh97DXAAAACQEA&#10;AA8AAAAAAAAAAQAgAAAAIgAAAGRycy9kb3ducmV2LnhtbFBLAQIUABQAAAAIAIdO4kCREw27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盘龙区内部控制规范化建设工作经费</w:t>
      </w:r>
      <w:r>
        <w:rPr>
          <w:rFonts w:ascii="Times New Roman" w:hAnsi="Times New Roman" w:eastAsia="黑体"/>
          <w:b/>
          <w:bCs/>
          <w:sz w:val="28"/>
          <w:szCs w:val="28"/>
        </w:rPr>
        <w:t xml:space="preserve"> </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7257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9" name="直接箭头连接符 9"/>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7257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1BK4g4QEAAJ4DAAAOAAAAZHJzL2Uyb0RvYy54bWytU0uO&#10;EzEQ3SNxB8t70klEEGmlM4uEYYMgEnCAiu3utuSfXCadXIILILECVsBq9pwGhmNQdjIZPhuE6IW7&#10;7Kp6Ve+5vLjYW8N2KqL2ruGT0Zgz5YSX2nUNf/ni8t5DzjCBk2C8Uw0/KOQXy7t3FkOo1dT33kgV&#10;GYE4rIfQ8D6lUFcVil5ZwJEPypGz9dFCom3sKhlhIHRrqul4/KAafJQheqEQ6XR9dPJlwW9bJdKz&#10;tkWVmGk49ZbKGsu6zWu1XEDdRQi9Fqc24B+6sKAdFT1DrSEBexX1H1BWi+jRt2kkvK1822qhCgdi&#10;Mxn/xuZ5D0EVLiQOhrNM+P9gxdPdJjItGz7nzIGlK7p+c/Xt9fvrz5++vrv6/uVttj9+YPMs1RCw&#10;poyV28TTDsMmZt77Ntr8J0ZsX+Q9nOVV+8QEHU7vz2ezGd2CuPFVt4khYnqsvGXZaDimCLrr08o7&#10;R5fo46TIC7snmKg0Jd4k5KrGsYEYzKYzAgcao9ZAItMGIoauK7nojZaX2picgbHbrkxkO8iDUb5M&#10;kHB/CctF1oD9Ma64jiPTK5CPnGTpEEgyR7PNcwtWSc6MoqeQLQKEOoE2fxNJpY2jDrLGR1WztfXy&#10;UMQu5zQEpcfTwOYp+3lfsm+f1fI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CC/u9cAAAAJAQAA&#10;DwAAAAAAAAABACAAAAAiAAAAZHJzL2Rvd25yZXYueG1sUEsBAhQAFAAAAAgAh07iQPUEriDhAQAA&#10;ngMAAA4AAAAAAAAAAQAgAAAAJgEAAGRycy9lMm9Eb2MueG1sUEsFBgAAAAAGAAYAWQEAAHkFAAAA&#10;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b/>
          <w:bCs/>
          <w:sz w:val="28"/>
          <w:szCs w:val="28"/>
        </w:rPr>
        <w:t>2021年5月6日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5</w:t>
      </w:r>
      <w:r>
        <w:rPr>
          <w:rFonts w:hint="eastAsia" w:ascii="Times New Roman" w:hAnsi="Times New Roman" w:eastAsia="黑体" w:cs="黑体"/>
          <w:b/>
          <w:bCs/>
          <w:sz w:val="28"/>
          <w:szCs w:val="28"/>
        </w:rPr>
        <w:t>月</w:t>
      </w:r>
    </w:p>
    <w:p>
      <w:pPr>
        <w:spacing w:line="520" w:lineRule="exact"/>
        <w:ind w:left="843" w:hanging="843" w:hangingChars="300"/>
        <w:jc w:val="left"/>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both"/>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720"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tcPr>
          <w:p>
            <w:pPr>
              <w:pStyle w:val="10"/>
              <w:widowControl w:val="0"/>
              <w:spacing w:after="0" w:line="24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陈昕</w:t>
            </w:r>
          </w:p>
        </w:tc>
        <w:tc>
          <w:tcPr>
            <w:tcW w:w="1620"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副主任</w:t>
            </w:r>
          </w:p>
        </w:tc>
        <w:tc>
          <w:tcPr>
            <w:tcW w:w="1621"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财政局财务服务中心</w:t>
            </w:r>
          </w:p>
        </w:tc>
        <w:tc>
          <w:tcPr>
            <w:tcW w:w="1621" w:type="dxa"/>
          </w:tcPr>
          <w:p>
            <w:pPr>
              <w:pStyle w:val="10"/>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龚媛</w:t>
            </w:r>
          </w:p>
        </w:tc>
        <w:tc>
          <w:tcPr>
            <w:tcW w:w="1620"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科长</w:t>
            </w:r>
          </w:p>
        </w:tc>
        <w:tc>
          <w:tcPr>
            <w:tcW w:w="1621"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财政局会计监察科</w:t>
            </w:r>
          </w:p>
        </w:tc>
        <w:tc>
          <w:tcPr>
            <w:tcW w:w="1621" w:type="dxa"/>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李春梅</w:t>
            </w:r>
          </w:p>
        </w:tc>
        <w:tc>
          <w:tcPr>
            <w:tcW w:w="1620"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科员</w:t>
            </w:r>
          </w:p>
        </w:tc>
        <w:tc>
          <w:tcPr>
            <w:tcW w:w="1621" w:type="dxa"/>
          </w:tcPr>
          <w:p>
            <w:pPr>
              <w:pStyle w:val="10"/>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财政局会计监察科</w:t>
            </w:r>
          </w:p>
        </w:tc>
        <w:tc>
          <w:tcPr>
            <w:tcW w:w="1621" w:type="dxa"/>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Times New Roman" w:hAnsi="Times New Roman" w:eastAsia="黑体" w:cs="黑体"/>
                <w:kern w:val="2"/>
                <w:sz w:val="24"/>
                <w:szCs w:val="24"/>
                <w:lang w:val="zh-TW"/>
              </w:rPr>
            </w:pPr>
            <w:r>
              <w:rPr>
                <w:rFonts w:ascii="Times New Roman" w:hAnsi="Times New Roman" w:eastAsia="黑体" w:cs="黑体"/>
                <w:kern w:val="2"/>
                <w:sz w:val="24"/>
                <w:szCs w:val="24"/>
                <w:lang w:val="zh-TW"/>
              </w:rPr>
              <w:t>……</w:t>
            </w:r>
          </w:p>
        </w:tc>
        <w:tc>
          <w:tcPr>
            <w:tcW w:w="1620" w:type="dxa"/>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0" w:type="dxa"/>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11"/>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一、</w:t>
      </w: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二、</w:t>
      </w:r>
      <w:r>
        <w:rPr>
          <w:rFonts w:hint="eastAsia" w:ascii="黑体" w:hAnsi="黑体" w:eastAsia="黑体"/>
          <w:szCs w:val="32"/>
        </w:rPr>
        <w:t>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（一）项目概况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（二）绩效目标 </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三、</w:t>
      </w:r>
      <w:r>
        <w:rPr>
          <w:rFonts w:hint="eastAsia" w:ascii="黑体" w:hAnsi="黑体" w:eastAsia="黑体"/>
          <w:szCs w:val="32"/>
        </w:rPr>
        <w:t>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(一)绩效评价目的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(二)绩效评价设计过程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(三)绩效评价原则、评价方法</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(五)本次绩效评价的局限性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四、</w:t>
      </w:r>
      <w:r>
        <w:rPr>
          <w:rFonts w:hint="eastAsia" w:ascii="黑体" w:hAnsi="黑体" w:eastAsia="黑体"/>
          <w:szCs w:val="32"/>
        </w:rPr>
        <w:t xml:space="preserve">评价结论和绩效分析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(二)具体绩效分析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五、</w:t>
      </w:r>
      <w:r>
        <w:rPr>
          <w:rFonts w:hint="eastAsia" w:ascii="黑体" w:hAnsi="黑体" w:eastAsia="黑体"/>
          <w:szCs w:val="32"/>
        </w:rPr>
        <w:t>主要经验及做法、存在的问题和建议</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 (三)建议和改进措施 </w:t>
      </w: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440" w:lineRule="exact"/>
        <w:jc w:val="both"/>
        <w:rPr>
          <w:rFonts w:hint="eastAsia" w:ascii="方正小标宋_GBK" w:eastAsia="方正小标宋_GBK"/>
          <w:sz w:val="44"/>
          <w:szCs w:val="44"/>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盘龙区内部控制规范化建设工作经费</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项目支出绩效自评报告</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摘要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项目概况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推进行政事业单位开展内部控制规范工作，提高行政事业单位内部管理水平，根据《财政部关于印发&lt;行政事业单位内部控制规范（试行）&gt;的通知》（财会〔2012〕21号）和《关于昆明市行政事业单位内部控制建设成果推广阶段有关工作的通知》（昆内控办[2017]1号）的文件要求，为确保全区内控规范化建设工作顺利完成，引入中介机构协助完成2020年全区26家行政事业单位内控制度体系建设，主要包括：单位内部控制建设方案、风险评估报告、单位层面内控制度和单位预算业务、收支业务、采购业务、资产业务、建设项目、合同业务等六大经济业务的内部控制制度、主要风险管控措施及流程等。此项目合同中标价为144.2万元，根据合同要求，需按项目完成进度支付费用， 因此，2020年度项目支出成本共计76.1万元。</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评价结论</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本次项目绩效目标总体完成情况良好，自评得分91.5分。</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经验、问题和建议</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主要做法</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盘龙区财政局于2020年8月19日通过通过政府采购流程委托招标机构对2020年盘龙区内控建设采购项目进行代理组织采购，以竞争性磋商的采购方式最终确定由云南艾图内控规范研究院有限公司作为盘龙区2020年内部控制规范建设试点项目中介机构，中标价144.2万元。根据合同要求，合同签订后10各工作日支付50%合同金，提交成果物初稿确定签字后7个工作日支付20%的合同金，最后组织专家组对建设成果物进行最终验收签章通过后7个工作日，支付剩余30%合同金。</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存在的问题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项目计划在本年度完成实施，但由于工作量较大，涉及单位情况复杂，资料收集及内容协商周期较长，实际完成进度存在跨年度情况，预计于2021年5月底完成项目验收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本年度资金预算执行率未达100%。</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改进措施及建议</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结合上一年度项目实施完成情况，充分了解项目建设需求，精准测算当年计划任务数，同时提前谋划当年内控建设工作，尽量早启动、早实施。</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、项目基本情况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1.项目立项背景及目的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推进行政事业单位开展内部控制规范工作，提高行政事业单位内部管理水平，根据《财政部关于印发&lt;行政事业单位内部控制规范（试行）&gt;的通知》（财会〔2012〕21号）和《关于昆明市行政事业单位内部控制建设成果推广阶段有关工作的通知》（昆内控办[2017]1号）的文件要求，为确保全区内控规范化建设工作顺利完成，引入中介机构协助完成2020年全区26家行政事业单位内控制度体系建设，主要包括：单位内部控制建设方案、风险评估报告、单位层面内控制度和单位预算业务、收支业务、采购业务、资产业务、建设项目、合同业务等六大经济业务的内部控制制度、主要风险管控措施及流程等。此项目合同中标价为144.2万元，根据合同要求，需按项目完成进度支付费用， 因此，2020年度项目支出成本共计76.1万元。</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盘龙区财政局于2020年8月19日通过通过政府采购流程委托招标机构对2020年盘龙区内控建设采购项目进行代理组织采购，以竞争性磋商的采购方式最终确定由云南艾图内控规范研究院有限公司作为盘龙区2020年内部控制规范建设试点项目中介机构，中标价144.2万元。根据合同要求，合同签订后10各工作日支付50%合同金，提交成果物初稿确定签字后7个工作日支付20%的合同金，最后组织专家组对建设成果物进行最终验收签章通过后7个工作日，支付剩余30%合同金。</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盘龙区内部控制规范化建设工作经费资金来源为年初预算，截止2020年末，该项目工作经费支出72.1万元。</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盘龙区财政局业务科室于2020年8月19日通过通过政府采购流程委托招标机构对2020年盘龙区内控建设采购项目进行代理组织采购，以竞争性磋商的采购方式最终确定由云南艾图内控规范研究院有限公司作为盘龙区2020年内部控制规范建设试点项目中介机构，中标价144.2万元。根据合同要求，合同签订后10各工作日支付50%合同金，已于2020年11月8日支付第一阶段合同金72.1万元，之后提交成果物初稿确定签字后7个工作日支付20%的合同金，最后组织专家组对建设成果物进行最终验收签章通过后7个工作日，支付剩余30%合同金。</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的实施目的为确保年度内控规范化建设工作顺利完成，引入中介机构对建设单位六大经济业务的内部控制制度、主要风险管控措施及流程等开展辅助建设相关工作；该项目资金的申请和使用均按照政府采购相关要求进行，资金使用严格按照局内部财务管理要求进行。</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、绩效评价工作情况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（二）绩效评价设计过程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根据《盘龙区区级部门预算绩效自评管理暂行办法》的要求，结合具体工作实际设计指标名称，首先明确绩效评价等级划分与指标，其次对相关指标进行解释并拟定评分标准和考评方式。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绩效评价结合项目推进情况，按照设定的绩效目标，运用合理的评价方法和对照标准，对项目涉及的各个方面进行客观、科学、公正、公平地评价。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采用直接比对的方法，将项目实际完成情况与绩效指标完成情况进行直接对比，在此基础上进行评价。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此次绩效评价由项目实施科室根据项目绩效目标进行，一是前期准备，明确项目内容、了解基本情况、设计指标体系；二是收集信息，对标要求，按阶段落实工作进展情况；三是对照检查核实，提出意见建议。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本项目的一些评价指标以及成果效益有待进一步完善。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、评价结论和绩效分析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1.评价结果</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本次项目绩效目标总体完成情况良好，自评得分91.5分。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2.主要绩效</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绩效指标主要从三大方面对本项目进行自评，分别是项目决策（20%）、项目管理（20%）、项目绩效（60%）。</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项目决策指标满分20分，得18分。项目与部门中长期目标相匹配，与部门职责密切相关。但绩效目标细化分解还有待进一步完善、可衡量的绩效指标涉及内容范围较广。</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项目管理指标满分20分，得18分。预算执行率=实际支出金额/项目预算金额×100%=72.1/144.2×100%=50%，扣2分。项目存在跨年度并按完成进度阶段性付款的情况。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3.项目绩效指标完成情况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项目产出指标满分30分，得23分，项目实施完成时限超时，扣2分；未严格按照执行进度计划支出工作经费，扣5分。项目效益指标满分30分，得30分。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、主要经验及做法、存在的问题和建议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1.严格按照区财政内控制度，在经费申请，实施方式、过程管理、资金支付严格执行内控制度。</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2.会计监察科较为规范地组织工作，及时反馈，重点跟踪，确保阶段性任务能够按计划完成，并做好资料收集整理工作。</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1.项目与原计划时间目标有一定差距，未在设定的时限内完成部分工作。</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2.实际支付资金与原计划目标有差异，在设定绩效目标是要做到精准测算。</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3.部分绩效考评指标设计不合理。该项目的部分成果无法用量化指标的形式表示，在绩效考评指标的设计上，有待完善。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（三）建议和改进措施</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1.参考上一年度项目实施完成情况，充分了解各阶段项目建设需求，精准测算当年计划任务数，同时提前谋划当年一事一议项目工作，尽量早启动、早实施。</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2.建议研究制定适合专项资金的支出绩效评价共性指标，绩效管理方面需细化，指标的设计还需进一步的讨论和完善。</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_GB2312" w:eastAsia="仿宋_GB2312" w:cs="仿宋_GB2312"/>
          <w:sz w:val="32"/>
          <w:szCs w:val="32"/>
        </w:rPr>
      </w:pPr>
    </w:p>
    <w:p>
      <w:pPr>
        <w:spacing w:line="520" w:lineRule="exact"/>
        <w:jc w:val="center"/>
        <w:rPr>
          <w:rFonts w:hint="eastAsia" w:ascii="Times New Roman" w:hAnsi="Times New Roman" w:eastAsia="方正小标宋_GBK" w:cs="Times New Roman"/>
          <w:sz w:val="32"/>
          <w:szCs w:val="32"/>
        </w:rPr>
      </w:pPr>
      <w:r>
        <w:rPr>
          <w:rFonts w:hint="eastAsia" w:ascii="方正小标宋简体" w:hAnsi="方正小标宋简体" w:eastAsia="方正小标宋简体" w:cs="方正小标宋简体"/>
          <w:sz w:val="32"/>
          <w:szCs w:val="32"/>
        </w:rPr>
        <w:t>绩效评价报告正文后附以下佐证材料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1.云南省财政厅关于转发《行政事业单位内部控制规范（试行）的通知》（云财会[2013]13号）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2.关于昆明市行政事业单位内部控制建设成果推广阶段有关工作的通知（昆内控办[2017]1号）</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3.2020年盘龙区内部控制规范化建设项目政府采购委托代理协议</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4.2020年盘龙区内部控制规范化建设委托中介机构合同书（及发票）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5.农村综合改革项目经费支出明细表</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autoSpaceDE/>
        <w:autoSpaceDN/>
        <w:bidi w:val="0"/>
        <w:adjustRightInd/>
        <w:snapToGrid/>
        <w:spacing w:line="600" w:lineRule="exact"/>
        <w:jc w:val="left"/>
        <w:textAlignment w:val="auto"/>
        <w:rPr>
          <w:rFonts w:hint="eastAsia" w:ascii="仿宋_GB2312" w:hAnsi="仿宋_GB2312" w:eastAsia="仿宋_GB2312" w:cs="仿宋_GB2312"/>
          <w:b/>
          <w:kern w:val="0"/>
          <w:sz w:val="32"/>
          <w:szCs w:val="32"/>
        </w:rPr>
      </w:pPr>
    </w:p>
    <w:p>
      <w:pPr>
        <w:keepNext w:val="0"/>
        <w:keepLines w:val="0"/>
        <w:pageBreakBefore w:val="0"/>
        <w:widowControl w:val="0"/>
        <w:kinsoku/>
        <w:wordWrap/>
        <w:overflowPunct/>
        <w:autoSpaceDE/>
        <w:autoSpaceDN/>
        <w:bidi w:val="0"/>
        <w:adjustRightInd/>
        <w:snapToGrid/>
        <w:spacing w:line="600" w:lineRule="exact"/>
        <w:jc w:val="left"/>
        <w:textAlignment w:val="auto"/>
        <w:rPr>
          <w:rFonts w:hint="eastAsia" w:ascii="仿宋_GB2312" w:hAnsi="仿宋_GB2312" w:eastAsia="仿宋_GB2312" w:cs="仿宋_GB2312"/>
          <w:sz w:val="32"/>
          <w:szCs w:val="32"/>
        </w:rPr>
      </w:pPr>
    </w:p>
    <w:p/>
    <w:p/>
    <w:p/>
    <w:p/>
    <w:p/>
    <w:p/>
    <w:p/>
    <w:p/>
    <w:p/>
    <w:p/>
    <w:p/>
    <w:p/>
    <w:p/>
    <w:p/>
    <w:p/>
    <w:p/>
    <w:p/>
    <w:p/>
    <w:p/>
    <w:p/>
    <w:p/>
    <w:p/>
    <w:p/>
    <w:p/>
    <w:p/>
    <w:p>
      <w:pPr>
        <w:widowControl/>
        <w:jc w:val="center"/>
        <w:rPr>
          <w:rFonts w:ascii="方正小标宋_GBK" w:eastAsia="方正小标宋_GBK"/>
          <w:sz w:val="28"/>
          <w:szCs w:val="28"/>
          <w:highlight w:val="none"/>
        </w:rPr>
      </w:pPr>
      <w:r>
        <w:rPr>
          <w:rFonts w:hint="eastAsia" w:ascii="方正小标宋_GBK" w:eastAsia="方正小标宋_GBK"/>
          <w:sz w:val="28"/>
          <w:szCs w:val="28"/>
          <w:highlight w:val="none"/>
        </w:rPr>
        <w:t>附件</w:t>
      </w:r>
      <w:r>
        <w:rPr>
          <w:rFonts w:hint="eastAsia" w:ascii="方正小标宋_GBK" w:eastAsia="方正小标宋_GBK"/>
          <w:sz w:val="28"/>
          <w:szCs w:val="28"/>
          <w:highlight w:val="none"/>
          <w:lang w:val="en-US" w:eastAsia="zh-CN"/>
        </w:rPr>
        <w:t>3</w:t>
      </w:r>
      <w:r>
        <w:rPr>
          <w:rFonts w:hint="eastAsia" w:ascii="方正小标宋_GBK" w:eastAsia="方正小标宋_GBK"/>
          <w:sz w:val="28"/>
          <w:szCs w:val="28"/>
          <w:highlight w:val="none"/>
        </w:rPr>
        <w:t>：财政投资评审专项经费项目支出绩效评价共性指标体系框架</w:t>
      </w:r>
    </w:p>
    <w:tbl>
      <w:tblPr>
        <w:tblStyle w:val="8"/>
        <w:tblpPr w:leftFromText="180" w:rightFromText="180" w:vertAnchor="text" w:horzAnchor="page" w:tblpX="1201" w:tblpY="383"/>
        <w:tblW w:w="10251" w:type="dxa"/>
        <w:tblInd w:w="0" w:type="dxa"/>
        <w:tblLayout w:type="fixed"/>
        <w:tblCellMar>
          <w:top w:w="0" w:type="dxa"/>
          <w:left w:w="108" w:type="dxa"/>
          <w:bottom w:w="0" w:type="dxa"/>
          <w:right w:w="108" w:type="dxa"/>
        </w:tblCellMar>
      </w:tblPr>
      <w:tblGrid>
        <w:gridCol w:w="846"/>
        <w:gridCol w:w="971"/>
        <w:gridCol w:w="1143"/>
        <w:gridCol w:w="1091"/>
        <w:gridCol w:w="499"/>
        <w:gridCol w:w="568"/>
        <w:gridCol w:w="1953"/>
        <w:gridCol w:w="1680"/>
        <w:gridCol w:w="1500"/>
      </w:tblGrid>
      <w:tr>
        <w:tblPrEx>
          <w:tblLayout w:type="fixed"/>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一级</w:t>
            </w:r>
          </w:p>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指标</w:t>
            </w:r>
          </w:p>
        </w:tc>
        <w:tc>
          <w:tcPr>
            <w:tcW w:w="971"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二级指标</w:t>
            </w:r>
          </w:p>
        </w:tc>
        <w:tc>
          <w:tcPr>
            <w:tcW w:w="114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三级指标</w:t>
            </w:r>
          </w:p>
        </w:tc>
        <w:tc>
          <w:tcPr>
            <w:tcW w:w="1091"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四级指标</w:t>
            </w:r>
          </w:p>
        </w:tc>
        <w:tc>
          <w:tcPr>
            <w:tcW w:w="49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分值</w:t>
            </w:r>
          </w:p>
        </w:tc>
        <w:tc>
          <w:tcPr>
            <w:tcW w:w="56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得分</w:t>
            </w:r>
          </w:p>
        </w:tc>
        <w:tc>
          <w:tcPr>
            <w:tcW w:w="195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指标解释</w:t>
            </w:r>
          </w:p>
        </w:tc>
        <w:tc>
          <w:tcPr>
            <w:tcW w:w="16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评分标准</w:t>
            </w:r>
          </w:p>
        </w:tc>
        <w:tc>
          <w:tcPr>
            <w:tcW w:w="15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数据来源</w:t>
            </w:r>
          </w:p>
        </w:tc>
      </w:tr>
      <w:tr>
        <w:tblPrEx>
          <w:tblLayout w:type="fixed"/>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A.项目决策（20%）</w:t>
            </w:r>
          </w:p>
        </w:tc>
        <w:tc>
          <w:tcPr>
            <w:tcW w:w="971"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A1.项目立项（8%）</w:t>
            </w:r>
          </w:p>
        </w:tc>
        <w:tc>
          <w:tcPr>
            <w:tcW w:w="114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A11.与部门中长期规划目标适应性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A111.与部门中长期规划目标匹配性</w:t>
            </w:r>
          </w:p>
        </w:tc>
        <w:tc>
          <w:tcPr>
            <w:tcW w:w="49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val="en-US" w:eastAsia="zh-CN"/>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考察项目与部门中长期目标是否匹配</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匹配，得满分；不匹配，不得分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部门中长期规划目标</w:t>
            </w:r>
          </w:p>
        </w:tc>
      </w:tr>
      <w:tr>
        <w:tblPrEx>
          <w:tblLayout w:type="fixed"/>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A12.立项依据充分性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A121.与市政府相关规划、决策匹配性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考察项目是否符合区政府相关发展规划和政府决策</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符合，得满分；不符合，不得分。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区政府相关规划、决策、批复</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A122.与部门职责适应性</w:t>
            </w:r>
          </w:p>
        </w:tc>
        <w:tc>
          <w:tcPr>
            <w:tcW w:w="49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val="en-US" w:eastAsia="zh-CN"/>
              </w:rPr>
              <w:t>4</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4</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考察项目是否与部门职责密切相关。</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部门职责文件</w:t>
            </w:r>
          </w:p>
        </w:tc>
      </w:tr>
      <w:tr>
        <w:tblPrEx>
          <w:tblLayout w:type="fixed"/>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A2.项目目标（12%）</w:t>
            </w: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A21.绩效目标设定的合理性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A211.绩效目标相关性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考察设定的绩效目标是否与事业发展规划相关。</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绩效目标申报表、部门规划、年度工作目标</w:t>
            </w:r>
          </w:p>
        </w:tc>
      </w:tr>
      <w:tr>
        <w:tblPrEx>
          <w:tblLayout w:type="fixed"/>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A212.绩效目标完整性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考察设定的绩效目标是否完整地反应预期产出和效果</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绩效目标申报表、年度工作目标、立项申请、批复文件</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A213.目标与预算的匹配性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考察设定的绩效目标是否与年度预算相匹配。</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A22.绩效指标设定的明确性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A221.指标细化分解情况</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568"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rPr>
              <w:t>　</w:t>
            </w:r>
            <w:r>
              <w:rPr>
                <w:rFonts w:hint="eastAsia" w:ascii="宋体" w:hAnsi="宋体" w:cs="宋体"/>
                <w:color w:val="000000"/>
                <w:kern w:val="0"/>
                <w:sz w:val="18"/>
                <w:szCs w:val="18"/>
                <w:highlight w:val="none"/>
                <w:lang w:val="en-US" w:eastAsia="zh-CN"/>
              </w:rPr>
              <w:t>3</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考察是否将绩效目标细化分解为清晰、可衡量的绩效指标。</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绩效目标申报表、立项申请、批复文件</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A222.指标与目标的匹配性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3</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考察设定的绩效指标是否与年度工作任务相对应。</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绩效目标申报表、年度工作任务</w:t>
            </w:r>
          </w:p>
        </w:tc>
      </w:tr>
      <w:tr>
        <w:tblPrEx>
          <w:tblLayout w:type="fixed"/>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B.项目管理（20%）</w:t>
            </w:r>
          </w:p>
        </w:tc>
        <w:tc>
          <w:tcPr>
            <w:tcW w:w="971"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B1.投入管理（4%）</w:t>
            </w:r>
          </w:p>
        </w:tc>
        <w:tc>
          <w:tcPr>
            <w:tcW w:w="2234" w:type="dxa"/>
            <w:gridSpan w:val="2"/>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B11.预算编制合理性</w:t>
            </w:r>
          </w:p>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考察预算编制是否充分、合理的预计项目支出并完整反应</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合理得满分；存在一项不合理，扣0.5分，扣完为止</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预算分析、预算批复</w:t>
            </w:r>
          </w:p>
        </w:tc>
      </w:tr>
      <w:tr>
        <w:tblPrEx>
          <w:tblLayout w:type="fixed"/>
          <w:tblCellMar>
            <w:top w:w="0" w:type="dxa"/>
            <w:left w:w="108" w:type="dxa"/>
            <w:bottom w:w="0" w:type="dxa"/>
            <w:right w:w="108" w:type="dxa"/>
          </w:tblCellMar>
        </w:tblPrEx>
        <w:trPr>
          <w:trHeight w:val="1131"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2234" w:type="dxa"/>
            <w:gridSpan w:val="2"/>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B12.预算调整规范性</w:t>
            </w:r>
          </w:p>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考察存在预算调整时是否按照相关规定执行调整程序。</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规范，得满分；部分规范，扣0.5分；不规范，不得分。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预算调整文件</w:t>
            </w:r>
          </w:p>
        </w:tc>
      </w:tr>
      <w:tr>
        <w:tblPrEx>
          <w:tblLayout w:type="fixed"/>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2234" w:type="dxa"/>
            <w:gridSpan w:val="2"/>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B13.预算执行率</w:t>
            </w:r>
          </w:p>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考察项目预算执行的进度。预算执行率=实际支出金额/项目预算金额×100%</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预算执行率95%以上，得满分；低于95%，每下降1%扣权重的1%；预算执行率60%以下，不计分。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绩效目标申报表、支付指令、合同、财务凭证</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B2.财务管理（6%）</w:t>
            </w:r>
          </w:p>
        </w:tc>
        <w:tc>
          <w:tcPr>
            <w:tcW w:w="2234" w:type="dxa"/>
            <w:gridSpan w:val="2"/>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B21.资金使用情况</w:t>
            </w:r>
          </w:p>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考察项目资金使用是否符合预算批复的用途，是否存在截留、挤占、挪用、虚列支出等情况。</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合规，得满分；存在一项不合规，扣1分，扣完为止。</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绩效目标申报表、支付指令，合同、财务凭证</w:t>
            </w:r>
          </w:p>
        </w:tc>
      </w:tr>
      <w:tr>
        <w:tblPrEx>
          <w:tblLayout w:type="fixed"/>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2234" w:type="dxa"/>
            <w:gridSpan w:val="2"/>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B22.财务管理制度健全性</w:t>
            </w:r>
          </w:p>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考察项目的财务制度是否健全、完善、有效。</w:t>
            </w:r>
          </w:p>
        </w:tc>
        <w:tc>
          <w:tcPr>
            <w:tcW w:w="1680" w:type="dxa"/>
            <w:tcBorders>
              <w:top w:val="nil"/>
              <w:left w:val="nil"/>
              <w:bottom w:val="single" w:color="auto" w:sz="4" w:space="0"/>
              <w:right w:val="single" w:color="auto" w:sz="4" w:space="0"/>
            </w:tcBorders>
            <w:noWrap w:val="0"/>
            <w:vAlign w:val="top"/>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a.是否已制定或具有相应的财务管理办法；                         b.项目财务管理办法是否符合相关财务会计制度的规定；                                              c.是否存在需要完善的风险控制环节。                            符合所有条件，得满分； 一项不符合，扣0.5分，扣完为止。</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财务管理制度</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B23.财务监控有效性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B231.资金拨付程序完整性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考察资金拨付是否具有完整的审批程序和手续，是否符合相关制度规定。</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资金拨付申请、审批手续完整，得满分；存在一例手续不完整，不得分。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支付申请单、支付指令</w:t>
            </w:r>
          </w:p>
        </w:tc>
      </w:tr>
      <w:tr>
        <w:tblPrEx>
          <w:tblLayout w:type="fixed"/>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B232财务制度执行有效性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考察是否存在违反相关财务管理制度的情况。</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不存在，得满分；存在1例，不得分。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财务管理制度、访谈、会计凭证</w:t>
            </w:r>
          </w:p>
        </w:tc>
      </w:tr>
      <w:tr>
        <w:tblPrEx>
          <w:tblLayout w:type="fixed"/>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B3.项目实施（10%）</w:t>
            </w: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B31.项目管理制度健全性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B311.项目实施单位管理制度健全性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项目实施单位为保障项目顺利实施制订的与项目直接相关的业务管理制度是否健全、完善和有效。</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制订相关制度或采取措施，得满分；制度不完善或者措施不明确，得权重的60%；没有相关制度或措施，不得分。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B312.管理方监管措施健全性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考察项目主管部门为保障项目顺利实施采取的监管措施是否明确，是否存在需要完善的风险控制环节。</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监管措施明确、完善，得满分；每存在一项需要完善的风险控制点，扣权重的30%，扣完为止。</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管理制度、访谈、现场调查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B32.项目管理制度执行有效性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B321.项目实施单位管理制度执行情况</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考察项目实施单位制订的管理制度是否有效执行。</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有效执行，得满分；部分执行，得权重的60%；未执行，不得分。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项目实施单位管理制度、现场调查</w:t>
            </w:r>
          </w:p>
        </w:tc>
      </w:tr>
      <w:tr>
        <w:tblPrEx>
          <w:tblLayout w:type="fixed"/>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B322.监管措施执行情况</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项目主管部门所制订的监管措施是否有效执行。</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有效执行，得满分；部分执行，得权重的60%；未执行，不得分。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管理制度、现场调查</w:t>
            </w:r>
          </w:p>
        </w:tc>
      </w:tr>
      <w:tr>
        <w:tblPrEx>
          <w:tblLayout w:type="fixed"/>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B323.合同执行情况</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考察与项目相关的合同是否有效执行。</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有效执行，得满分；部分执行，得权重的60%；未执行，不得分。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合同、现场调查</w:t>
            </w:r>
          </w:p>
        </w:tc>
      </w:tr>
      <w:tr>
        <w:tblPrEx>
          <w:tblLayout w:type="fixed"/>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B324.台账记录规范性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考察项目实施过程中的相关台账记录是否完整，并符合要求。</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规范，得满分；部分规范，得权重的60%；不规范，不得分。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台账记录</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B33.政府采购规范性</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B331.采购方式合规性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考察采购方式是否符合中央、省、市、区的相关要求。</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符合相关要求，得满分；一项不符合，不得分。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政府采购相关材料</w:t>
            </w:r>
          </w:p>
        </w:tc>
      </w:tr>
      <w:tr>
        <w:tblPrEx>
          <w:tblLayout w:type="fixed"/>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B332.采购流程规范性</w:t>
            </w:r>
          </w:p>
        </w:tc>
        <w:tc>
          <w:tcPr>
            <w:tcW w:w="49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考察采购流程是否符合相关规定。</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符合相关要求，得满分；一项不符合，不得分。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政府采购相关材料</w:t>
            </w:r>
          </w:p>
        </w:tc>
      </w:tr>
      <w:tr>
        <w:tblPrEx>
          <w:tblLayout w:type="fixed"/>
          <w:tblCellMar>
            <w:top w:w="0" w:type="dxa"/>
            <w:left w:w="108" w:type="dxa"/>
            <w:bottom w:w="0" w:type="dxa"/>
            <w:right w:w="108" w:type="dxa"/>
          </w:tblCellMar>
        </w:tblPrEx>
        <w:trPr>
          <w:trHeight w:val="1602" w:hRule="atLeast"/>
        </w:trPr>
        <w:tc>
          <w:tcPr>
            <w:tcW w:w="846"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C.项目绩效（60%）</w:t>
            </w:r>
          </w:p>
        </w:tc>
        <w:tc>
          <w:tcPr>
            <w:tcW w:w="971"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rPr>
              <w:t>C1.项目产出（30%）（说明：该指标主要反映部门（单位）项目工作任务的完成情况。</w:t>
            </w:r>
            <w:r>
              <w:rPr>
                <w:rFonts w:hint="eastAsia" w:ascii="宋体" w:hAnsi="宋体" w:cs="宋体"/>
                <w:color w:val="000000"/>
                <w:kern w:val="0"/>
                <w:sz w:val="18"/>
                <w:szCs w:val="18"/>
                <w:highlight w:val="none"/>
                <w:lang w:eastAsia="zh-CN"/>
              </w:rPr>
              <w:t>）</w:t>
            </w:r>
          </w:p>
        </w:tc>
        <w:tc>
          <w:tcPr>
            <w:tcW w:w="1143"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C11.</w:t>
            </w:r>
            <w:r>
              <w:rPr>
                <w:rFonts w:hint="eastAsia" w:ascii="宋体" w:hAnsi="宋体" w:cs="宋体"/>
                <w:color w:val="000000"/>
                <w:kern w:val="0"/>
                <w:sz w:val="18"/>
                <w:szCs w:val="18"/>
                <w:highlight w:val="none"/>
                <w:lang w:val="en-US" w:eastAsia="zh-CN"/>
              </w:rPr>
              <w:t>评审项目</w:t>
            </w:r>
            <w:r>
              <w:rPr>
                <w:rFonts w:hint="eastAsia" w:ascii="宋体" w:hAnsi="宋体" w:cs="宋体"/>
                <w:color w:val="000000"/>
                <w:kern w:val="0"/>
                <w:sz w:val="18"/>
                <w:szCs w:val="18"/>
                <w:highlight w:val="none"/>
              </w:rPr>
              <w:t>完成情况</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C111.</w:t>
            </w:r>
            <w:r>
              <w:rPr>
                <w:rFonts w:hint="eastAsia" w:ascii="宋体" w:hAnsi="宋体" w:cs="宋体"/>
                <w:color w:val="000000"/>
                <w:kern w:val="0"/>
                <w:sz w:val="18"/>
                <w:szCs w:val="18"/>
                <w:highlight w:val="none"/>
                <w:lang w:val="en-US" w:eastAsia="zh-CN"/>
              </w:rPr>
              <w:t>评审项目</w:t>
            </w:r>
            <w:r>
              <w:rPr>
                <w:rFonts w:hint="eastAsia" w:ascii="宋体" w:hAnsi="宋体" w:cs="宋体"/>
                <w:color w:val="000000"/>
                <w:kern w:val="0"/>
                <w:sz w:val="18"/>
                <w:szCs w:val="18"/>
                <w:highlight w:val="none"/>
              </w:rPr>
              <w:t>完成率</w:t>
            </w:r>
          </w:p>
        </w:tc>
        <w:tc>
          <w:tcPr>
            <w:tcW w:w="49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val="en-US" w:eastAsia="zh-CN"/>
              </w:rPr>
              <w:t>6</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3</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聘请中介机构共同进行建设项目竣工决算评审项目</w:t>
            </w:r>
            <w:r>
              <w:rPr>
                <w:rFonts w:hint="eastAsia" w:ascii="宋体" w:hAnsi="宋体" w:cs="宋体"/>
                <w:color w:val="000000"/>
                <w:kern w:val="0"/>
                <w:sz w:val="18"/>
                <w:szCs w:val="18"/>
                <w:highlight w:val="none"/>
                <w:lang w:val="en-US" w:eastAsia="zh-CN"/>
              </w:rPr>
              <w:t>20</w:t>
            </w:r>
            <w:r>
              <w:rPr>
                <w:rFonts w:hint="eastAsia" w:ascii="宋体" w:hAnsi="宋体" w:cs="宋体"/>
                <w:color w:val="000000"/>
                <w:kern w:val="0"/>
                <w:sz w:val="18"/>
                <w:szCs w:val="18"/>
                <w:highlight w:val="none"/>
              </w:rPr>
              <w:t>个</w:t>
            </w:r>
            <w:r>
              <w:rPr>
                <w:rFonts w:hint="eastAsia" w:ascii="宋体" w:hAnsi="宋体" w:cs="宋体"/>
                <w:color w:val="000000"/>
                <w:kern w:val="0"/>
                <w:sz w:val="18"/>
                <w:szCs w:val="18"/>
                <w:highlight w:val="none"/>
                <w:lang w:eastAsia="zh-CN"/>
              </w:rPr>
              <w:t>，</w:t>
            </w:r>
            <w:r>
              <w:rPr>
                <w:rFonts w:hint="eastAsia" w:ascii="宋体" w:hAnsi="宋体" w:cs="宋体"/>
                <w:color w:val="000000"/>
                <w:kern w:val="0"/>
                <w:sz w:val="18"/>
                <w:szCs w:val="18"/>
                <w:highlight w:val="none"/>
                <w:lang w:val="en-US" w:eastAsia="zh-CN"/>
              </w:rPr>
              <w:t>项目评审</w:t>
            </w:r>
            <w:r>
              <w:rPr>
                <w:rFonts w:hint="eastAsia" w:ascii="宋体" w:hAnsi="宋体" w:cs="宋体"/>
                <w:color w:val="000000"/>
                <w:kern w:val="0"/>
                <w:sz w:val="18"/>
                <w:szCs w:val="18"/>
                <w:highlight w:val="none"/>
              </w:rPr>
              <w:t>完成率=实际</w:t>
            </w:r>
            <w:r>
              <w:rPr>
                <w:rFonts w:hint="eastAsia" w:ascii="宋体" w:hAnsi="宋体" w:cs="宋体"/>
                <w:color w:val="000000"/>
                <w:kern w:val="0"/>
                <w:sz w:val="18"/>
                <w:szCs w:val="18"/>
                <w:highlight w:val="none"/>
                <w:lang w:val="en-US" w:eastAsia="zh-CN"/>
              </w:rPr>
              <w:t>评审完成项目</w:t>
            </w:r>
            <w:r>
              <w:rPr>
                <w:rFonts w:hint="eastAsia" w:ascii="宋体" w:hAnsi="宋体" w:cs="宋体"/>
                <w:color w:val="000000"/>
                <w:kern w:val="0"/>
                <w:sz w:val="18"/>
                <w:szCs w:val="18"/>
                <w:highlight w:val="none"/>
              </w:rPr>
              <w:t>/应</w:t>
            </w:r>
            <w:r>
              <w:rPr>
                <w:rFonts w:hint="eastAsia" w:ascii="宋体" w:hAnsi="宋体" w:cs="宋体"/>
                <w:color w:val="000000"/>
                <w:kern w:val="0"/>
                <w:sz w:val="18"/>
                <w:szCs w:val="18"/>
                <w:highlight w:val="none"/>
                <w:lang w:val="en-US" w:eastAsia="zh-CN"/>
              </w:rPr>
              <w:t>评审完成项目</w:t>
            </w:r>
            <w:r>
              <w:rPr>
                <w:rFonts w:hint="eastAsia" w:ascii="宋体" w:hAnsi="宋体" w:cs="宋体"/>
                <w:color w:val="000000"/>
                <w:kern w:val="0"/>
                <w:sz w:val="18"/>
                <w:szCs w:val="18"/>
                <w:highlight w:val="none"/>
              </w:rPr>
              <w:t>×100%</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全部</w:t>
            </w:r>
            <w:r>
              <w:rPr>
                <w:rFonts w:hint="eastAsia" w:ascii="宋体" w:hAnsi="宋体" w:cs="宋体"/>
                <w:color w:val="000000"/>
                <w:kern w:val="0"/>
                <w:sz w:val="18"/>
                <w:szCs w:val="18"/>
                <w:highlight w:val="none"/>
                <w:lang w:val="en-US" w:eastAsia="zh-CN"/>
              </w:rPr>
              <w:t>完成</w:t>
            </w:r>
            <w:r>
              <w:rPr>
                <w:rFonts w:hint="eastAsia" w:ascii="宋体" w:hAnsi="宋体" w:cs="宋体"/>
                <w:color w:val="000000"/>
                <w:kern w:val="0"/>
                <w:sz w:val="18"/>
                <w:szCs w:val="18"/>
                <w:highlight w:val="none"/>
              </w:rPr>
              <w:t>，得满分；每降低1%，扣权重的</w:t>
            </w: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%，扣完为止。</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实际完成评审项目</w:t>
            </w:r>
            <w:r>
              <w:rPr>
                <w:rFonts w:hint="eastAsia" w:ascii="宋体" w:hAnsi="宋体" w:cs="宋体"/>
                <w:color w:val="000000"/>
                <w:kern w:val="0"/>
                <w:sz w:val="18"/>
                <w:szCs w:val="18"/>
                <w:highlight w:val="none"/>
              </w:rPr>
              <w:t>、</w:t>
            </w:r>
            <w:r>
              <w:rPr>
                <w:rFonts w:hint="eastAsia" w:ascii="宋体" w:hAnsi="宋体" w:cs="宋体"/>
                <w:color w:val="000000"/>
                <w:kern w:val="0"/>
                <w:sz w:val="18"/>
                <w:szCs w:val="18"/>
                <w:highlight w:val="none"/>
                <w:lang w:val="en-US" w:eastAsia="zh-CN"/>
              </w:rPr>
              <w:t>评审项目</w:t>
            </w:r>
            <w:r>
              <w:rPr>
                <w:rFonts w:hint="eastAsia" w:ascii="宋体" w:hAnsi="宋体" w:cs="宋体"/>
                <w:color w:val="000000"/>
                <w:kern w:val="0"/>
                <w:sz w:val="18"/>
                <w:szCs w:val="18"/>
                <w:highlight w:val="none"/>
              </w:rPr>
              <w:t>台账</w:t>
            </w:r>
          </w:p>
        </w:tc>
      </w:tr>
      <w:tr>
        <w:tblPrEx>
          <w:tblLayout w:type="fixed"/>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C112.及时</w:t>
            </w:r>
            <w:r>
              <w:rPr>
                <w:rFonts w:hint="eastAsia" w:ascii="宋体" w:hAnsi="宋体" w:cs="宋体"/>
                <w:color w:val="000000"/>
                <w:kern w:val="0"/>
                <w:sz w:val="18"/>
                <w:szCs w:val="18"/>
                <w:highlight w:val="none"/>
                <w:lang w:val="en-US" w:eastAsia="zh-CN"/>
              </w:rPr>
              <w:t>评审项目</w:t>
            </w:r>
            <w:r>
              <w:rPr>
                <w:rFonts w:hint="eastAsia" w:ascii="宋体" w:hAnsi="宋体" w:cs="宋体"/>
                <w:color w:val="000000"/>
                <w:kern w:val="0"/>
                <w:sz w:val="18"/>
                <w:szCs w:val="18"/>
                <w:highlight w:val="none"/>
              </w:rPr>
              <w:t>情况</w:t>
            </w:r>
          </w:p>
        </w:tc>
        <w:tc>
          <w:tcPr>
            <w:tcW w:w="49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val="en-US" w:eastAsia="zh-CN"/>
              </w:rPr>
              <w:t>8</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8</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w:t>
            </w:r>
            <w:r>
              <w:rPr>
                <w:rFonts w:hint="eastAsia" w:ascii="宋体" w:hAnsi="宋体" w:cs="宋体"/>
                <w:color w:val="000000"/>
                <w:kern w:val="0"/>
                <w:sz w:val="18"/>
                <w:szCs w:val="18"/>
                <w:highlight w:val="none"/>
                <w:lang w:val="en-US" w:eastAsia="zh-CN"/>
              </w:rPr>
              <w:t>项目评审</w:t>
            </w:r>
            <w:r>
              <w:rPr>
                <w:rFonts w:hint="eastAsia" w:ascii="宋体" w:hAnsi="宋体" w:cs="宋体"/>
                <w:color w:val="000000"/>
                <w:kern w:val="0"/>
                <w:sz w:val="18"/>
                <w:szCs w:val="18"/>
                <w:highlight w:val="none"/>
              </w:rPr>
              <w:t>是否</w:t>
            </w:r>
            <w:r>
              <w:rPr>
                <w:rFonts w:hint="eastAsia" w:ascii="宋体" w:hAnsi="宋体" w:cs="宋体"/>
                <w:color w:val="000000"/>
                <w:kern w:val="0"/>
                <w:sz w:val="18"/>
                <w:szCs w:val="18"/>
                <w:highlight w:val="none"/>
                <w:lang w:eastAsia="zh-CN"/>
              </w:rPr>
              <w:t>及时</w:t>
            </w:r>
            <w:r>
              <w:rPr>
                <w:rFonts w:hint="eastAsia" w:ascii="宋体" w:hAnsi="宋体" w:cs="宋体"/>
                <w:color w:val="000000"/>
                <w:kern w:val="0"/>
                <w:sz w:val="18"/>
                <w:szCs w:val="18"/>
                <w:highlight w:val="none"/>
              </w:rPr>
              <w:t>，做到不积</w:t>
            </w:r>
            <w:r>
              <w:rPr>
                <w:rFonts w:hint="eastAsia" w:ascii="宋体" w:hAnsi="宋体" w:cs="宋体"/>
                <w:color w:val="000000"/>
                <w:kern w:val="0"/>
                <w:sz w:val="18"/>
                <w:szCs w:val="18"/>
                <w:highlight w:val="none"/>
                <w:lang w:val="en-US" w:eastAsia="zh-CN"/>
              </w:rPr>
              <w:t>压项目</w:t>
            </w:r>
            <w:r>
              <w:rPr>
                <w:rFonts w:hint="eastAsia" w:ascii="宋体" w:hAnsi="宋体" w:cs="宋体"/>
                <w:color w:val="000000"/>
                <w:kern w:val="0"/>
                <w:sz w:val="18"/>
                <w:szCs w:val="18"/>
                <w:highlight w:val="none"/>
              </w:rPr>
              <w:t>。</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全部及时</w:t>
            </w:r>
            <w:r>
              <w:rPr>
                <w:rFonts w:hint="eastAsia" w:ascii="宋体" w:hAnsi="宋体" w:cs="宋体"/>
                <w:color w:val="000000"/>
                <w:kern w:val="0"/>
                <w:sz w:val="18"/>
                <w:szCs w:val="18"/>
                <w:highlight w:val="none"/>
                <w:lang w:val="en-US" w:eastAsia="zh-CN"/>
              </w:rPr>
              <w:t>评审</w:t>
            </w:r>
            <w:r>
              <w:rPr>
                <w:rFonts w:hint="eastAsia" w:ascii="宋体" w:hAnsi="宋体" w:cs="宋体"/>
                <w:color w:val="000000"/>
                <w:kern w:val="0"/>
                <w:sz w:val="18"/>
                <w:szCs w:val="18"/>
                <w:highlight w:val="none"/>
              </w:rPr>
              <w:t>，得满分；存在一次未及时</w:t>
            </w:r>
            <w:r>
              <w:rPr>
                <w:rFonts w:hint="eastAsia" w:ascii="宋体" w:hAnsi="宋体" w:cs="宋体"/>
                <w:color w:val="000000"/>
                <w:kern w:val="0"/>
                <w:sz w:val="18"/>
                <w:szCs w:val="18"/>
                <w:highlight w:val="none"/>
                <w:lang w:val="en-US" w:eastAsia="zh-CN"/>
              </w:rPr>
              <w:t>评审</w:t>
            </w:r>
            <w:r>
              <w:rPr>
                <w:rFonts w:hint="eastAsia" w:ascii="宋体" w:hAnsi="宋体" w:cs="宋体"/>
                <w:color w:val="000000"/>
                <w:kern w:val="0"/>
                <w:sz w:val="18"/>
                <w:szCs w:val="18"/>
                <w:highlight w:val="none"/>
              </w:rPr>
              <w:t>的，扣权重的</w:t>
            </w:r>
            <w:r>
              <w:rPr>
                <w:rFonts w:hint="eastAsia" w:ascii="宋体" w:hAnsi="宋体" w:cs="宋体"/>
                <w:color w:val="000000"/>
                <w:kern w:val="0"/>
                <w:sz w:val="18"/>
                <w:szCs w:val="18"/>
                <w:highlight w:val="none"/>
                <w:lang w:val="en-US" w:eastAsia="zh-CN"/>
              </w:rPr>
              <w:t>1</w:t>
            </w:r>
            <w:r>
              <w:rPr>
                <w:rFonts w:hint="eastAsia" w:ascii="宋体" w:hAnsi="宋体" w:cs="宋体"/>
                <w:color w:val="000000"/>
                <w:kern w:val="0"/>
                <w:sz w:val="18"/>
                <w:szCs w:val="18"/>
                <w:highlight w:val="none"/>
              </w:rPr>
              <w:t>%，扣完为止。</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实际完成评审项目</w:t>
            </w:r>
            <w:r>
              <w:rPr>
                <w:rFonts w:hint="eastAsia" w:ascii="宋体" w:hAnsi="宋体" w:cs="宋体"/>
                <w:color w:val="000000"/>
                <w:kern w:val="0"/>
                <w:sz w:val="18"/>
                <w:szCs w:val="18"/>
                <w:highlight w:val="none"/>
              </w:rPr>
              <w:t>、</w:t>
            </w:r>
            <w:r>
              <w:rPr>
                <w:rFonts w:hint="eastAsia" w:ascii="宋体" w:hAnsi="宋体" w:cs="宋体"/>
                <w:color w:val="000000"/>
                <w:kern w:val="0"/>
                <w:sz w:val="18"/>
                <w:szCs w:val="18"/>
                <w:highlight w:val="none"/>
                <w:lang w:val="en-US" w:eastAsia="zh-CN"/>
              </w:rPr>
              <w:t>评审项目</w:t>
            </w:r>
            <w:r>
              <w:rPr>
                <w:rFonts w:hint="eastAsia" w:ascii="宋体" w:hAnsi="宋体" w:cs="宋体"/>
                <w:color w:val="000000"/>
                <w:kern w:val="0"/>
                <w:sz w:val="18"/>
                <w:szCs w:val="18"/>
                <w:highlight w:val="none"/>
              </w:rPr>
              <w:t>台账</w:t>
            </w:r>
          </w:p>
        </w:tc>
      </w:tr>
      <w:tr>
        <w:tblPrEx>
          <w:tblLayout w:type="fixed"/>
          <w:tblCellMar>
            <w:top w:w="0" w:type="dxa"/>
            <w:left w:w="108" w:type="dxa"/>
            <w:bottom w:w="0" w:type="dxa"/>
            <w:right w:w="108" w:type="dxa"/>
          </w:tblCellMar>
        </w:tblPrEx>
        <w:trPr>
          <w:trHeight w:val="1117"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C113.</w:t>
            </w:r>
            <w:r>
              <w:rPr>
                <w:rFonts w:hint="eastAsia" w:ascii="宋体" w:hAnsi="宋体" w:cs="宋体"/>
                <w:color w:val="000000"/>
                <w:kern w:val="0"/>
                <w:sz w:val="18"/>
                <w:szCs w:val="18"/>
                <w:highlight w:val="none"/>
                <w:lang w:val="en-US" w:eastAsia="zh-CN"/>
              </w:rPr>
              <w:t>评审报告</w:t>
            </w:r>
            <w:r>
              <w:rPr>
                <w:rFonts w:hint="eastAsia" w:ascii="宋体" w:hAnsi="宋体" w:cs="宋体"/>
                <w:color w:val="000000"/>
                <w:kern w:val="0"/>
                <w:sz w:val="18"/>
                <w:szCs w:val="18"/>
                <w:highlight w:val="none"/>
              </w:rPr>
              <w:t>合格情况</w:t>
            </w:r>
          </w:p>
        </w:tc>
        <w:tc>
          <w:tcPr>
            <w:tcW w:w="499"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5</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5</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w:t>
            </w:r>
            <w:r>
              <w:rPr>
                <w:rFonts w:hint="eastAsia" w:ascii="宋体" w:hAnsi="宋体" w:cs="宋体"/>
                <w:color w:val="000000"/>
                <w:kern w:val="0"/>
                <w:sz w:val="18"/>
                <w:szCs w:val="18"/>
                <w:highlight w:val="none"/>
                <w:lang w:val="en-US" w:eastAsia="zh-CN"/>
              </w:rPr>
              <w:t>评审报告</w:t>
            </w:r>
            <w:r>
              <w:rPr>
                <w:rFonts w:hint="eastAsia" w:ascii="宋体" w:hAnsi="宋体" w:cs="宋体"/>
                <w:color w:val="000000"/>
                <w:kern w:val="0"/>
                <w:sz w:val="18"/>
                <w:szCs w:val="18"/>
                <w:highlight w:val="none"/>
              </w:rPr>
              <w:t>是否满足相关控制标准要求。</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全部合格，得满分；存在一次超标，扣权重的10%，扣完为止。</w:t>
            </w:r>
          </w:p>
        </w:tc>
        <w:tc>
          <w:tcPr>
            <w:tcW w:w="1500"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项目评审报告</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restart"/>
            <w:tcBorders>
              <w:top w:val="nil"/>
              <w:left w:val="nil"/>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C1</w:t>
            </w: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w:t>
            </w:r>
            <w:r>
              <w:rPr>
                <w:rFonts w:hint="eastAsia" w:ascii="宋体" w:hAnsi="宋体" w:cs="宋体"/>
                <w:color w:val="000000"/>
                <w:kern w:val="0"/>
                <w:sz w:val="18"/>
                <w:szCs w:val="18"/>
                <w:highlight w:val="none"/>
                <w:lang w:val="en-US" w:eastAsia="zh-CN"/>
              </w:rPr>
              <w:t>项目评审成本完</w:t>
            </w:r>
            <w:r>
              <w:rPr>
                <w:rFonts w:hint="eastAsia" w:ascii="宋体" w:hAnsi="宋体" w:cs="宋体"/>
                <w:color w:val="000000"/>
                <w:kern w:val="0"/>
                <w:sz w:val="18"/>
                <w:szCs w:val="18"/>
                <w:highlight w:val="none"/>
              </w:rPr>
              <w:t>成情况</w:t>
            </w:r>
          </w:p>
        </w:tc>
        <w:tc>
          <w:tcPr>
            <w:tcW w:w="1091"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rPr>
              <w:t>C1</w:t>
            </w:r>
            <w:r>
              <w:rPr>
                <w:rFonts w:hint="eastAsia" w:ascii="宋体" w:hAnsi="宋体" w:cs="宋体"/>
                <w:color w:val="000000"/>
                <w:kern w:val="0"/>
                <w:sz w:val="18"/>
                <w:szCs w:val="18"/>
                <w:highlight w:val="none"/>
                <w:lang w:val="en-US" w:eastAsia="zh-CN"/>
              </w:rPr>
              <w:t>2</w:t>
            </w:r>
            <w:r>
              <w:rPr>
                <w:rFonts w:hint="eastAsia" w:ascii="宋体" w:hAnsi="宋体" w:cs="宋体"/>
                <w:color w:val="000000"/>
                <w:kern w:val="0"/>
                <w:sz w:val="18"/>
                <w:szCs w:val="18"/>
                <w:highlight w:val="none"/>
              </w:rPr>
              <w:t>1</w:t>
            </w:r>
            <w:r>
              <w:rPr>
                <w:rFonts w:hint="eastAsia" w:ascii="宋体" w:hAnsi="宋体" w:cs="宋体"/>
                <w:color w:val="000000"/>
                <w:kern w:val="0"/>
                <w:sz w:val="18"/>
                <w:szCs w:val="18"/>
                <w:highlight w:val="none"/>
                <w:lang w:val="en-US" w:eastAsia="zh-CN"/>
              </w:rPr>
              <w:t>.评审费用合同情况</w:t>
            </w:r>
          </w:p>
        </w:tc>
        <w:tc>
          <w:tcPr>
            <w:tcW w:w="499" w:type="dxa"/>
            <w:tcBorders>
              <w:top w:val="nil"/>
              <w:left w:val="nil"/>
              <w:bottom w:val="single" w:color="auto" w:sz="4" w:space="0"/>
              <w:right w:val="single" w:color="auto" w:sz="4" w:space="0"/>
            </w:tcBorders>
            <w:noWrap w:val="0"/>
            <w:vAlign w:val="center"/>
          </w:tcPr>
          <w:p>
            <w:pPr>
              <w:widowControl/>
              <w:jc w:val="center"/>
              <w:rPr>
                <w:rFonts w:hint="default" w:ascii="宋体" w:hAnsi="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5</w:t>
            </w:r>
          </w:p>
        </w:tc>
        <w:tc>
          <w:tcPr>
            <w:tcW w:w="568" w:type="dxa"/>
            <w:tcBorders>
              <w:top w:val="nil"/>
              <w:left w:val="nil"/>
              <w:bottom w:val="single" w:color="auto" w:sz="4" w:space="0"/>
              <w:right w:val="single" w:color="auto" w:sz="4" w:space="0"/>
            </w:tcBorders>
            <w:noWrap w:val="0"/>
            <w:vAlign w:val="center"/>
          </w:tcPr>
          <w:p>
            <w:pPr>
              <w:widowControl/>
              <w:jc w:val="center"/>
              <w:rPr>
                <w:rFonts w:hint="default" w:ascii="宋体" w:hAnsi="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5</w:t>
            </w:r>
          </w:p>
        </w:tc>
        <w:tc>
          <w:tcPr>
            <w:tcW w:w="1953"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eastAsia="zh-CN"/>
              </w:rPr>
              <w:t>评审费用合同签订是否满足相关规定</w:t>
            </w:r>
          </w:p>
        </w:tc>
        <w:tc>
          <w:tcPr>
            <w:tcW w:w="1680"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eastAsia="zh-CN"/>
              </w:rPr>
              <w:t>满足，得满分；不满足，不得分。</w:t>
            </w:r>
          </w:p>
        </w:tc>
        <w:tc>
          <w:tcPr>
            <w:tcW w:w="1500" w:type="dxa"/>
            <w:tcBorders>
              <w:top w:val="nil"/>
              <w:left w:val="nil"/>
              <w:bottom w:val="single" w:color="auto" w:sz="4" w:space="0"/>
              <w:right w:val="single" w:color="auto" w:sz="4" w:space="0"/>
            </w:tcBorders>
            <w:noWrap w:val="0"/>
            <w:vAlign w:val="center"/>
          </w:tcPr>
          <w:p>
            <w:pPr>
              <w:widowControl/>
              <w:jc w:val="left"/>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eastAsia="zh-CN"/>
              </w:rPr>
              <w:t>项目评审合同</w:t>
            </w:r>
          </w:p>
        </w:tc>
      </w:tr>
      <w:tr>
        <w:tblPrEx>
          <w:tblLayout w:type="fixed"/>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vMerge w:val="continue"/>
            <w:tcBorders>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091"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rPr>
              <w:t>C1</w:t>
            </w:r>
            <w:r>
              <w:rPr>
                <w:rFonts w:hint="eastAsia" w:ascii="宋体" w:hAnsi="宋体" w:cs="宋体"/>
                <w:color w:val="000000"/>
                <w:kern w:val="0"/>
                <w:sz w:val="18"/>
                <w:szCs w:val="18"/>
                <w:highlight w:val="none"/>
                <w:lang w:val="en-US" w:eastAsia="zh-CN"/>
              </w:rPr>
              <w:t>22</w:t>
            </w:r>
            <w:r>
              <w:rPr>
                <w:rFonts w:hint="eastAsia" w:ascii="宋体" w:hAnsi="宋体" w:cs="宋体"/>
                <w:color w:val="000000"/>
                <w:kern w:val="0"/>
                <w:sz w:val="18"/>
                <w:szCs w:val="18"/>
                <w:highlight w:val="none"/>
              </w:rPr>
              <w:t>.</w:t>
            </w:r>
            <w:r>
              <w:rPr>
                <w:rFonts w:hint="eastAsia" w:ascii="宋体" w:hAnsi="宋体" w:cs="宋体"/>
                <w:color w:val="000000"/>
                <w:kern w:val="0"/>
                <w:sz w:val="18"/>
                <w:szCs w:val="18"/>
                <w:highlight w:val="none"/>
                <w:lang w:val="en-US" w:eastAsia="zh-CN"/>
              </w:rPr>
              <w:t>评审费用支付情况</w:t>
            </w:r>
          </w:p>
        </w:tc>
        <w:tc>
          <w:tcPr>
            <w:tcW w:w="499" w:type="dxa"/>
            <w:tcBorders>
              <w:top w:val="nil"/>
              <w:left w:val="nil"/>
              <w:bottom w:val="single" w:color="auto" w:sz="4" w:space="0"/>
              <w:right w:val="single" w:color="auto" w:sz="4" w:space="0"/>
            </w:tcBorders>
            <w:noWrap w:val="0"/>
            <w:vAlign w:val="center"/>
          </w:tcPr>
          <w:p>
            <w:pPr>
              <w:widowControl/>
              <w:jc w:val="center"/>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lang w:val="en-US" w:eastAsia="zh-CN"/>
              </w:rPr>
              <w:t>6</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6</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w:t>
            </w:r>
            <w:r>
              <w:rPr>
                <w:rFonts w:hint="eastAsia" w:ascii="宋体" w:hAnsi="宋体" w:cs="宋体"/>
                <w:color w:val="000000"/>
                <w:kern w:val="0"/>
                <w:sz w:val="18"/>
                <w:szCs w:val="18"/>
                <w:highlight w:val="none"/>
                <w:lang w:val="en-US" w:eastAsia="zh-CN"/>
              </w:rPr>
              <w:t>评审费用支付</w:t>
            </w:r>
            <w:r>
              <w:rPr>
                <w:rFonts w:hint="eastAsia" w:ascii="宋体" w:hAnsi="宋体" w:cs="宋体"/>
                <w:color w:val="000000"/>
                <w:kern w:val="0"/>
                <w:sz w:val="18"/>
                <w:szCs w:val="18"/>
                <w:highlight w:val="none"/>
              </w:rPr>
              <w:t>否在合同期限内及时完成。</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及时完成，得满分；完成但不及时，得权重的50%；未完成，不得分。</w:t>
            </w:r>
          </w:p>
        </w:tc>
        <w:tc>
          <w:tcPr>
            <w:tcW w:w="1500"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rPr>
              <w:t>合同、</w:t>
            </w:r>
            <w:r>
              <w:rPr>
                <w:rFonts w:hint="eastAsia" w:ascii="宋体" w:hAnsi="宋体" w:cs="宋体"/>
                <w:color w:val="000000"/>
                <w:kern w:val="0"/>
                <w:sz w:val="18"/>
                <w:szCs w:val="18"/>
                <w:highlight w:val="none"/>
                <w:lang w:val="en-US" w:eastAsia="zh-CN"/>
              </w:rPr>
              <w:t>支付凭证</w:t>
            </w:r>
          </w:p>
        </w:tc>
      </w:tr>
      <w:tr>
        <w:tblPrEx>
          <w:tblLayout w:type="fixed"/>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restart"/>
            <w:tcBorders>
              <w:top w:val="nil"/>
              <w:left w:val="single" w:color="auto" w:sz="4" w:space="0"/>
              <w:bottom w:val="single" w:color="000000" w:sz="4" w:space="0"/>
              <w:right w:val="single" w:color="auto" w:sz="4" w:space="0"/>
            </w:tcBorders>
            <w:noWrap w:val="0"/>
            <w:vAlign w:val="center"/>
          </w:tcPr>
          <w:p>
            <w:pPr>
              <w:widowControl/>
              <w:jc w:val="left"/>
              <w:rPr>
                <w:rFonts w:hint="eastAsia" w:ascii="宋体" w:hAnsi="宋体" w:eastAsia="宋体" w:cs="宋体"/>
                <w:color w:val="000000"/>
                <w:kern w:val="0"/>
                <w:sz w:val="18"/>
                <w:szCs w:val="18"/>
                <w:highlight w:val="none"/>
                <w:lang w:eastAsia="zh-CN"/>
              </w:rPr>
            </w:pPr>
            <w:r>
              <w:rPr>
                <w:rFonts w:hint="eastAsia" w:ascii="宋体" w:hAnsi="宋体" w:cs="宋体"/>
                <w:color w:val="000000"/>
                <w:kern w:val="0"/>
                <w:sz w:val="18"/>
                <w:szCs w:val="18"/>
                <w:highlight w:val="none"/>
              </w:rPr>
              <w:t>C2.项目效益（30%）（说明：该指标主要反映部门（单位）项目的实施效果。</w:t>
            </w:r>
            <w:r>
              <w:rPr>
                <w:rFonts w:hint="eastAsia" w:ascii="宋体" w:hAnsi="宋体" w:cs="宋体"/>
                <w:color w:val="000000"/>
                <w:kern w:val="0"/>
                <w:sz w:val="18"/>
                <w:szCs w:val="18"/>
                <w:highlight w:val="none"/>
                <w:lang w:eastAsia="zh-CN"/>
              </w:rPr>
              <w:t>）</w:t>
            </w:r>
          </w:p>
        </w:tc>
        <w:tc>
          <w:tcPr>
            <w:tcW w:w="114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C21.</w:t>
            </w:r>
            <w:r>
              <w:rPr>
                <w:rFonts w:hint="eastAsia" w:ascii="宋体" w:hAnsi="宋体" w:cs="宋体"/>
                <w:color w:val="000000"/>
                <w:kern w:val="0"/>
                <w:sz w:val="18"/>
                <w:szCs w:val="18"/>
                <w:highlight w:val="none"/>
                <w:lang w:val="en-US" w:eastAsia="zh-CN"/>
              </w:rPr>
              <w:t>社会</w:t>
            </w:r>
            <w:r>
              <w:rPr>
                <w:rFonts w:hint="eastAsia" w:ascii="宋体" w:hAnsi="宋体" w:cs="宋体"/>
                <w:color w:val="000000"/>
                <w:kern w:val="0"/>
                <w:sz w:val="18"/>
                <w:szCs w:val="18"/>
                <w:highlight w:val="none"/>
              </w:rPr>
              <w:t>效益</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C211.有效节约财政资金</w:t>
            </w:r>
          </w:p>
        </w:tc>
        <w:tc>
          <w:tcPr>
            <w:tcW w:w="499"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15</w:t>
            </w:r>
          </w:p>
        </w:tc>
        <w:tc>
          <w:tcPr>
            <w:tcW w:w="568"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rPr>
              <w:t>　</w:t>
            </w:r>
            <w:r>
              <w:rPr>
                <w:rFonts w:hint="eastAsia" w:ascii="宋体" w:hAnsi="宋体" w:cs="宋体"/>
                <w:color w:val="000000"/>
                <w:kern w:val="0"/>
                <w:sz w:val="18"/>
                <w:szCs w:val="18"/>
                <w:highlight w:val="none"/>
                <w:lang w:val="en-US" w:eastAsia="zh-CN"/>
              </w:rPr>
              <w:t>15</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通过评审，促进项目管理不断规范，有效节约财政资金</w:t>
            </w:r>
            <w:r>
              <w:rPr>
                <w:rFonts w:hint="eastAsia" w:ascii="宋体" w:hAnsi="宋体" w:cs="宋体"/>
                <w:color w:val="000000"/>
                <w:kern w:val="0"/>
                <w:sz w:val="18"/>
                <w:szCs w:val="18"/>
                <w:highlight w:val="none"/>
                <w:lang w:eastAsia="zh-CN"/>
              </w:rPr>
              <w:t>。</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审减率5%以上</w:t>
            </w:r>
            <w:r>
              <w:rPr>
                <w:rFonts w:hint="eastAsia" w:ascii="宋体" w:hAnsi="宋体" w:cs="宋体"/>
                <w:color w:val="000000"/>
                <w:kern w:val="0"/>
                <w:sz w:val="18"/>
                <w:szCs w:val="18"/>
                <w:highlight w:val="none"/>
              </w:rPr>
              <w:t>，得满分；</w:t>
            </w:r>
            <w:r>
              <w:rPr>
                <w:rFonts w:hint="eastAsia" w:ascii="宋体" w:hAnsi="宋体" w:cs="宋体"/>
                <w:color w:val="000000"/>
                <w:kern w:val="0"/>
                <w:sz w:val="18"/>
                <w:szCs w:val="18"/>
                <w:highlight w:val="none"/>
                <w:lang w:val="en-US" w:eastAsia="zh-CN"/>
              </w:rPr>
              <w:t>没降低1%</w:t>
            </w:r>
            <w:r>
              <w:rPr>
                <w:rFonts w:hint="eastAsia" w:ascii="宋体" w:hAnsi="宋体" w:cs="宋体"/>
                <w:color w:val="000000"/>
                <w:kern w:val="0"/>
                <w:sz w:val="18"/>
                <w:szCs w:val="18"/>
                <w:highlight w:val="none"/>
              </w:rPr>
              <w:t>，扣权重的30%，扣完为止。</w:t>
            </w:r>
          </w:p>
        </w:tc>
        <w:tc>
          <w:tcPr>
            <w:tcW w:w="1500"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评审报告台账</w:t>
            </w:r>
          </w:p>
        </w:tc>
      </w:tr>
      <w:tr>
        <w:tblPrEx>
          <w:tblLayout w:type="fixed"/>
          <w:tblCellMar>
            <w:top w:w="0" w:type="dxa"/>
            <w:left w:w="108" w:type="dxa"/>
            <w:bottom w:w="0" w:type="dxa"/>
            <w:right w:w="108" w:type="dxa"/>
          </w:tblCellMar>
        </w:tblPrEx>
        <w:trPr>
          <w:trHeight w:val="2325" w:hRule="atLeast"/>
        </w:trPr>
        <w:tc>
          <w:tcPr>
            <w:tcW w:w="846"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971"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ascii="宋体" w:hAnsi="宋体" w:cs="宋体"/>
                <w:color w:val="000000"/>
                <w:kern w:val="0"/>
                <w:sz w:val="18"/>
                <w:szCs w:val="18"/>
                <w:highlight w:val="none"/>
              </w:rPr>
            </w:pPr>
          </w:p>
        </w:tc>
        <w:tc>
          <w:tcPr>
            <w:tcW w:w="1143"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C22.可持续影响效益</w:t>
            </w:r>
          </w:p>
        </w:tc>
        <w:tc>
          <w:tcPr>
            <w:tcW w:w="1091"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rPr>
              <w:t>C221.</w:t>
            </w:r>
            <w:r>
              <w:rPr>
                <w:rFonts w:hint="eastAsia" w:ascii="宋体" w:hAnsi="宋体" w:cs="宋体"/>
                <w:color w:val="000000"/>
                <w:kern w:val="0"/>
                <w:sz w:val="18"/>
                <w:szCs w:val="18"/>
                <w:highlight w:val="none"/>
                <w:lang w:val="en-US" w:eastAsia="zh-CN"/>
              </w:rPr>
              <w:t>促进</w:t>
            </w:r>
            <w:r>
              <w:rPr>
                <w:rFonts w:hint="eastAsia" w:ascii="宋体" w:hAnsi="宋体" w:cs="宋体"/>
                <w:color w:val="000000"/>
                <w:kern w:val="0"/>
                <w:sz w:val="18"/>
                <w:szCs w:val="18"/>
                <w:highlight w:val="none"/>
              </w:rPr>
              <w:t>政府投资建设项目可持续发展</w:t>
            </w:r>
            <w:r>
              <w:rPr>
                <w:rFonts w:hint="eastAsia" w:ascii="宋体" w:hAnsi="宋体" w:cs="宋体"/>
                <w:color w:val="000000"/>
                <w:kern w:val="0"/>
                <w:sz w:val="18"/>
                <w:szCs w:val="18"/>
                <w:highlight w:val="none"/>
                <w:lang w:eastAsia="zh-CN"/>
              </w:rPr>
              <w:t>，</w:t>
            </w:r>
            <w:r>
              <w:rPr>
                <w:rFonts w:hint="eastAsia" w:ascii="宋体" w:hAnsi="宋体" w:cs="宋体"/>
                <w:color w:val="000000"/>
                <w:kern w:val="0"/>
                <w:sz w:val="18"/>
                <w:szCs w:val="18"/>
                <w:highlight w:val="none"/>
                <w:lang w:val="en-US" w:eastAsia="zh-CN"/>
              </w:rPr>
              <w:t>有效保障评审项目实效</w:t>
            </w:r>
          </w:p>
        </w:tc>
        <w:tc>
          <w:tcPr>
            <w:tcW w:w="499"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color w:val="000000"/>
                <w:kern w:val="0"/>
                <w:sz w:val="18"/>
                <w:szCs w:val="18"/>
                <w:highlight w:val="none"/>
                <w:lang w:val="en-US" w:eastAsia="zh-CN"/>
              </w:rPr>
            </w:pPr>
            <w:r>
              <w:rPr>
                <w:rFonts w:hint="eastAsia" w:ascii="宋体" w:hAnsi="宋体" w:eastAsia="宋体" w:cs="宋体"/>
                <w:color w:val="000000"/>
                <w:kern w:val="0"/>
                <w:sz w:val="18"/>
                <w:szCs w:val="18"/>
                <w:highlight w:val="none"/>
                <w:lang w:val="en-US" w:eastAsia="zh-CN"/>
              </w:rPr>
              <w:t>15</w:t>
            </w:r>
          </w:p>
        </w:tc>
        <w:tc>
          <w:tcPr>
            <w:tcW w:w="56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15</w:t>
            </w:r>
            <w:r>
              <w:rPr>
                <w:rFonts w:hint="eastAsia" w:ascii="宋体" w:hAnsi="宋体" w:cs="宋体"/>
                <w:color w:val="000000"/>
                <w:kern w:val="0"/>
                <w:sz w:val="18"/>
                <w:szCs w:val="18"/>
                <w:highlight w:val="none"/>
              </w:rPr>
              <w:t>　</w:t>
            </w:r>
          </w:p>
        </w:tc>
        <w:tc>
          <w:tcPr>
            <w:tcW w:w="1953"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考察评审项目是否由审减，是否发现问题及提出意见和建议</w:t>
            </w:r>
          </w:p>
        </w:tc>
        <w:tc>
          <w:tcPr>
            <w:tcW w:w="1680"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存在审减得5分，存在问题及提出意见和建议得5分。</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lang w:val="en-US" w:eastAsia="zh-CN"/>
              </w:rPr>
              <w:t>评审报告台</w:t>
            </w:r>
            <w:r>
              <w:rPr>
                <w:rFonts w:hint="eastAsia" w:ascii="宋体" w:hAnsi="宋体" w:cs="宋体"/>
                <w:color w:val="000000"/>
                <w:kern w:val="0"/>
                <w:sz w:val="18"/>
                <w:szCs w:val="18"/>
                <w:highlight w:val="none"/>
              </w:rPr>
              <w:t>账</w:t>
            </w:r>
          </w:p>
        </w:tc>
      </w:tr>
      <w:tr>
        <w:tblPrEx>
          <w:tblLayout w:type="fixed"/>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合计</w:t>
            </w:r>
          </w:p>
        </w:tc>
        <w:tc>
          <w:tcPr>
            <w:tcW w:w="971"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100%</w:t>
            </w:r>
          </w:p>
        </w:tc>
        <w:tc>
          <w:tcPr>
            <w:tcW w:w="1143"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1091"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499"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100分</w:t>
            </w:r>
          </w:p>
        </w:tc>
        <w:tc>
          <w:tcPr>
            <w:tcW w:w="568" w:type="dxa"/>
            <w:tcBorders>
              <w:top w:val="nil"/>
              <w:left w:val="nil"/>
              <w:bottom w:val="single" w:color="auto" w:sz="4" w:space="0"/>
              <w:right w:val="single" w:color="auto" w:sz="4" w:space="0"/>
            </w:tcBorders>
            <w:noWrap w:val="0"/>
            <w:vAlign w:val="center"/>
          </w:tcPr>
          <w:p>
            <w:pPr>
              <w:widowControl/>
              <w:jc w:val="left"/>
              <w:rPr>
                <w:rFonts w:hint="default" w:ascii="宋体" w:hAnsi="宋体" w:eastAsia="宋体" w:cs="宋体"/>
                <w:b/>
                <w:bCs/>
                <w:color w:val="000000"/>
                <w:kern w:val="0"/>
                <w:sz w:val="18"/>
                <w:szCs w:val="18"/>
                <w:highlight w:val="none"/>
                <w:lang w:val="en-US" w:eastAsia="zh-CN"/>
              </w:rPr>
            </w:pPr>
            <w:r>
              <w:rPr>
                <w:rFonts w:hint="eastAsia" w:ascii="宋体" w:hAnsi="宋体" w:cs="宋体"/>
                <w:b/>
                <w:bCs/>
                <w:color w:val="000000"/>
                <w:kern w:val="0"/>
                <w:sz w:val="18"/>
                <w:szCs w:val="18"/>
                <w:highlight w:val="none"/>
                <w:lang w:val="en-US" w:eastAsia="zh-CN"/>
              </w:rPr>
              <w:t>97</w:t>
            </w:r>
            <w:r>
              <w:rPr>
                <w:rFonts w:hint="eastAsia" w:ascii="宋体" w:hAnsi="宋体" w:cs="宋体"/>
                <w:b/>
                <w:bCs/>
                <w:color w:val="000000"/>
                <w:kern w:val="0"/>
                <w:sz w:val="18"/>
                <w:szCs w:val="18"/>
                <w:highlight w:val="none"/>
              </w:rPr>
              <w:t>　</w:t>
            </w:r>
            <w:r>
              <w:rPr>
                <w:rFonts w:hint="eastAsia" w:ascii="宋体" w:hAnsi="宋体" w:cs="宋体"/>
                <w:b/>
                <w:bCs/>
                <w:color w:val="000000"/>
                <w:kern w:val="0"/>
                <w:sz w:val="18"/>
                <w:szCs w:val="18"/>
                <w:highlight w:val="none"/>
                <w:lang w:val="en-US" w:eastAsia="zh-CN"/>
              </w:rPr>
              <w:t>分</w:t>
            </w:r>
          </w:p>
        </w:tc>
        <w:tc>
          <w:tcPr>
            <w:tcW w:w="1953"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1680"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1500"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r>
    </w:tbl>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eastAsia="黑体"/>
          <w:b/>
          <w:bCs/>
          <w:sz w:val="52"/>
          <w:szCs w:val="52"/>
          <w:highlight w:val="none"/>
        </w:rPr>
      </w:pPr>
    </w:p>
    <w:p>
      <w:pPr>
        <w:jc w:val="center"/>
        <w:rPr>
          <w:rFonts w:hint="eastAsia" w:ascii="黑体" w:hAnsi="黑体" w:eastAsia="黑体" w:cs="黑体"/>
          <w:bCs/>
          <w:sz w:val="52"/>
          <w:szCs w:val="52"/>
          <w:highlight w:val="none"/>
        </w:rPr>
      </w:pPr>
      <w:r>
        <w:rPr>
          <w:rFonts w:hint="eastAsia" w:ascii="黑体" w:hAnsi="黑体" w:eastAsia="黑体" w:cs="黑体"/>
          <w:bCs/>
          <w:sz w:val="52"/>
          <w:szCs w:val="52"/>
          <w:highlight w:val="none"/>
        </w:rPr>
        <w:t>财政投资评审专项经费</w:t>
      </w:r>
    </w:p>
    <w:p>
      <w:pPr>
        <w:jc w:val="center"/>
        <w:rPr>
          <w:rFonts w:ascii="黑体" w:hAnsi="黑体" w:eastAsia="黑体" w:cs="黑体"/>
          <w:bCs/>
          <w:sz w:val="52"/>
          <w:szCs w:val="52"/>
          <w:highlight w:val="none"/>
        </w:rPr>
      </w:pPr>
      <w:r>
        <w:rPr>
          <w:rFonts w:hint="eastAsia" w:ascii="黑体" w:hAnsi="黑体" w:eastAsia="黑体" w:cs="黑体"/>
          <w:bCs/>
          <w:sz w:val="52"/>
          <w:szCs w:val="52"/>
          <w:highlight w:val="none"/>
        </w:rPr>
        <w:t>项目支出绩效自评报告</w:t>
      </w:r>
    </w:p>
    <w:p>
      <w:pPr>
        <w:jc w:val="center"/>
        <w:rPr>
          <w:rFonts w:ascii="黑体" w:hAnsi="黑体" w:eastAsia="黑体"/>
          <w:bCs/>
          <w:sz w:val="52"/>
          <w:szCs w:val="52"/>
          <w:highlight w:val="none"/>
        </w:rPr>
      </w:pPr>
      <w:r>
        <w:rPr>
          <w:rFonts w:hint="eastAsia" w:ascii="黑体" w:hAnsi="黑体" w:eastAsia="黑体" w:cs="黑体"/>
          <w:bCs/>
          <w:sz w:val="52"/>
          <w:szCs w:val="52"/>
          <w:highlight w:val="none"/>
        </w:rPr>
        <w:t>（20</w:t>
      </w:r>
      <w:r>
        <w:rPr>
          <w:rFonts w:hint="eastAsia" w:ascii="黑体" w:hAnsi="黑体" w:eastAsia="黑体" w:cs="黑体"/>
          <w:bCs/>
          <w:sz w:val="52"/>
          <w:szCs w:val="52"/>
          <w:highlight w:val="none"/>
          <w:lang w:val="en-US" w:eastAsia="zh-CN"/>
        </w:rPr>
        <w:t>20</w:t>
      </w:r>
      <w:r>
        <w:rPr>
          <w:rFonts w:hint="eastAsia" w:ascii="黑体" w:hAnsi="黑体" w:eastAsia="黑体" w:cs="黑体"/>
          <w:bCs/>
          <w:sz w:val="52"/>
          <w:szCs w:val="52"/>
          <w:highlight w:val="none"/>
        </w:rPr>
        <w:t>年度）</w:t>
      </w:r>
    </w:p>
    <w:p>
      <w:pPr>
        <w:spacing w:before="120" w:after="120" w:line="480" w:lineRule="auto"/>
        <w:jc w:val="center"/>
        <w:rPr>
          <w:rFonts w:ascii="Times New Roman" w:hAnsi="Times New Roman" w:eastAsia="黑体"/>
          <w:b/>
          <w:bCs/>
          <w:sz w:val="52"/>
          <w:szCs w:val="52"/>
          <w:highlight w:val="none"/>
        </w:rPr>
      </w:pPr>
    </w:p>
    <w:p>
      <w:pPr>
        <w:spacing w:before="120" w:after="120" w:line="480" w:lineRule="auto"/>
        <w:jc w:val="center"/>
        <w:rPr>
          <w:rFonts w:ascii="Times New Roman" w:hAnsi="Times New Roman"/>
          <w:b/>
          <w:bCs/>
          <w:sz w:val="44"/>
          <w:szCs w:val="44"/>
          <w:highlight w:val="none"/>
        </w:rPr>
      </w:pPr>
    </w:p>
    <w:p>
      <w:pPr>
        <w:spacing w:before="120" w:after="120" w:line="480" w:lineRule="auto"/>
        <w:jc w:val="center"/>
        <w:rPr>
          <w:rFonts w:ascii="Times New Roman" w:hAnsi="Times New Roman"/>
          <w:b/>
          <w:bCs/>
          <w:sz w:val="44"/>
          <w:szCs w:val="44"/>
          <w:highlight w:val="none"/>
        </w:rPr>
      </w:pPr>
    </w:p>
    <w:p>
      <w:pPr>
        <w:spacing w:before="120" w:after="120" w:line="480" w:lineRule="auto"/>
        <w:jc w:val="center"/>
        <w:rPr>
          <w:rFonts w:ascii="Times New Roman" w:hAnsi="Times New Roman" w:eastAsia="黑体"/>
          <w:b/>
          <w:bCs/>
          <w:sz w:val="44"/>
          <w:szCs w:val="44"/>
          <w:highlight w:val="none"/>
        </w:rPr>
      </w:pPr>
    </w:p>
    <w:p>
      <w:pPr>
        <w:adjustRightInd w:val="0"/>
        <w:snapToGrid w:val="0"/>
        <w:spacing w:line="360" w:lineRule="auto"/>
        <w:ind w:left="1260" w:leftChars="600"/>
        <w:rPr>
          <w:rFonts w:hint="default" w:ascii="Times New Roman" w:hAnsi="Times New Roman" w:eastAsia="黑体" w:cs="黑体"/>
          <w:b/>
          <w:bCs/>
          <w:sz w:val="28"/>
          <w:szCs w:val="28"/>
          <w:highlight w:val="none"/>
          <w:lang w:val="en-US" w:eastAsia="zh-CN"/>
        </w:rPr>
      </w:pPr>
      <w:r>
        <w:rPr>
          <w:rFonts w:ascii="Times New Roman" w:hAnsi="Times New Roman" w:eastAsia="黑体" w:cs="黑体"/>
          <w:b/>
          <w:bCs/>
          <w:sz w:val="28"/>
          <w:szCs w:val="28"/>
          <w:highlight w:val="none"/>
        </w:rPr>
        <mc:AlternateContent>
          <mc:Choice Requires="wps">
            <w:drawing>
              <wp:anchor distT="0" distB="0" distL="114300" distR="114300" simplePos="0" relativeHeight="251673600" behindDoc="0" locked="0" layoutInCell="1" allowOverlap="1">
                <wp:simplePos x="0" y="0"/>
                <wp:positionH relativeFrom="column">
                  <wp:posOffset>2300605</wp:posOffset>
                </wp:positionH>
                <wp:positionV relativeFrom="paragraph">
                  <wp:posOffset>196215</wp:posOffset>
                </wp:positionV>
                <wp:extent cx="2566670" cy="5715"/>
                <wp:effectExtent l="0" t="0" r="0" b="0"/>
                <wp:wrapNone/>
                <wp:docPr id="14" name="直接箭头连接符 14"/>
                <wp:cNvGraphicFramePr/>
                <a:graphic xmlns:a="http://schemas.openxmlformats.org/drawingml/2006/main">
                  <a:graphicData uri="http://schemas.microsoft.com/office/word/2010/wordprocessingShape">
                    <wps:wsp>
                      <wps:cNvCnPr/>
                      <wps:spPr>
                        <a:xfrm flipV="1">
                          <a:off x="0" y="0"/>
                          <a:ext cx="2566670" cy="5715"/>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flip:y;margin-left:181.15pt;margin-top:15.45pt;height:0.45pt;width:202.1pt;z-index:251673600;mso-width-relative:page;mso-height-relative:page;" filled="f" stroked="t" coordsize="21600,21600" o:gfxdata="UEsDBAoAAAAAAIdO4kAAAAAAAAAAAAAAAAAEAAAAZHJzL1BLAwQUAAAACACHTuJATjp3/dcAAAAJ&#10;AQAADwAAAGRycy9kb3ducmV2LnhtbE2PTU/DMAyG70j8h8hI3FjaDbKuNN0BCcQBVWKwe9aYttA4&#10;pcna7d9jTnDzx6PXj4vtyfViwjF0njSkiwQEUu1tR42G97fHmwxEiIas6T2hhjMG2JaXF4XJrZ/p&#10;FaddbASHUMiNhjbGIZcy1C06ExZ+QOLdhx+didyOjbSjmTnc9XKZJEo60xFfaM2ADy3WX7uj0/BN&#10;6/P+Vk7ZZ1VF9fT80hBWs9bXV2lyDyLiKf7B8KvP6lCy08EfyQbRa1ip5YpRLpINCAbWSt2BOPAg&#10;zUCWhfz/QfkDUEsDBBQAAAAIAIdO4kDnCqD36wEAAK0DAAAOAAAAZHJzL2Uyb0RvYy54bWytU0uO&#10;EzEQ3SNxB8t70klEMkwrnVkkDBsEkfjsK/50W/JPtkknl+ACSKyAFcNq9pxmGI5B2R3Cb4MQXlhl&#10;V9VzvVflxcXeaLITISpnGzoZjSkRljmubNvQF88v7z2gJCawHLSzoqEHEenF8u6dRe9rMXWd01wE&#10;giA21r1vaJeSr6sqsk4YiCPnhUWndMFAwmNoKx6gR3Sjq+l4PK96F7gPjokY8XY9OOmy4EspWHoq&#10;ZRSJ6IZibansoezbvFfLBdRtAN8pdiwD/qEKA8rioyeoNSQgr4L6A8ooFlx0Mo2YM5WTUjFROCCb&#10;yfg3Ns868KJwQXGiP8kU/x8se7LbBKI49u4+JRYM9uj2zfWX1+9vP13dvLv++vlttj9+IOhHsXof&#10;a8xZ2U04nqLfhMx8L4MhUiv/ErGKFsiO7IvUh5PUYp8Iw8vpbD6fn2FHGPpmZ5NZBq8GlIzmQ0yP&#10;hDMkGw2NKYBqu7Ry1mJPXRhegN3jmIbE7wk5WVvSN/R8Np0hPuBUSQ0JTeORZ7RtqS46rfil0jpn&#10;xNBuVzqQHeQ5KetY0C9h+ZE1xG6IK64cBnUngD+0nKSDRwEtjjrNJRjBKdECf0a2SmQCpf8mErXQ&#10;FiXJgg8SZ2vr+KEoX+5xJopox/nNQ/fzuWT/+GX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E46&#10;d/3XAAAACQEAAA8AAAAAAAAAAQAgAAAAIgAAAGRycy9kb3ducmV2LnhtbFBLAQIUABQAAAAIAIdO&#10;4kDnCqD36wEAAK0DAAAOAAAAAAAAAAEAIAAAACYBAABkcnMvZTJvRG9jLnhtbFBLBQYAAAAABgAG&#10;AFkBAACD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部门名称（公章）：</w:t>
      </w:r>
      <w:r>
        <w:rPr>
          <w:rFonts w:hint="eastAsia" w:ascii="Times New Roman" w:hAnsi="Times New Roman" w:eastAsia="黑体" w:cs="黑体"/>
          <w:b/>
          <w:bCs/>
          <w:sz w:val="28"/>
          <w:szCs w:val="28"/>
          <w:highlight w:val="none"/>
          <w:lang w:val="en-US" w:eastAsia="zh-CN"/>
        </w:rPr>
        <w:t>昆明市盘龙区财政局</w:t>
      </w:r>
    </w:p>
    <w:p>
      <w:pPr>
        <w:adjustRightInd w:val="0"/>
        <w:snapToGrid w:val="0"/>
        <w:spacing w:line="360" w:lineRule="auto"/>
        <w:ind w:left="1260" w:leftChars="600"/>
        <w:rPr>
          <w:rFonts w:hint="eastAsia" w:ascii="Times New Roman" w:hAnsi="Times New Roman" w:eastAsia="黑体" w:cs="黑体"/>
          <w:b/>
          <w:bCs/>
          <w:sz w:val="28"/>
          <w:szCs w:val="28"/>
          <w:highlight w:val="none"/>
          <w:lang w:eastAsia="zh-CN"/>
        </w:rPr>
      </w:pPr>
      <w:r>
        <w:rPr>
          <w:rFonts w:ascii="Times New Roman" w:hAnsi="Times New Roman" w:eastAsia="黑体" w:cs="黑体"/>
          <w:b/>
          <w:bCs/>
          <w:sz w:val="28"/>
          <w:szCs w:val="28"/>
          <w:highlight w:val="none"/>
        </w:rPr>
        <mc:AlternateContent>
          <mc:Choice Requires="wps">
            <w:drawing>
              <wp:anchor distT="0" distB="0" distL="114300" distR="114300" simplePos="0" relativeHeight="25167462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3" name="直接箭头连接符 1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7462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M5unU4wEAAKADAAAOAAAAZHJzL2Uyb0RvYy54bWytU0uO&#10;EzEQ3SNxB8t70kkgiGmlM4uEYYMgEnCAiu3utuSfXCadXIILILECVjCr2XMaGI5B2clk+GwQohfu&#10;ssv1qt6r8vx8Zw3bqojau4ZPRmPOlBNeatc1/NXLi3uPOMMEToLxTjV8r5CfL+7emQ+hVlPfeyNV&#10;ZATisB5Cw/uUQl1VKHplAUc+KEfO1kcLibaxq2SEgdCtqabj8cNq8FGG6IVCpNPVwckXBb9tlUjP&#10;2xZVYqbhVFsqayzrJq/VYg51FyH0WhzLgH+owoJ2lPQEtYIE7HXUf0BZLaJH36aR8LbybauFKhyI&#10;zWT8G5sXPQRVuJA4GE4y4f+DFc+268i0pN7d58yBpR5dv7369ubD9eXnr++vvn95l+1PHxn5Sawh&#10;YE0xS7eOxx2GdczMd220+U+c2K4IvD8JrHaJCTqcPjibzWbUB3Hjq24DQ8T0RHnLstFwTBF016el&#10;d47a6OOkCAzbp5goNQXeBOSsxrGh4Wez6YzAgQapNZDItIGooetKLHqj5YU2Jkdg7DZLE9kW8miU&#10;LxMk3F+u5SQrwP5wr7gOQ9MrkI+dZGkfSDNH081zCVZJzoyix5AtAoQ6gTZ/c5NSG0cVZI0PqmZr&#10;4+W+iF3OaQxKjceRzXP2875E3z6sx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jObp1OMB&#10;AACg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项目单位：昆明市盘龙区财政局</w:t>
      </w:r>
      <w:r>
        <w:rPr>
          <w:rFonts w:ascii="Times New Roman" w:hAnsi="Times New Roman" w:eastAsia="黑体" w:cs="黑体"/>
          <w:b/>
          <w:bCs/>
          <w:sz w:val="28"/>
          <w:szCs w:val="28"/>
          <w:highlight w:val="none"/>
        </w:rPr>
        <w:t xml:space="preserve"> </w:t>
      </w:r>
      <w:r>
        <w:rPr>
          <w:rFonts w:hint="eastAsia" w:ascii="Times New Roman" w:hAnsi="Times New Roman" w:eastAsia="黑体" w:cs="黑体"/>
          <w:b/>
          <w:bCs/>
          <w:sz w:val="28"/>
          <w:szCs w:val="28"/>
          <w:highlight w:val="none"/>
          <w:lang w:eastAsia="zh-CN"/>
        </w:rPr>
        <w:t>（财政投资评审中心）</w:t>
      </w:r>
    </w:p>
    <w:p>
      <w:pPr>
        <w:adjustRightInd w:val="0"/>
        <w:snapToGrid w:val="0"/>
        <w:spacing w:line="360" w:lineRule="auto"/>
        <w:ind w:left="1260" w:leftChars="600"/>
        <w:rPr>
          <w:rFonts w:hint="eastAsia" w:ascii="Times New Roman" w:hAnsi="Times New Roman" w:eastAsia="黑体"/>
          <w:b/>
          <w:bCs/>
          <w:sz w:val="28"/>
          <w:szCs w:val="28"/>
          <w:highlight w:val="none"/>
          <w:lang w:eastAsia="zh-CN"/>
        </w:rPr>
      </w:pPr>
      <w:r>
        <w:rPr>
          <w:rFonts w:ascii="Times New Roman" w:hAnsi="Times New Roman" w:eastAsia="黑体" w:cs="黑体"/>
          <w:b/>
          <w:bCs/>
          <w:sz w:val="28"/>
          <w:szCs w:val="28"/>
          <w:highlight w:val="none"/>
        </w:rPr>
        <mc:AlternateContent>
          <mc:Choice Requires="wps">
            <w:drawing>
              <wp:anchor distT="0" distB="0" distL="114300" distR="114300" simplePos="0" relativeHeight="25167564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2" name="直接箭头连接符 1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7564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Wa8LG4wEAAKA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2bcubAUo+u3l3+ePvx6uuX7x8uf357n+3Pnxj5Sawh&#10;YE0xS7eOxx2GdczMd220+U+c2K4IvD8JrHaJCTqcPjybzWbUB3Htq24CQ8T0VHnLstFwTBF016el&#10;d47a6OOkCAzbZ5goNQVeB+SsxrGh4Wez6YzAgQapNZDItIGooetKLHqj5YU2Jkdg7DZLE9kW8miU&#10;LxMk3N+u5SQrwP5wr7gOQ9MrkE+cZGkfSDNH081zCVZJzoyix5AtAoQ6gTZ/c5NSG0cVZI0PqmZr&#10;4+W+iF3OaQxKjceRzXN2e1+ibx7W4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lmvCxuMB&#10;AACg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主管部门：</w:t>
      </w:r>
      <w:r>
        <w:rPr>
          <w:rFonts w:ascii="Times New Roman" w:hAnsi="Times New Roman" w:eastAsia="黑体"/>
          <w:b/>
          <w:bCs/>
          <w:sz w:val="28"/>
          <w:szCs w:val="28"/>
          <w:highlight w:val="none"/>
        </w:rPr>
        <w:t xml:space="preserve"> </w:t>
      </w:r>
      <w:r>
        <w:rPr>
          <w:rFonts w:hint="eastAsia" w:ascii="Times New Roman" w:hAnsi="Times New Roman" w:eastAsia="黑体"/>
          <w:b/>
          <w:bCs/>
          <w:sz w:val="28"/>
          <w:szCs w:val="28"/>
          <w:highlight w:val="none"/>
          <w:lang w:eastAsia="zh-CN"/>
        </w:rPr>
        <w:t>昆明市盘龙区财政局</w:t>
      </w:r>
    </w:p>
    <w:p>
      <w:pPr>
        <w:adjustRightInd w:val="0"/>
        <w:snapToGrid w:val="0"/>
        <w:spacing w:line="360" w:lineRule="auto"/>
        <w:ind w:left="1260" w:leftChars="600"/>
        <w:rPr>
          <w:rFonts w:hint="eastAsia" w:ascii="Times New Roman" w:hAnsi="Times New Roman" w:eastAsia="黑体"/>
          <w:b/>
          <w:bCs/>
          <w:sz w:val="28"/>
          <w:szCs w:val="28"/>
          <w:highlight w:val="none"/>
          <w:lang w:val="en-US" w:eastAsia="zh-CN"/>
        </w:rPr>
      </w:pPr>
      <w:r>
        <w:rPr>
          <w:rFonts w:ascii="Times New Roman" w:hAnsi="Times New Roman" w:eastAsia="黑体" w:cs="黑体"/>
          <w:b/>
          <w:bCs/>
          <w:sz w:val="28"/>
          <w:szCs w:val="28"/>
          <w:highlight w:val="none"/>
        </w:rPr>
        <mc:AlternateContent>
          <mc:Choice Requires="wps">
            <w:drawing>
              <wp:anchor distT="0" distB="0" distL="114300" distR="114300" simplePos="0" relativeHeight="25167667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1" name="直接箭头连接符 1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7667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4/L7w4wEAAKA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2bcObAUo+u3l3+ePvx6uuX7x8uf357n+3Pnxj5Sawh&#10;YE0xS7eOxx2GdczMd220+U+c2K4IvD8JrHaJCTqcPjybzWbUB3Htq24CQ8T0VHnLstFwTBF016el&#10;d47a6OOkCAzbZ5goNQVeB+SsxrGh4Wez6YzAgQapNZDItIGooetKLHqj5YU2Jkdg7DZLE9kW8miU&#10;LxMk3N+u5SQrwP5wr7gOQ9MrkE+cZGkfSDNH081zCVZJzoyix5AtAoQ6gTZ/c5NSG0cVZI0PqmZr&#10;4+W+iF3OaQxKjceRzXN2e1+ibx7W4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uPy+8OMB&#10;AACg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项目名称：财政投资评审专项经费</w:t>
      </w:r>
    </w:p>
    <w:p>
      <w:pPr>
        <w:adjustRightInd w:val="0"/>
        <w:snapToGrid w:val="0"/>
        <w:spacing w:line="360" w:lineRule="auto"/>
        <w:ind w:left="1260" w:leftChars="600"/>
        <w:rPr>
          <w:rFonts w:ascii="Times New Roman" w:hAnsi="Times New Roman" w:eastAsia="黑体"/>
          <w:b/>
          <w:bCs/>
          <w:sz w:val="28"/>
          <w:szCs w:val="28"/>
          <w:highlight w:val="none"/>
        </w:rPr>
      </w:pPr>
      <w:r>
        <w:rPr>
          <w:rFonts w:ascii="Times New Roman" w:hAnsi="Times New Roman" w:eastAsia="黑体" w:cs="黑体"/>
          <w:b/>
          <w:bCs/>
          <w:sz w:val="28"/>
          <w:szCs w:val="28"/>
          <w:highlight w:val="none"/>
        </w:rPr>
        <mc:AlternateContent>
          <mc:Choice Requires="wps">
            <w:drawing>
              <wp:anchor distT="0" distB="0" distL="114300" distR="114300" simplePos="0" relativeHeight="25167769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7769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icZXi4wEAAKADAAAOAAAAZHJzL2Uyb0RvYy54bWytU0uO&#10;EzEQ3SNxB8t70klEENNKZxYJwwZBJOAAFdvdbck/uUw6uQQXQGIFrIDV7DkNDMeg7GQyw7BBiF64&#10;y66qV/Wey/PznTVsqyJq7xo+GY05U054qV3X8NevLh485gwTOAnGO9XwvUJ+vrh/bz6EWk19741U&#10;kRGIw3oIDe9TCnVVoeiVBRz5oBw5Wx8tJNrGrpIRBkK3ppqOx4+qwUcZohcKkU5XBydfFPy2VSK9&#10;aFtUiZmGU2+prLGsm7xWiznUXYTQa3FsA/6hCwvaUdET1AoSsDdR/wFltYgefZtGwtvKt60WqnAg&#10;NpPxHTYvewiqcCFxMJxkwv8HK55v15FpSXdH8jiwdEdX7y5/vP149fXL9w+XP7+9z/bnT4z8JNYQ&#10;sKacpVvH4w7DOmbmuzba/CdObFcE3p8EVrvEBB1OH57NZjMqJK591U1iiJieKm9ZNhqOKYLu+rT0&#10;ztE1+jgpAsP2GSYqTYnXCbmqcWxo+NlsOiNwoEFqDSQybSBq6LqSi95oeaGNyRkYu83SRLaFPBrl&#10;ywQJ97ewXGQF2B/iiuswNL0C+cRJlvaBNHM03Ty3YJXkzCh6DNkiQKgTaPM3kVTaOOoga3xQNVsb&#10;L/dF7HJOY1B6PI5snrPb+5J987A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onGV4uMB&#10;AACg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绩效自评日期：</w:t>
      </w:r>
      <w:r>
        <w:rPr>
          <w:rFonts w:hint="eastAsia" w:ascii="Times New Roman" w:hAnsi="Times New Roman" w:eastAsia="黑体"/>
          <w:b/>
          <w:bCs/>
          <w:sz w:val="28"/>
          <w:szCs w:val="28"/>
          <w:highlight w:val="none"/>
        </w:rPr>
        <w:t>202</w:t>
      </w:r>
      <w:r>
        <w:rPr>
          <w:rFonts w:hint="eastAsia" w:ascii="Times New Roman" w:hAnsi="Times New Roman" w:eastAsia="黑体"/>
          <w:b/>
          <w:bCs/>
          <w:sz w:val="28"/>
          <w:szCs w:val="28"/>
          <w:highlight w:val="none"/>
          <w:lang w:val="en-US" w:eastAsia="zh-CN"/>
        </w:rPr>
        <w:t>1</w:t>
      </w:r>
      <w:r>
        <w:rPr>
          <w:rFonts w:hint="eastAsia" w:ascii="Times New Roman" w:hAnsi="Times New Roman" w:eastAsia="黑体"/>
          <w:b/>
          <w:bCs/>
          <w:sz w:val="28"/>
          <w:szCs w:val="28"/>
          <w:highlight w:val="none"/>
        </w:rPr>
        <w:t>年</w:t>
      </w:r>
      <w:r>
        <w:rPr>
          <w:rFonts w:hint="eastAsia" w:ascii="Times New Roman" w:hAnsi="Times New Roman" w:eastAsia="黑体"/>
          <w:b/>
          <w:bCs/>
          <w:sz w:val="28"/>
          <w:szCs w:val="28"/>
          <w:highlight w:val="none"/>
          <w:lang w:val="en-US" w:eastAsia="zh-CN"/>
        </w:rPr>
        <w:t>5</w:t>
      </w:r>
      <w:r>
        <w:rPr>
          <w:rFonts w:hint="eastAsia" w:ascii="Times New Roman" w:hAnsi="Times New Roman" w:eastAsia="黑体"/>
          <w:b/>
          <w:bCs/>
          <w:sz w:val="28"/>
          <w:szCs w:val="28"/>
          <w:highlight w:val="none"/>
        </w:rPr>
        <w:t>月</w:t>
      </w:r>
      <w:r>
        <w:rPr>
          <w:rFonts w:hint="eastAsia" w:ascii="Times New Roman" w:hAnsi="Times New Roman" w:eastAsia="黑体"/>
          <w:b/>
          <w:bCs/>
          <w:sz w:val="28"/>
          <w:szCs w:val="28"/>
          <w:highlight w:val="none"/>
          <w:lang w:val="en-US" w:eastAsia="zh-CN"/>
        </w:rPr>
        <w:t>12</w:t>
      </w:r>
      <w:r>
        <w:rPr>
          <w:rFonts w:hint="eastAsia" w:ascii="Times New Roman" w:hAnsi="Times New Roman" w:eastAsia="黑体"/>
          <w:b/>
          <w:bCs/>
          <w:sz w:val="28"/>
          <w:szCs w:val="28"/>
          <w:highlight w:val="none"/>
        </w:rPr>
        <w:t>日</w:t>
      </w:r>
    </w:p>
    <w:p>
      <w:pPr>
        <w:spacing w:line="360" w:lineRule="auto"/>
        <w:ind w:left="1218" w:leftChars="580"/>
        <w:rPr>
          <w:rFonts w:ascii="Times New Roman" w:hAnsi="Times New Roman" w:eastAsia="黑体"/>
          <w:b/>
          <w:bCs/>
          <w:sz w:val="28"/>
          <w:szCs w:val="28"/>
          <w:highlight w:val="none"/>
        </w:rPr>
      </w:pPr>
    </w:p>
    <w:p>
      <w:pPr>
        <w:jc w:val="center"/>
        <w:rPr>
          <w:rFonts w:ascii="Times New Roman" w:hAnsi="Times New Roman" w:eastAsia="黑体" w:cs="黑体"/>
          <w:b/>
          <w:bCs/>
          <w:sz w:val="28"/>
          <w:szCs w:val="28"/>
          <w:highlight w:val="none"/>
        </w:rPr>
      </w:pPr>
      <w:r>
        <w:rPr>
          <w:rFonts w:ascii="Times New Roman" w:hAnsi="Times New Roman" w:eastAsia="黑体"/>
          <w:b/>
          <w:bCs/>
          <w:sz w:val="28"/>
          <w:szCs w:val="28"/>
          <w:highlight w:val="none"/>
        </w:rPr>
        <w:t>20</w:t>
      </w:r>
      <w:r>
        <w:rPr>
          <w:rFonts w:hint="eastAsia" w:ascii="Times New Roman" w:hAnsi="Times New Roman" w:eastAsia="黑体"/>
          <w:b/>
          <w:bCs/>
          <w:sz w:val="28"/>
          <w:szCs w:val="28"/>
          <w:highlight w:val="none"/>
        </w:rPr>
        <w:t>2</w:t>
      </w:r>
      <w:r>
        <w:rPr>
          <w:rFonts w:hint="eastAsia" w:ascii="Times New Roman" w:hAnsi="Times New Roman" w:eastAsia="黑体"/>
          <w:b/>
          <w:bCs/>
          <w:sz w:val="28"/>
          <w:szCs w:val="28"/>
          <w:highlight w:val="none"/>
          <w:lang w:val="en-US" w:eastAsia="zh-CN"/>
        </w:rPr>
        <w:t>1</w:t>
      </w:r>
      <w:r>
        <w:rPr>
          <w:rFonts w:hint="eastAsia" w:ascii="Times New Roman" w:hAnsi="Times New Roman" w:eastAsia="黑体" w:cs="黑体"/>
          <w:b/>
          <w:bCs/>
          <w:sz w:val="28"/>
          <w:szCs w:val="28"/>
          <w:highlight w:val="none"/>
        </w:rPr>
        <w:t>年</w:t>
      </w:r>
      <w:r>
        <w:rPr>
          <w:rFonts w:hint="eastAsia" w:ascii="Times New Roman" w:hAnsi="Times New Roman" w:eastAsia="黑体"/>
          <w:b/>
          <w:bCs/>
          <w:sz w:val="28"/>
          <w:szCs w:val="28"/>
          <w:highlight w:val="none"/>
          <w:lang w:val="en-US" w:eastAsia="zh-CN"/>
        </w:rPr>
        <w:t>5</w:t>
      </w:r>
      <w:r>
        <w:rPr>
          <w:rFonts w:hint="eastAsia" w:ascii="Times New Roman" w:hAnsi="Times New Roman" w:eastAsia="黑体" w:cs="黑体"/>
          <w:b/>
          <w:bCs/>
          <w:sz w:val="28"/>
          <w:szCs w:val="28"/>
          <w:highlight w:val="none"/>
        </w:rPr>
        <w:t>月</w:t>
      </w:r>
    </w:p>
    <w:p>
      <w:pPr>
        <w:jc w:val="center"/>
        <w:rPr>
          <w:rFonts w:ascii="Times New Roman" w:hAnsi="Times New Roman" w:eastAsia="黑体" w:cs="黑体"/>
          <w:b/>
          <w:bCs/>
          <w:sz w:val="28"/>
          <w:szCs w:val="28"/>
          <w:highlight w:val="none"/>
        </w:rPr>
      </w:pPr>
    </w:p>
    <w:p>
      <w:pPr>
        <w:jc w:val="center"/>
        <w:rPr>
          <w:rFonts w:ascii="Times New Roman" w:hAnsi="Times New Roman" w:eastAsia="黑体" w:cs="黑体"/>
          <w:b/>
          <w:bCs/>
          <w:sz w:val="28"/>
          <w:szCs w:val="28"/>
          <w:highlight w:val="none"/>
        </w:rPr>
      </w:pPr>
    </w:p>
    <w:p>
      <w:pPr>
        <w:jc w:val="center"/>
        <w:rPr>
          <w:rFonts w:ascii="Times New Roman" w:hAnsi="Times New Roman" w:eastAsia="黑体" w:cs="黑体"/>
          <w:b/>
          <w:bCs/>
          <w:sz w:val="28"/>
          <w:szCs w:val="28"/>
          <w:highlight w:val="none"/>
        </w:rPr>
      </w:pPr>
    </w:p>
    <w:p>
      <w:pPr>
        <w:jc w:val="center"/>
        <w:rPr>
          <w:rFonts w:ascii="Times New Roman" w:hAnsi="Times New Roman" w:eastAsia="黑体" w:cs="黑体"/>
          <w:b/>
          <w:bCs/>
          <w:sz w:val="28"/>
          <w:szCs w:val="28"/>
          <w:highlight w:val="none"/>
        </w:rPr>
      </w:pPr>
    </w:p>
    <w:p>
      <w:pPr>
        <w:pStyle w:val="10"/>
        <w:widowControl w:val="0"/>
        <w:spacing w:after="0" w:line="360" w:lineRule="auto"/>
        <w:ind w:left="420" w:leftChars="200"/>
        <w:jc w:val="both"/>
        <w:rPr>
          <w:rFonts w:ascii="Times New Roman" w:hAnsi="Times New Roman" w:eastAsia="黑体" w:cs="Times New Roman"/>
          <w:kern w:val="2"/>
          <w:sz w:val="24"/>
          <w:szCs w:val="24"/>
          <w:highlight w:val="none"/>
          <w:lang w:val="zh-TW" w:eastAsia="zh-TW"/>
        </w:rPr>
      </w:pPr>
      <w:r>
        <w:rPr>
          <w:rFonts w:hint="eastAsia" w:ascii="Times New Roman" w:hAnsi="Times New Roman" w:eastAsia="黑体" w:cs="黑体"/>
          <w:kern w:val="2"/>
          <w:sz w:val="24"/>
          <w:szCs w:val="24"/>
          <w:highlight w:val="none"/>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评价小组</w:t>
            </w:r>
          </w:p>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机构职位</w:t>
            </w:r>
          </w:p>
        </w:tc>
        <w:tc>
          <w:tcPr>
            <w:tcW w:w="1620" w:type="dxa"/>
            <w:noWrap w:val="0"/>
            <w:vAlign w:val="center"/>
          </w:tcPr>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姓名</w:t>
            </w:r>
          </w:p>
        </w:tc>
        <w:tc>
          <w:tcPr>
            <w:tcW w:w="1620" w:type="dxa"/>
            <w:noWrap w:val="0"/>
            <w:vAlign w:val="center"/>
          </w:tcPr>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职务/职称</w:t>
            </w:r>
          </w:p>
        </w:tc>
        <w:tc>
          <w:tcPr>
            <w:tcW w:w="1621" w:type="dxa"/>
            <w:noWrap w:val="0"/>
            <w:vAlign w:val="center"/>
          </w:tcPr>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所属</w:t>
            </w:r>
          </w:p>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单位/处室</w:t>
            </w:r>
          </w:p>
        </w:tc>
        <w:tc>
          <w:tcPr>
            <w:tcW w:w="1621" w:type="dxa"/>
            <w:noWrap w:val="0"/>
            <w:vAlign w:val="center"/>
          </w:tcPr>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240" w:lineRule="auto"/>
              <w:jc w:val="center"/>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组长</w:t>
            </w:r>
          </w:p>
        </w:tc>
        <w:tc>
          <w:tcPr>
            <w:tcW w:w="1620" w:type="dxa"/>
            <w:noWrap w:val="0"/>
            <w:vAlign w:val="top"/>
          </w:tcPr>
          <w:p>
            <w:pPr>
              <w:pStyle w:val="10"/>
              <w:widowControl w:val="0"/>
              <w:spacing w:after="0" w:line="240" w:lineRule="auto"/>
              <w:jc w:val="center"/>
              <w:rPr>
                <w:rFonts w:hint="eastAsia" w:ascii="Times New Roman" w:hAnsi="Times New Roman" w:eastAsia="黑体" w:cs="黑体"/>
                <w:kern w:val="2"/>
                <w:sz w:val="24"/>
                <w:szCs w:val="24"/>
                <w:highlight w:val="none"/>
                <w:lang w:val="zh-TW" w:eastAsia="zh-CN"/>
              </w:rPr>
            </w:pPr>
            <w:r>
              <w:rPr>
                <w:rFonts w:hint="eastAsia" w:ascii="Times New Roman" w:hAnsi="Times New Roman" w:eastAsia="黑体" w:cs="黑体"/>
                <w:kern w:val="2"/>
                <w:sz w:val="24"/>
                <w:szCs w:val="24"/>
                <w:highlight w:val="none"/>
                <w:lang w:val="en-US" w:eastAsia="zh-CN"/>
              </w:rPr>
              <w:t>姜  雯</w:t>
            </w:r>
          </w:p>
        </w:tc>
        <w:tc>
          <w:tcPr>
            <w:tcW w:w="1620" w:type="dxa"/>
            <w:noWrap w:val="0"/>
            <w:vAlign w:val="top"/>
          </w:tcPr>
          <w:p>
            <w:pPr>
              <w:pStyle w:val="10"/>
              <w:widowControl w:val="0"/>
              <w:spacing w:after="0" w:line="240" w:lineRule="auto"/>
              <w:jc w:val="center"/>
              <w:rPr>
                <w:rFonts w:hint="eastAsia" w:ascii="Times New Roman" w:hAnsi="Times New Roman" w:eastAsia="黑体" w:cs="黑体"/>
                <w:kern w:val="2"/>
                <w:sz w:val="24"/>
                <w:szCs w:val="24"/>
                <w:highlight w:val="none"/>
                <w:lang w:val="zh-TW" w:eastAsia="zh-CN"/>
              </w:rPr>
            </w:pPr>
            <w:r>
              <w:rPr>
                <w:rFonts w:hint="eastAsia" w:ascii="Times New Roman" w:hAnsi="Times New Roman" w:eastAsia="黑体" w:cs="黑体"/>
                <w:kern w:val="2"/>
                <w:sz w:val="24"/>
                <w:szCs w:val="24"/>
                <w:highlight w:val="none"/>
                <w:lang w:val="en-US" w:eastAsia="zh-CN"/>
              </w:rPr>
              <w:t>财政局局长</w:t>
            </w:r>
          </w:p>
        </w:tc>
        <w:tc>
          <w:tcPr>
            <w:tcW w:w="1621" w:type="dxa"/>
            <w:noWrap w:val="0"/>
            <w:vAlign w:val="top"/>
          </w:tcPr>
          <w:p>
            <w:pPr>
              <w:pStyle w:val="10"/>
              <w:widowControl w:val="0"/>
              <w:spacing w:after="0" w:line="240" w:lineRule="auto"/>
              <w:jc w:val="center"/>
              <w:rPr>
                <w:rFonts w:hint="default" w:ascii="Times New Roman" w:hAnsi="Times New Roman" w:eastAsia="黑体" w:cs="黑体"/>
                <w:kern w:val="2"/>
                <w:sz w:val="24"/>
                <w:szCs w:val="24"/>
                <w:highlight w:val="none"/>
                <w:lang w:val="en-US" w:eastAsia="zh-CN"/>
              </w:rPr>
            </w:pPr>
            <w:r>
              <w:rPr>
                <w:rFonts w:hint="eastAsia" w:ascii="Times New Roman" w:hAnsi="Times New Roman" w:eastAsia="黑体" w:cs="黑体"/>
                <w:kern w:val="2"/>
                <w:sz w:val="24"/>
                <w:szCs w:val="24"/>
                <w:highlight w:val="none"/>
                <w:lang w:val="en-US" w:eastAsia="zh-CN"/>
              </w:rPr>
              <w:t>财政局</w:t>
            </w:r>
          </w:p>
        </w:tc>
        <w:tc>
          <w:tcPr>
            <w:tcW w:w="1621" w:type="dxa"/>
            <w:noWrap w:val="0"/>
            <w:vAlign w:val="top"/>
          </w:tcPr>
          <w:p>
            <w:pPr>
              <w:pStyle w:val="10"/>
              <w:widowControl w:val="0"/>
              <w:spacing w:after="0" w:line="240" w:lineRule="auto"/>
              <w:jc w:val="center"/>
              <w:rPr>
                <w:rFonts w:hint="eastAsia" w:ascii="Times New Roman" w:hAnsi="Times New Roman" w:eastAsia="黑体" w:cs="黑体"/>
                <w:kern w:val="2"/>
                <w:sz w:val="24"/>
                <w:szCs w:val="24"/>
                <w:highlight w:val="none"/>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6" w:hRule="atLeast"/>
        </w:trPr>
        <w:tc>
          <w:tcPr>
            <w:tcW w:w="1620" w:type="dxa"/>
            <w:noWrap w:val="0"/>
            <w:vAlign w:val="center"/>
          </w:tcPr>
          <w:p>
            <w:pPr>
              <w:pStyle w:val="10"/>
              <w:widowControl w:val="0"/>
              <w:spacing w:after="0" w:line="240" w:lineRule="auto"/>
              <w:jc w:val="center"/>
              <w:rPr>
                <w:rFonts w:hint="eastAsia"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副组长</w:t>
            </w:r>
          </w:p>
        </w:tc>
        <w:tc>
          <w:tcPr>
            <w:tcW w:w="1620" w:type="dxa"/>
            <w:noWrap w:val="0"/>
            <w:vAlign w:val="top"/>
          </w:tcPr>
          <w:p>
            <w:pPr>
              <w:pStyle w:val="10"/>
              <w:widowControl w:val="0"/>
              <w:spacing w:after="0" w:line="240" w:lineRule="auto"/>
              <w:jc w:val="center"/>
              <w:rPr>
                <w:rFonts w:hint="eastAsia" w:ascii="Times New Roman" w:hAnsi="Times New Roman" w:eastAsia="黑体" w:cs="黑体"/>
                <w:kern w:val="2"/>
                <w:sz w:val="24"/>
                <w:szCs w:val="24"/>
                <w:highlight w:val="none"/>
                <w:lang w:val="zh-TW" w:eastAsia="zh-CN"/>
              </w:rPr>
            </w:pPr>
            <w:r>
              <w:rPr>
                <w:rFonts w:hint="eastAsia" w:ascii="Times New Roman" w:hAnsi="Times New Roman" w:eastAsia="黑体" w:cs="黑体"/>
                <w:kern w:val="2"/>
                <w:sz w:val="24"/>
                <w:szCs w:val="24"/>
                <w:highlight w:val="none"/>
                <w:lang w:val="zh-TW" w:eastAsia="zh-CN"/>
              </w:rPr>
              <w:t>赵文丽</w:t>
            </w:r>
          </w:p>
          <w:p>
            <w:pPr>
              <w:pStyle w:val="10"/>
              <w:widowControl w:val="0"/>
              <w:spacing w:after="0" w:line="240" w:lineRule="auto"/>
              <w:jc w:val="center"/>
              <w:rPr>
                <w:rFonts w:hint="eastAsia" w:ascii="Times New Roman" w:hAnsi="Times New Roman" w:eastAsia="黑体" w:cs="黑体"/>
                <w:kern w:val="2"/>
                <w:sz w:val="24"/>
                <w:szCs w:val="24"/>
                <w:highlight w:val="none"/>
                <w:lang w:val="zh-TW" w:eastAsia="zh-CN"/>
              </w:rPr>
            </w:pPr>
            <w:r>
              <w:rPr>
                <w:rFonts w:hint="eastAsia" w:ascii="Times New Roman" w:hAnsi="Times New Roman" w:eastAsia="黑体" w:cs="黑体"/>
                <w:kern w:val="2"/>
                <w:sz w:val="24"/>
                <w:szCs w:val="24"/>
                <w:highlight w:val="none"/>
                <w:lang w:val="zh-TW" w:eastAsia="zh-CN"/>
              </w:rPr>
              <w:t>吴</w:t>
            </w:r>
            <w:r>
              <w:rPr>
                <w:rFonts w:hint="eastAsia" w:ascii="Times New Roman" w:hAnsi="Times New Roman" w:eastAsia="黑体" w:cs="黑体"/>
                <w:kern w:val="2"/>
                <w:sz w:val="24"/>
                <w:szCs w:val="24"/>
                <w:highlight w:val="none"/>
                <w:lang w:val="en-US" w:eastAsia="zh-CN"/>
              </w:rPr>
              <w:t xml:space="preserve">  </w:t>
            </w:r>
            <w:r>
              <w:rPr>
                <w:rFonts w:hint="eastAsia" w:ascii="Times New Roman" w:hAnsi="Times New Roman" w:eastAsia="黑体" w:cs="黑体"/>
                <w:kern w:val="2"/>
                <w:sz w:val="24"/>
                <w:szCs w:val="24"/>
                <w:highlight w:val="none"/>
                <w:lang w:val="zh-TW" w:eastAsia="zh-CN"/>
              </w:rPr>
              <w:t>磊</w:t>
            </w:r>
          </w:p>
        </w:tc>
        <w:tc>
          <w:tcPr>
            <w:tcW w:w="1620" w:type="dxa"/>
            <w:noWrap w:val="0"/>
            <w:vAlign w:val="top"/>
          </w:tcPr>
          <w:p>
            <w:pPr>
              <w:pStyle w:val="10"/>
              <w:widowControl w:val="0"/>
              <w:spacing w:after="0" w:line="240" w:lineRule="auto"/>
              <w:jc w:val="center"/>
              <w:rPr>
                <w:rFonts w:hint="eastAsia" w:ascii="Times New Roman" w:hAnsi="Times New Roman" w:eastAsia="黑体" w:cs="黑体"/>
                <w:kern w:val="2"/>
                <w:sz w:val="24"/>
                <w:szCs w:val="24"/>
                <w:highlight w:val="none"/>
                <w:lang w:val="zh-TW" w:eastAsia="zh-TW"/>
              </w:rPr>
            </w:pPr>
            <w:r>
              <w:rPr>
                <w:rFonts w:hint="eastAsia" w:ascii="Times New Roman" w:hAnsi="Times New Roman" w:eastAsia="黑体" w:cs="黑体"/>
                <w:kern w:val="2"/>
                <w:sz w:val="24"/>
                <w:szCs w:val="24"/>
                <w:highlight w:val="none"/>
                <w:lang w:val="en-US" w:eastAsia="zh-CN"/>
              </w:rPr>
              <w:t>财评中心</w:t>
            </w:r>
            <w:r>
              <w:rPr>
                <w:rFonts w:hint="eastAsia" w:ascii="Times New Roman" w:hAnsi="Times New Roman" w:eastAsia="黑体" w:cs="黑体"/>
                <w:kern w:val="2"/>
                <w:sz w:val="24"/>
                <w:szCs w:val="24"/>
                <w:highlight w:val="none"/>
                <w:lang w:val="zh-TW" w:eastAsia="zh-CN"/>
              </w:rPr>
              <w:t>副主任</w:t>
            </w:r>
          </w:p>
        </w:tc>
        <w:tc>
          <w:tcPr>
            <w:tcW w:w="1621" w:type="dxa"/>
            <w:noWrap w:val="0"/>
            <w:vAlign w:val="top"/>
          </w:tcPr>
          <w:p>
            <w:pPr>
              <w:pStyle w:val="10"/>
              <w:widowControl w:val="0"/>
              <w:spacing w:after="0" w:line="240" w:lineRule="auto"/>
              <w:jc w:val="center"/>
              <w:rPr>
                <w:rFonts w:hint="default" w:ascii="Times New Roman" w:hAnsi="Times New Roman" w:eastAsia="黑体" w:cs="黑体"/>
                <w:kern w:val="2"/>
                <w:sz w:val="24"/>
                <w:szCs w:val="24"/>
                <w:highlight w:val="none"/>
                <w:lang w:val="en-US" w:eastAsia="zh-CN"/>
              </w:rPr>
            </w:pPr>
            <w:r>
              <w:rPr>
                <w:rFonts w:hint="eastAsia" w:ascii="Times New Roman" w:hAnsi="Times New Roman" w:eastAsia="黑体" w:cs="黑体"/>
                <w:kern w:val="2"/>
                <w:sz w:val="24"/>
                <w:szCs w:val="24"/>
                <w:highlight w:val="none"/>
                <w:lang w:val="en-US" w:eastAsia="zh-CN"/>
              </w:rPr>
              <w:t>财评中心</w:t>
            </w:r>
          </w:p>
        </w:tc>
        <w:tc>
          <w:tcPr>
            <w:tcW w:w="1621" w:type="dxa"/>
            <w:noWrap w:val="0"/>
            <w:vAlign w:val="top"/>
          </w:tcPr>
          <w:p>
            <w:pPr>
              <w:pStyle w:val="10"/>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240" w:lineRule="auto"/>
              <w:jc w:val="center"/>
              <w:rPr>
                <w:rFonts w:hint="eastAsia"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成员</w:t>
            </w:r>
          </w:p>
        </w:tc>
        <w:tc>
          <w:tcPr>
            <w:tcW w:w="1620" w:type="dxa"/>
            <w:noWrap w:val="0"/>
            <w:vAlign w:val="top"/>
          </w:tcPr>
          <w:p>
            <w:pPr>
              <w:pStyle w:val="10"/>
              <w:widowControl w:val="0"/>
              <w:spacing w:after="0" w:line="240" w:lineRule="auto"/>
              <w:jc w:val="center"/>
              <w:rPr>
                <w:rFonts w:hint="eastAsia" w:ascii="Times New Roman" w:hAnsi="Times New Roman" w:eastAsia="黑体" w:cs="黑体"/>
                <w:kern w:val="2"/>
                <w:sz w:val="24"/>
                <w:szCs w:val="24"/>
                <w:highlight w:val="none"/>
                <w:lang w:val="en-US" w:eastAsia="zh-CN"/>
              </w:rPr>
            </w:pPr>
            <w:r>
              <w:rPr>
                <w:rFonts w:hint="eastAsia" w:ascii="Times New Roman" w:hAnsi="Times New Roman" w:eastAsia="黑体" w:cs="黑体"/>
                <w:kern w:val="2"/>
                <w:sz w:val="24"/>
                <w:szCs w:val="24"/>
                <w:highlight w:val="none"/>
                <w:lang w:val="en-US" w:eastAsia="zh-CN"/>
              </w:rPr>
              <w:t>李荣宇</w:t>
            </w:r>
          </w:p>
          <w:p>
            <w:pPr>
              <w:pStyle w:val="10"/>
              <w:widowControl w:val="0"/>
              <w:spacing w:after="0" w:line="240" w:lineRule="auto"/>
              <w:jc w:val="center"/>
              <w:rPr>
                <w:rFonts w:hint="default" w:ascii="Times New Roman" w:hAnsi="Times New Roman" w:eastAsia="黑体" w:cs="黑体"/>
                <w:kern w:val="2"/>
                <w:sz w:val="24"/>
                <w:szCs w:val="24"/>
                <w:highlight w:val="none"/>
                <w:lang w:val="en-US" w:eastAsia="zh-CN"/>
              </w:rPr>
            </w:pPr>
            <w:r>
              <w:rPr>
                <w:rFonts w:hint="eastAsia" w:ascii="Times New Roman" w:hAnsi="Times New Roman" w:eastAsia="黑体" w:cs="黑体"/>
                <w:kern w:val="2"/>
                <w:sz w:val="24"/>
                <w:szCs w:val="24"/>
                <w:highlight w:val="none"/>
                <w:lang w:val="en-US" w:eastAsia="zh-CN"/>
              </w:rPr>
              <w:t>朱元华</w:t>
            </w:r>
          </w:p>
        </w:tc>
        <w:tc>
          <w:tcPr>
            <w:tcW w:w="1620" w:type="dxa"/>
            <w:noWrap w:val="0"/>
            <w:vAlign w:val="top"/>
          </w:tcPr>
          <w:p>
            <w:pPr>
              <w:pStyle w:val="10"/>
              <w:widowControl w:val="0"/>
              <w:spacing w:after="0" w:line="240" w:lineRule="auto"/>
              <w:jc w:val="center"/>
              <w:rPr>
                <w:rFonts w:hint="default" w:ascii="Times New Roman" w:hAnsi="Times New Roman" w:eastAsia="黑体" w:cs="黑体"/>
                <w:kern w:val="2"/>
                <w:sz w:val="24"/>
                <w:szCs w:val="24"/>
                <w:highlight w:val="none"/>
                <w:lang w:val="en-US" w:eastAsia="zh-CN"/>
              </w:rPr>
            </w:pPr>
            <w:r>
              <w:rPr>
                <w:rFonts w:hint="eastAsia" w:ascii="Times New Roman" w:hAnsi="Times New Roman" w:eastAsia="黑体" w:cs="黑体"/>
                <w:kern w:val="2"/>
                <w:sz w:val="24"/>
                <w:szCs w:val="24"/>
                <w:highlight w:val="none"/>
                <w:lang w:val="en-US" w:eastAsia="zh-CN"/>
              </w:rPr>
              <w:t>财评中心工作人员</w:t>
            </w:r>
          </w:p>
        </w:tc>
        <w:tc>
          <w:tcPr>
            <w:tcW w:w="1621" w:type="dxa"/>
            <w:noWrap w:val="0"/>
            <w:vAlign w:val="top"/>
          </w:tcPr>
          <w:p>
            <w:pPr>
              <w:pStyle w:val="10"/>
              <w:widowControl w:val="0"/>
              <w:spacing w:after="0" w:line="240" w:lineRule="auto"/>
              <w:jc w:val="center"/>
              <w:rPr>
                <w:rFonts w:hint="default" w:ascii="Times New Roman" w:hAnsi="Times New Roman" w:eastAsia="黑体" w:cs="黑体"/>
                <w:kern w:val="2"/>
                <w:sz w:val="24"/>
                <w:szCs w:val="24"/>
                <w:highlight w:val="none"/>
                <w:lang w:val="en-US" w:eastAsia="zh-CN"/>
              </w:rPr>
            </w:pPr>
            <w:r>
              <w:rPr>
                <w:rFonts w:hint="eastAsia" w:ascii="Times New Roman" w:hAnsi="Times New Roman" w:eastAsia="黑体" w:cs="黑体"/>
                <w:kern w:val="2"/>
                <w:sz w:val="24"/>
                <w:szCs w:val="24"/>
                <w:highlight w:val="none"/>
                <w:lang w:val="en-US" w:eastAsia="zh-CN"/>
              </w:rPr>
              <w:t>财评中心</w:t>
            </w:r>
          </w:p>
        </w:tc>
        <w:tc>
          <w:tcPr>
            <w:tcW w:w="1621" w:type="dxa"/>
            <w:noWrap w:val="0"/>
            <w:vAlign w:val="top"/>
          </w:tcPr>
          <w:p>
            <w:pPr>
              <w:pStyle w:val="10"/>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ascii="Times New Roman" w:hAnsi="Times New Roman" w:eastAsia="黑体" w:cs="黑体"/>
                <w:kern w:val="2"/>
                <w:sz w:val="24"/>
                <w:szCs w:val="24"/>
                <w:highlight w:val="none"/>
                <w:lang w:val="zh-TW"/>
              </w:rPr>
            </w:pPr>
            <w:r>
              <w:rPr>
                <w:rFonts w:ascii="Times New Roman" w:hAnsi="Times New Roman" w:eastAsia="黑体" w:cs="黑体"/>
                <w:kern w:val="2"/>
                <w:sz w:val="24"/>
                <w:szCs w:val="24"/>
                <w:highlight w:val="none"/>
                <w:lang w:val="zh-TW"/>
              </w:rPr>
              <w:t>……</w:t>
            </w:r>
          </w:p>
        </w:tc>
        <w:tc>
          <w:tcPr>
            <w:tcW w:w="1620" w:type="dxa"/>
            <w:noWrap w:val="0"/>
            <w:vAlign w:val="top"/>
          </w:tcPr>
          <w:p>
            <w:pPr>
              <w:pStyle w:val="10"/>
              <w:widowControl w:val="0"/>
              <w:spacing w:after="0" w:line="360" w:lineRule="auto"/>
              <w:jc w:val="center"/>
              <w:rPr>
                <w:rFonts w:ascii="Times New Roman" w:hAnsi="Times New Roman" w:eastAsia="黑体" w:cs="黑体"/>
                <w:kern w:val="2"/>
                <w:sz w:val="24"/>
                <w:szCs w:val="24"/>
                <w:highlight w:val="none"/>
                <w:lang w:val="zh-TW" w:eastAsia="zh-TW"/>
              </w:rPr>
            </w:pPr>
          </w:p>
        </w:tc>
        <w:tc>
          <w:tcPr>
            <w:tcW w:w="1620" w:type="dxa"/>
            <w:noWrap w:val="0"/>
            <w:vAlign w:val="top"/>
          </w:tcPr>
          <w:p>
            <w:pPr>
              <w:pStyle w:val="10"/>
              <w:widowControl w:val="0"/>
              <w:spacing w:after="0" w:line="360" w:lineRule="auto"/>
              <w:jc w:val="center"/>
              <w:rPr>
                <w:rFonts w:ascii="Times New Roman" w:hAnsi="Times New Roman" w:eastAsia="黑体" w:cs="黑体"/>
                <w:kern w:val="2"/>
                <w:sz w:val="24"/>
                <w:szCs w:val="24"/>
                <w:highlight w:val="none"/>
                <w:lang w:val="zh-TW" w:eastAsia="zh-TW"/>
              </w:rPr>
            </w:pPr>
          </w:p>
        </w:tc>
        <w:tc>
          <w:tcPr>
            <w:tcW w:w="1621" w:type="dxa"/>
            <w:noWrap w:val="0"/>
            <w:vAlign w:val="top"/>
          </w:tcPr>
          <w:p>
            <w:pPr>
              <w:pStyle w:val="10"/>
              <w:widowControl w:val="0"/>
              <w:spacing w:after="0" w:line="360" w:lineRule="auto"/>
              <w:jc w:val="center"/>
              <w:rPr>
                <w:rFonts w:ascii="Times New Roman" w:hAnsi="Times New Roman" w:eastAsia="黑体" w:cs="黑体"/>
                <w:kern w:val="2"/>
                <w:sz w:val="24"/>
                <w:szCs w:val="24"/>
                <w:highlight w:val="none"/>
                <w:lang w:val="zh-TW" w:eastAsia="zh-TW"/>
              </w:rPr>
            </w:pPr>
          </w:p>
        </w:tc>
        <w:tc>
          <w:tcPr>
            <w:tcW w:w="1621" w:type="dxa"/>
            <w:noWrap w:val="0"/>
            <w:vAlign w:val="top"/>
          </w:tcPr>
          <w:p>
            <w:pPr>
              <w:pStyle w:val="10"/>
              <w:widowControl w:val="0"/>
              <w:spacing w:after="0" w:line="360" w:lineRule="auto"/>
              <w:jc w:val="center"/>
              <w:rPr>
                <w:rFonts w:ascii="Times New Roman" w:hAnsi="Times New Roman" w:eastAsia="黑体" w:cs="黑体"/>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80" w:hRule="atLeast"/>
        </w:trPr>
        <w:tc>
          <w:tcPr>
            <w:tcW w:w="8102" w:type="dxa"/>
            <w:gridSpan w:val="5"/>
            <w:noWrap w:val="0"/>
            <w:vAlign w:val="top"/>
          </w:tcPr>
          <w:p>
            <w:pPr>
              <w:pStyle w:val="10"/>
              <w:widowControl w:val="0"/>
              <w:spacing w:after="0" w:line="360" w:lineRule="auto"/>
              <w:jc w:val="both"/>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报告撰写人（签字）：</w:t>
            </w:r>
          </w:p>
          <w:p>
            <w:pPr>
              <w:pStyle w:val="10"/>
              <w:widowControl w:val="0"/>
              <w:spacing w:after="0" w:line="360" w:lineRule="auto"/>
              <w:jc w:val="both"/>
              <w:rPr>
                <w:rFonts w:ascii="Times New Roman" w:hAnsi="Times New Roman" w:eastAsia="黑体" w:cs="黑体"/>
                <w:kern w:val="2"/>
                <w:sz w:val="24"/>
                <w:szCs w:val="24"/>
                <w:highlight w:val="none"/>
                <w:lang w:val="zh-TW"/>
              </w:rPr>
            </w:pPr>
          </w:p>
          <w:p>
            <w:pPr>
              <w:pStyle w:val="10"/>
              <w:widowControl w:val="0"/>
              <w:spacing w:after="0" w:line="360" w:lineRule="auto"/>
              <w:jc w:val="both"/>
              <w:rPr>
                <w:rFonts w:ascii="Times New Roman" w:hAnsi="Times New Roman" w:eastAsia="黑体" w:cs="黑体"/>
                <w:kern w:val="2"/>
                <w:sz w:val="24"/>
                <w:szCs w:val="24"/>
                <w:highlight w:val="none"/>
                <w:lang w:val="zh-TW"/>
              </w:rPr>
            </w:pPr>
          </w:p>
          <w:p>
            <w:pPr>
              <w:pStyle w:val="10"/>
              <w:widowControl w:val="0"/>
              <w:wordWrap w:val="0"/>
              <w:spacing w:after="0" w:line="360" w:lineRule="auto"/>
              <w:jc w:val="right"/>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10"/>
              <w:widowControl w:val="0"/>
              <w:spacing w:after="0" w:line="360" w:lineRule="auto"/>
              <w:jc w:val="both"/>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评价工作负责人（签字）：</w:t>
            </w:r>
          </w:p>
          <w:p>
            <w:pPr>
              <w:pStyle w:val="10"/>
              <w:widowControl w:val="0"/>
              <w:spacing w:after="0" w:line="360" w:lineRule="auto"/>
              <w:jc w:val="both"/>
              <w:rPr>
                <w:rFonts w:ascii="Times New Roman" w:hAnsi="Times New Roman" w:eastAsia="黑体" w:cs="黑体"/>
                <w:kern w:val="2"/>
                <w:sz w:val="24"/>
                <w:szCs w:val="24"/>
                <w:highlight w:val="none"/>
                <w:lang w:val="zh-TW"/>
              </w:rPr>
            </w:pPr>
          </w:p>
          <w:p>
            <w:pPr>
              <w:pStyle w:val="10"/>
              <w:widowControl w:val="0"/>
              <w:spacing w:after="0" w:line="360" w:lineRule="auto"/>
              <w:jc w:val="both"/>
              <w:rPr>
                <w:rFonts w:ascii="Times New Roman" w:hAnsi="Times New Roman" w:eastAsia="黑体" w:cs="黑体"/>
                <w:kern w:val="2"/>
                <w:sz w:val="24"/>
                <w:szCs w:val="24"/>
                <w:highlight w:val="none"/>
                <w:lang w:val="zh-TW"/>
              </w:rPr>
            </w:pPr>
          </w:p>
          <w:p>
            <w:pPr>
              <w:pStyle w:val="10"/>
              <w:widowControl w:val="0"/>
              <w:wordWrap w:val="0"/>
              <w:spacing w:after="0" w:line="360" w:lineRule="auto"/>
              <w:jc w:val="right"/>
              <w:rPr>
                <w:rFonts w:ascii="Times New Roman" w:hAnsi="Times New Roman" w:eastAsia="黑体" w:cs="黑体"/>
                <w:kern w:val="2"/>
                <w:sz w:val="24"/>
                <w:szCs w:val="24"/>
                <w:highlight w:val="none"/>
                <w:lang w:val="zh-TW"/>
              </w:rPr>
            </w:pPr>
            <w:r>
              <w:rPr>
                <w:rFonts w:hint="eastAsia" w:ascii="Times New Roman" w:hAnsi="Times New Roman" w:eastAsia="黑体" w:cs="黑体"/>
                <w:kern w:val="2"/>
                <w:sz w:val="24"/>
                <w:szCs w:val="24"/>
                <w:highlight w:val="none"/>
                <w:lang w:val="zh-TW"/>
              </w:rPr>
              <w:t>年  月  日</w:t>
            </w:r>
          </w:p>
        </w:tc>
      </w:tr>
    </w:tbl>
    <w:p>
      <w:pPr>
        <w:jc w:val="center"/>
        <w:rPr>
          <w:rFonts w:ascii="Times New Roman" w:hAnsi="Times New Roman" w:eastAsia="黑体" w:cs="黑体"/>
          <w:b/>
          <w:bCs/>
          <w:sz w:val="28"/>
          <w:szCs w:val="28"/>
          <w:highlight w:val="none"/>
        </w:rPr>
      </w:pPr>
    </w:p>
    <w:p>
      <w:pPr>
        <w:jc w:val="center"/>
        <w:rPr>
          <w:rFonts w:ascii="Times New Roman" w:hAnsi="Times New Roman" w:eastAsia="黑体" w:cs="黑体"/>
          <w:b/>
          <w:bCs/>
          <w:sz w:val="28"/>
          <w:szCs w:val="28"/>
          <w:highlight w:val="none"/>
        </w:rPr>
      </w:pPr>
    </w:p>
    <w:p>
      <w:pPr>
        <w:jc w:val="center"/>
        <w:rPr>
          <w:rFonts w:ascii="Times New Roman" w:hAnsi="Times New Roman" w:eastAsia="黑体" w:cs="黑体"/>
          <w:b/>
          <w:bCs/>
          <w:sz w:val="28"/>
          <w:szCs w:val="28"/>
          <w:highlight w:val="none"/>
        </w:rPr>
      </w:pPr>
    </w:p>
    <w:p>
      <w:pPr>
        <w:jc w:val="center"/>
        <w:rPr>
          <w:rFonts w:ascii="Times New Roman" w:hAnsi="Times New Roman" w:eastAsia="仿宋_GB2312"/>
          <w:b/>
          <w:bCs/>
          <w:sz w:val="28"/>
          <w:szCs w:val="28"/>
          <w:highlight w:val="none"/>
        </w:rPr>
      </w:pPr>
    </w:p>
    <w:p>
      <w:pPr>
        <w:widowControl/>
        <w:jc w:val="left"/>
        <w:rPr>
          <w:rFonts w:ascii="Times New Roman" w:hAnsi="Times New Roman" w:eastAsia="仿宋_GB2312"/>
          <w:b/>
          <w:bCs/>
          <w:sz w:val="28"/>
          <w:szCs w:val="28"/>
          <w:highlight w:val="none"/>
        </w:rPr>
        <w:sectPr>
          <w:headerReference r:id="rId5" w:type="default"/>
          <w:footerReference r:id="rId6" w:type="default"/>
          <w:pgSz w:w="11906" w:h="16838"/>
          <w:pgMar w:top="1440" w:right="1800" w:bottom="1440" w:left="1800" w:header="851" w:footer="992" w:gutter="0"/>
          <w:cols w:space="720" w:num="1"/>
          <w:titlePg/>
          <w:docGrid w:type="lines" w:linePitch="312" w:charSpace="0"/>
        </w:sectPr>
      </w:pPr>
    </w:p>
    <w:p>
      <w:pPr>
        <w:pStyle w:val="11"/>
        <w:jc w:val="center"/>
        <w:rPr>
          <w:rFonts w:ascii="Times New Roman" w:hAnsi="Times New Roman" w:cs="Times New Roman"/>
          <w:color w:val="auto"/>
          <w:highlight w:val="none"/>
        </w:rPr>
      </w:pPr>
      <w:r>
        <w:rPr>
          <w:rFonts w:hint="eastAsia" w:ascii="Times New Roman" w:hAnsi="Times New Roman" w:cs="宋体"/>
          <w:color w:val="auto"/>
          <w:highlight w:val="none"/>
          <w:lang w:val="zh-CN"/>
        </w:rPr>
        <w:t>目录</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lang w:eastAsia="zh-CN"/>
        </w:rPr>
        <w:t>一、</w:t>
      </w:r>
      <w:r>
        <w:rPr>
          <w:rFonts w:hint="eastAsia" w:ascii="黑体" w:hAnsi="黑体" w:eastAsia="黑体"/>
          <w:szCs w:val="32"/>
          <w:highlight w:val="none"/>
        </w:rPr>
        <w:t>摘要</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lang w:eastAsia="zh-CN"/>
        </w:rPr>
        <w:t>二、</w:t>
      </w:r>
      <w:r>
        <w:rPr>
          <w:rFonts w:hint="eastAsia" w:ascii="黑体" w:hAnsi="黑体" w:eastAsia="黑体"/>
          <w:szCs w:val="32"/>
          <w:highlight w:val="none"/>
        </w:rPr>
        <w:t>项目基本情况</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（一）项目概况</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（二）绩效目标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lang w:eastAsia="zh-CN"/>
        </w:rPr>
        <w:t>三</w:t>
      </w:r>
      <w:r>
        <w:rPr>
          <w:rFonts w:hint="eastAsia" w:ascii="黑体" w:hAnsi="黑体" w:eastAsia="黑体"/>
          <w:szCs w:val="32"/>
          <w:highlight w:val="none"/>
        </w:rPr>
        <w:t>、绩效评价工作情况</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hint="eastAsia" w:ascii="黑体" w:hAnsi="黑体" w:eastAsia="黑体"/>
          <w:szCs w:val="32"/>
          <w:highlight w:val="none"/>
        </w:rPr>
      </w:pPr>
      <w:r>
        <w:rPr>
          <w:rFonts w:hint="eastAsia" w:ascii="黑体" w:hAnsi="黑体" w:eastAsia="黑体"/>
          <w:szCs w:val="32"/>
          <w:highlight w:val="none"/>
        </w:rPr>
        <w:t xml:space="preserve"> (一)绩效评价目的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(二)绩效评价设计过程</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(三)绩效评价原则、评价方法</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(四)绩效评价实施过程</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(五)本次绩效评价的局限性</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lang w:eastAsia="zh-CN"/>
        </w:rPr>
        <w:t>四</w:t>
      </w:r>
      <w:r>
        <w:rPr>
          <w:rFonts w:hint="eastAsia" w:ascii="黑体" w:hAnsi="黑体" w:eastAsia="黑体"/>
          <w:szCs w:val="32"/>
          <w:highlight w:val="none"/>
        </w:rPr>
        <w:t xml:space="preserve">、评价结论和绩效分析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(一)评价结论</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(二)具体绩效分析</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lang w:eastAsia="zh-CN"/>
        </w:rPr>
        <w:t>五</w:t>
      </w:r>
      <w:r>
        <w:rPr>
          <w:rFonts w:hint="eastAsia" w:ascii="黑体" w:hAnsi="黑体" w:eastAsia="黑体"/>
          <w:szCs w:val="32"/>
          <w:highlight w:val="none"/>
        </w:rPr>
        <w:t>、主要经验及做法、存在的问题和建议</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(一)主要经验及做法</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(二)存在的问题</w:t>
      </w: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 xml:space="preserve"> (三)建议和改进措施 </w:t>
      </w: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hint="eastAsia" w:ascii="黑体" w:hAnsi="黑体" w:eastAsia="黑体"/>
          <w:szCs w:val="32"/>
          <w:highlight w:val="none"/>
        </w:rPr>
      </w:pPr>
    </w:p>
    <w:p>
      <w:pPr>
        <w:spacing w:line="440" w:lineRule="exact"/>
        <w:ind w:firstLine="420" w:firstLineChars="200"/>
        <w:jc w:val="left"/>
        <w:rPr>
          <w:rFonts w:ascii="黑体" w:hAnsi="黑体" w:eastAsia="黑体"/>
          <w:szCs w:val="32"/>
          <w:highlight w:val="none"/>
        </w:rPr>
      </w:pPr>
      <w:r>
        <w:rPr>
          <w:rFonts w:hint="eastAsia" w:ascii="黑体" w:hAnsi="黑体" w:eastAsia="黑体"/>
          <w:szCs w:val="32"/>
          <w:highlight w:val="none"/>
        </w:rPr>
        <w:tab/>
      </w:r>
      <w:r>
        <w:rPr>
          <w:rFonts w:hint="eastAsia" w:ascii="黑体" w:hAnsi="黑体" w:eastAsia="黑体"/>
          <w:szCs w:val="32"/>
          <w:highlight w:val="none"/>
        </w:rPr>
        <w:t xml:space="preserve">  </w:t>
      </w:r>
    </w:p>
    <w:p>
      <w:pPr>
        <w:spacing w:line="540" w:lineRule="exact"/>
        <w:rPr>
          <w:rFonts w:ascii="方正小标宋_GBK" w:hAnsi="黑体" w:eastAsia="方正小标宋_GBK"/>
          <w:szCs w:val="32"/>
          <w:highlight w:val="none"/>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财政投资评审专项经费项目支出</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绩效自评报告</w:t>
      </w:r>
    </w:p>
    <w:p>
      <w:pPr>
        <w:keepNext w:val="0"/>
        <w:keepLines w:val="0"/>
        <w:pageBreakBefore w:val="0"/>
        <w:widowControl w:val="0"/>
        <w:kinsoku/>
        <w:wordWrap/>
        <w:overflowPunct/>
        <w:autoSpaceDE/>
        <w:autoSpaceDN/>
        <w:bidi w:val="0"/>
        <w:adjustRightInd/>
        <w:snapToGrid/>
        <w:spacing w:line="600" w:lineRule="exact"/>
        <w:ind w:firstLine="420" w:firstLineChars="200"/>
        <w:jc w:val="left"/>
        <w:textAlignment w:val="auto"/>
        <w:rPr>
          <w:rFonts w:ascii="黑体" w:hAnsi="黑体" w:eastAsia="黑体"/>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一、摘要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（一）</w:t>
      </w:r>
      <w:r>
        <w:rPr>
          <w:rFonts w:hint="eastAsia" w:ascii="楷体_GB2312" w:hAnsi="楷体_GB2312" w:eastAsia="楷体_GB2312" w:cs="楷体_GB2312"/>
          <w:sz w:val="32"/>
          <w:szCs w:val="32"/>
          <w:highlight w:val="none"/>
        </w:rPr>
        <w:t>项目概况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根据盘政办通（2018）26号关于印发《昆明市盘龙区财政投资评审管理暂行办法》的通知、财政部办公厅关于印发〔20</w:t>
      </w:r>
      <w:r>
        <w:rPr>
          <w:rFonts w:hint="default" w:ascii="Times New Roman" w:hAnsi="Times New Roman" w:eastAsia="仿宋_GB2312" w:cs="Times New Roman"/>
          <w:sz w:val="32"/>
          <w:szCs w:val="32"/>
          <w:highlight w:val="none"/>
          <w:lang w:val="en-US" w:eastAsia="zh-CN"/>
        </w:rPr>
        <w:t>02</w:t>
      </w:r>
      <w:r>
        <w:rPr>
          <w:rFonts w:hint="default" w:ascii="Times New Roman" w:hAnsi="Times New Roman" w:eastAsia="仿宋_GB2312" w:cs="Times New Roman"/>
          <w:sz w:val="32"/>
          <w:szCs w:val="32"/>
          <w:highlight w:val="none"/>
          <w:lang w:eastAsia="zh-CN"/>
        </w:rPr>
        <w:t>〕619号《财政投资项目评审操作规程》试行、评审质量控制办法（财建 〔2</w:t>
      </w:r>
      <w:r>
        <w:rPr>
          <w:rFonts w:hint="default" w:ascii="Times New Roman" w:hAnsi="Times New Roman" w:eastAsia="仿宋_GB2312" w:cs="Times New Roman"/>
          <w:sz w:val="32"/>
          <w:szCs w:val="32"/>
          <w:highlight w:val="none"/>
          <w:lang w:val="en-US" w:eastAsia="zh-CN"/>
        </w:rPr>
        <w:t>005</w:t>
      </w:r>
      <w:r>
        <w:rPr>
          <w:rFonts w:hint="default" w:ascii="Times New Roman" w:hAnsi="Times New Roman" w:eastAsia="仿宋_GB2312" w:cs="Times New Roman"/>
          <w:sz w:val="32"/>
          <w:szCs w:val="32"/>
          <w:highlight w:val="none"/>
          <w:lang w:eastAsia="zh-CN"/>
        </w:rPr>
        <w:t>〕1065号）与财评</w:t>
      </w:r>
      <w:r>
        <w:rPr>
          <w:rFonts w:hint="default" w:ascii="Times New Roman" w:hAnsi="Times New Roman" w:eastAsia="仿宋_GB2312" w:cs="Times New Roman"/>
          <w:sz w:val="32"/>
          <w:szCs w:val="32"/>
          <w:highlight w:val="none"/>
          <w:lang w:val="en-US" w:eastAsia="zh-CN"/>
        </w:rPr>
        <w:t>中心职能职责，为确保评审质量，实行“委托中介初审+评审中心复审”的评审模式，招选专业机构协助开展财政投资评审及监督检查工作。</w:t>
      </w:r>
      <w:r>
        <w:rPr>
          <w:rFonts w:hint="default" w:ascii="Times New Roman" w:hAnsi="Times New Roman" w:eastAsia="仿宋_GB2312" w:cs="Times New Roman"/>
          <w:sz w:val="32"/>
          <w:szCs w:val="32"/>
          <w:highlight w:val="none"/>
          <w:lang w:eastAsia="zh-CN"/>
        </w:rPr>
        <w:t>根据《云南省财政投资评审委托业务管理暂行办法》、《云南省物价局关于调整建设工程造价咨询服务收费标准的通知</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eastAsia="zh-CN"/>
        </w:rPr>
        <w:t>（云价综合〔2012〕66号）签订评审业务委托协议并按付费条款支付评审费用。</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评价结论</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本次项目绩效目标自评得分9</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分</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总体完成情况</w:t>
      </w:r>
      <w:r>
        <w:rPr>
          <w:rFonts w:hint="default" w:ascii="Times New Roman" w:hAnsi="Times New Roman" w:eastAsia="仿宋_GB2312" w:cs="Times New Roman"/>
          <w:sz w:val="32"/>
          <w:szCs w:val="32"/>
          <w:highlight w:val="none"/>
          <w:lang w:eastAsia="zh-CN"/>
        </w:rPr>
        <w:t>为优</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ascii="楷体_GB2312" w:hAnsi="楷体_GB2312" w:eastAsia="楷体_GB2312" w:cs="楷体_GB2312"/>
          <w:sz w:val="32"/>
          <w:szCs w:val="32"/>
          <w:highlight w:val="none"/>
          <w:lang w:eastAsia="zh-CN"/>
        </w:rPr>
        <w:t>（三）</w:t>
      </w:r>
      <w:r>
        <w:rPr>
          <w:rFonts w:hint="eastAsia" w:ascii="楷体_GB2312" w:hAnsi="楷体_GB2312" w:eastAsia="楷体_GB2312" w:cs="楷体_GB2312"/>
          <w:sz w:val="32"/>
          <w:szCs w:val="32"/>
          <w:highlight w:val="none"/>
        </w:rPr>
        <w:t>经验、问题和建议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1.主要做法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在评审过程中，</w:t>
      </w:r>
      <w:r>
        <w:rPr>
          <w:rFonts w:hint="default" w:ascii="Times New Roman" w:hAnsi="Times New Roman" w:eastAsia="仿宋_GB2312" w:cs="Times New Roman"/>
          <w:sz w:val="32"/>
          <w:szCs w:val="32"/>
          <w:highlight w:val="none"/>
        </w:rPr>
        <w:t>严格按照区财政内控制度，在经费申请，实施方式、过程管理、资金支付严格执行内控制度</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财评中心要严格执行廉政建设方面各项制度，查找内部工作管理的“薄弱点”，明确问题多发的“风</w:t>
      </w:r>
      <w:r>
        <w:rPr>
          <w:rFonts w:hint="default" w:ascii="Times New Roman" w:hAnsi="Times New Roman" w:eastAsia="仿宋_GB2312" w:cs="Times New Roman"/>
          <w:sz w:val="32"/>
          <w:szCs w:val="32"/>
          <w:highlight w:val="none"/>
          <w:lang w:eastAsia="zh-CN"/>
        </w:rPr>
        <w:t>，做到及时评审、保质保量完成评审任务。</w:t>
      </w:r>
      <w:r>
        <w:rPr>
          <w:rFonts w:hint="default" w:ascii="Times New Roman" w:hAnsi="Times New Roman" w:eastAsia="仿宋_GB2312" w:cs="Times New Roman"/>
          <w:sz w:val="32"/>
          <w:szCs w:val="32"/>
          <w:highlight w:val="none"/>
        </w:rPr>
        <w:t>抓好权利运行的“关节点”，建立健全风险防控措施，对重点岗位、重点任务、重点领域加强廉政风险防控，确实保障财政资金安全、有效运行。</w:t>
      </w:r>
      <w:r>
        <w:rPr>
          <w:rFonts w:hint="default" w:ascii="Times New Roman" w:hAnsi="Times New Roman" w:eastAsia="仿宋_GB2312" w:cs="Times New Roman"/>
          <w:sz w:val="32"/>
          <w:szCs w:val="32"/>
          <w:highlight w:val="none"/>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存在的问题</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评审过程中由于部分项目建设单位对项目各参与单位管理存在不足、建设单位履行自身职责存在缺位，导致评审项目提交评审资料不全，评审过程中需要补充完善评审资料较多，审减争议解释核对困难，以致部分项目出具评审报告时间较长。</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改进措施及建议</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一是建议各项目建设单位严格按照建设程序进行项目管理，杜绝项目全过程中违规行为的发生。谨慎优选设计、造价咨询、施工、监理等合作单位，加强对各单位的管理服务，签订合同时明确双方的责任和义务，对工程建设过程中由于合作单位失职，导致的项目投资增加追究相应法律责任。二是建议行业主管部门加大培训力度，提高建设单位工程业务管理水平。三是建议建设单位项目管理人员按照国家竣工决算资料管理相关要求，认真进行建设工程资料的收集、整理、归档和存放，确保竣工决算资料真实、准确、完整。</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二、</w:t>
      </w:r>
      <w:r>
        <w:rPr>
          <w:rFonts w:hint="eastAsia" w:ascii="黑体" w:hAnsi="黑体" w:eastAsia="黑体" w:cs="黑体"/>
          <w:sz w:val="32"/>
          <w:szCs w:val="32"/>
          <w:highlight w:val="none"/>
        </w:rPr>
        <w:t>项目基本情况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（一）项目概况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1.项目立项背景及目的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根据盘政办通（2018）26号关于印发《昆明市盘龙区财政投资评审管理暂行办法》的通知、财政部办公厅关于印发〔2002〕619号《财政投资项目评审操作规程》试行、评审质量控制办法（财建 〔2005〕1065号）与财评中心职能职责，为确保评审质量，实行“委托中介初审+评审中心复审”的评审模式，招选专业机构协助开展财政投资评审及监督检查工作。根据《云南省财政投资评审委托业务管理暂行办法》、《云南省物价局关于调整建设工程造价咨询服务收费标准的通知 》（云价综合〔2012〕66号）签订评审业务委托协议并按付费条款支付评审费用。</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2.项目实施情况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财评中心接受财政局相关资金科室委托，对政府投资建设项目进行评审，与招选的中介机构签订建设项目委托评审协议，对评审中介机构出具的评审报告依法进行审核，对评审报告及其审定金额予以认可，出具评审项目正式报告。截止2020年12月31日，完成建设评审项目20项，送审金额4966.80 万元，审定金额4423.19 万元，审减金额543.61 万元，审减率10.94%，有效节约了政府投资建设项目资金。正在评审项目20项，涉及送审金额54501.24万元。</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3.资金来源及使用情况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财政投资评审专项经费资金来源为年初预算，截止</w:t>
      </w:r>
      <w:r>
        <w:rPr>
          <w:rFonts w:hint="default" w:ascii="Times New Roman" w:hAnsi="Times New Roman" w:eastAsia="仿宋_GB2312" w:cs="Times New Roman"/>
          <w:sz w:val="32"/>
          <w:szCs w:val="32"/>
          <w:highlight w:val="none"/>
          <w:lang w:eastAsia="zh-CN"/>
        </w:rPr>
        <w:t>20</w:t>
      </w:r>
      <w:r>
        <w:rPr>
          <w:rFonts w:hint="default"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lang w:eastAsia="zh-CN"/>
        </w:rPr>
        <w:t>年</w:t>
      </w:r>
      <w:r>
        <w:rPr>
          <w:rFonts w:hint="default" w:ascii="Times New Roman" w:hAnsi="Times New Roman" w:eastAsia="仿宋_GB2312" w:cs="Times New Roman"/>
          <w:sz w:val="32"/>
          <w:szCs w:val="32"/>
          <w:highlight w:val="none"/>
        </w:rPr>
        <w:t>末，该项目工作经费支出</w:t>
      </w:r>
      <w:r>
        <w:rPr>
          <w:rFonts w:hint="default" w:ascii="Times New Roman" w:hAnsi="Times New Roman" w:eastAsia="仿宋_GB2312" w:cs="Times New Roman"/>
          <w:sz w:val="32"/>
          <w:szCs w:val="32"/>
          <w:highlight w:val="none"/>
          <w:lang w:val="en-US" w:eastAsia="zh-CN"/>
        </w:rPr>
        <w:t>30.70</w:t>
      </w:r>
      <w:r>
        <w:rPr>
          <w:rFonts w:hint="default" w:ascii="Times New Roman" w:hAnsi="Times New Roman" w:eastAsia="仿宋_GB2312" w:cs="Times New Roman"/>
          <w:sz w:val="32"/>
          <w:szCs w:val="32"/>
          <w:highlight w:val="none"/>
        </w:rPr>
        <w:t>万元。</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4.组织及管理情况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接受区财政局资金科室的委托，严格按照财政部关于财政投资评审质量控制办法的要求，依法开展评审工作。对评审工作实施中遇到的重大问题应及时向委托评审任务的资金科室报告；编制完整的评审工作底稿，并经相关专业评审人员签字确认；建立健全对评审报告的内部复核机制；在规定时间内向委托评审任务的资金科室出具评审报告；如不能在规定时间完成评审任务，及时向委托评审任务的资金科室报告，并说明原因；建立严格的项目档案管理制度，完整、准确、真实地反映和记录项目评审的情况，做好各类资料的存档和保管工作</w:t>
      </w:r>
      <w:r>
        <w:rPr>
          <w:rFonts w:hint="default" w:ascii="Times New Roman" w:hAnsi="Times New Roman" w:eastAsia="仿宋_GB2312" w:cs="Times New Roman"/>
          <w:sz w:val="32"/>
          <w:szCs w:val="32"/>
          <w:highlight w:val="none"/>
          <w:lang w:eastAsia="zh-CN"/>
        </w:rPr>
        <w:t>；按局内部控制制度与中介机构做好项目评审费用结算。</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（二）绩效目标</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通过招标（询价）聘请中介机构对我局资金科室委托的建设项目开展竣工决算评审工作，节约财政资金、提高财政资金使用效率。</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绩效评价工作情况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（二）绩效评价设计过程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根据《盘龙区区级部门预算绩效自评管理暂行办法》的要求，结合具体工作实际设计指标名称，首先明确绩效评价等级划分与指标，其次对相关指标进行解释并拟定评分标准和考评方式。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1.绩效评价原则</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绩效评价结合项目推进情况，按照设定的绩效目标，运用合理的评价方法和对照标准，对项目涉及的各个方面进行客观、科学、公正、公平地评价。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2.绩效评价方法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采用直接比对的方法，将项目实际完成情况与绩效指标完成情况进行直接对比，在此基础上进行评价。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楷体_GB2312" w:hAnsi="楷体_GB2312" w:eastAsia="楷体_GB2312" w:cs="楷体_GB2312"/>
          <w:sz w:val="32"/>
          <w:szCs w:val="32"/>
          <w:highlight w:val="none"/>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此次绩效评价</w:t>
      </w:r>
      <w:r>
        <w:rPr>
          <w:rFonts w:hint="default" w:ascii="Times New Roman" w:hAnsi="Times New Roman" w:eastAsia="仿宋_GB2312" w:cs="Times New Roman"/>
          <w:sz w:val="32"/>
          <w:szCs w:val="32"/>
          <w:highlight w:val="none"/>
          <w:lang w:eastAsia="zh-CN"/>
        </w:rPr>
        <w:t>以</w:t>
      </w:r>
      <w:r>
        <w:rPr>
          <w:rFonts w:hint="default" w:ascii="Times New Roman" w:hAnsi="Times New Roman" w:eastAsia="仿宋_GB2312" w:cs="Times New Roman"/>
          <w:sz w:val="32"/>
          <w:szCs w:val="32"/>
          <w:highlight w:val="none"/>
        </w:rPr>
        <w:t>项目绩效目标</w:t>
      </w:r>
      <w:r>
        <w:rPr>
          <w:rFonts w:hint="default" w:ascii="Times New Roman" w:hAnsi="Times New Roman" w:eastAsia="仿宋_GB2312" w:cs="Times New Roman"/>
          <w:sz w:val="32"/>
          <w:szCs w:val="32"/>
          <w:highlight w:val="none"/>
          <w:lang w:eastAsia="zh-CN"/>
        </w:rPr>
        <w:t>为导向</w:t>
      </w:r>
      <w:r>
        <w:rPr>
          <w:rFonts w:hint="default" w:ascii="Times New Roman" w:hAnsi="Times New Roman" w:eastAsia="仿宋_GB2312" w:cs="Times New Roman"/>
          <w:sz w:val="32"/>
          <w:szCs w:val="32"/>
          <w:highlight w:val="none"/>
        </w:rPr>
        <w:t>，一是前期准备，明确项目内容、了解基本情况、设计指标体系；二是收集信息，按阶段落实工作进展情况；三是对照检查核实，提出意见建议。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（五）本次绩效评价的局限性</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本项目的一些评价指标有待进一步的探讨和完善。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四、</w:t>
      </w:r>
      <w:r>
        <w:rPr>
          <w:rFonts w:hint="eastAsia" w:ascii="黑体" w:hAnsi="黑体" w:eastAsia="黑体" w:cs="黑体"/>
          <w:sz w:val="32"/>
          <w:szCs w:val="32"/>
          <w:highlight w:val="none"/>
        </w:rPr>
        <w:t>评价结论和绩效分析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（一）评价结论</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1.评价结果</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本次项目绩效目标自评得分9</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分</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总体完成情况</w:t>
      </w:r>
      <w:r>
        <w:rPr>
          <w:rFonts w:hint="default" w:ascii="Times New Roman" w:hAnsi="Times New Roman" w:eastAsia="仿宋_GB2312" w:cs="Times New Roman"/>
          <w:sz w:val="32"/>
          <w:szCs w:val="32"/>
          <w:highlight w:val="none"/>
          <w:lang w:eastAsia="zh-CN"/>
        </w:rPr>
        <w:t>为优</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2.主要绩效</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绩效指标主要从三大方面对本项目进行自评，分别是项目决策（20%）、项目管理（20%）、项目绩效（60%）。</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 w:hAnsi="楷体" w:eastAsia="楷体"/>
          <w:szCs w:val="32"/>
          <w:highlight w:val="none"/>
        </w:rPr>
      </w:pPr>
      <w:r>
        <w:rPr>
          <w:rFonts w:hint="eastAsia" w:ascii="楷体_GB2312" w:hAnsi="楷体_GB2312" w:eastAsia="楷体_GB2312" w:cs="楷体_GB2312"/>
          <w:sz w:val="32"/>
          <w:szCs w:val="32"/>
          <w:highlight w:val="none"/>
        </w:rPr>
        <w:t>（二）具体绩效分析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1.项目决策指标完成情况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项目决策指标满分20分，得20分。项目与部门中长期目标相匹配，与部门职责密切相关。</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2.项目管理指标完成情况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项目管理指标满分20分，得</w:t>
      </w:r>
      <w:r>
        <w:rPr>
          <w:rFonts w:hint="default"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rPr>
        <w:t>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3.项目绩效指标完成情况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项目产出指标满分</w:t>
      </w:r>
      <w:r>
        <w:rPr>
          <w:rFonts w:hint="default" w:ascii="Times New Roman" w:hAnsi="Times New Roman" w:eastAsia="仿宋_GB2312" w:cs="Times New Roman"/>
          <w:color w:val="auto"/>
          <w:sz w:val="32"/>
          <w:szCs w:val="32"/>
          <w:highlight w:val="none"/>
          <w:lang w:val="en-US" w:eastAsia="zh-CN"/>
        </w:rPr>
        <w:t>30</w:t>
      </w:r>
      <w:r>
        <w:rPr>
          <w:rFonts w:hint="default" w:ascii="Times New Roman" w:hAnsi="Times New Roman" w:eastAsia="仿宋_GB2312" w:cs="Times New Roman"/>
          <w:color w:val="auto"/>
          <w:sz w:val="32"/>
          <w:szCs w:val="32"/>
          <w:highlight w:val="none"/>
        </w:rPr>
        <w:t>分，得</w:t>
      </w:r>
      <w:r>
        <w:rPr>
          <w:rFonts w:hint="default" w:ascii="Times New Roman" w:hAnsi="Times New Roman" w:eastAsia="仿宋_GB2312" w:cs="Times New Roman"/>
          <w:color w:val="auto"/>
          <w:sz w:val="32"/>
          <w:szCs w:val="32"/>
          <w:highlight w:val="none"/>
          <w:lang w:val="en-US" w:eastAsia="zh-CN"/>
        </w:rPr>
        <w:t>27</w:t>
      </w:r>
      <w:r>
        <w:rPr>
          <w:rFonts w:hint="default" w:ascii="Times New Roman" w:hAnsi="Times New Roman" w:eastAsia="仿宋_GB2312" w:cs="Times New Roman"/>
          <w:color w:val="auto"/>
          <w:sz w:val="32"/>
          <w:szCs w:val="32"/>
          <w:highlight w:val="none"/>
        </w:rPr>
        <w:t>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截止2020年12月31日完成竣工决算评审报告20个</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因</w:t>
      </w:r>
      <w:r>
        <w:rPr>
          <w:rFonts w:hint="default" w:ascii="Times New Roman" w:hAnsi="Times New Roman" w:eastAsia="仿宋_GB2312" w:cs="Times New Roman"/>
          <w:color w:val="auto"/>
          <w:sz w:val="32"/>
          <w:szCs w:val="32"/>
          <w:highlight w:val="none"/>
        </w:rPr>
        <w:t>送审项目评审资料不齐全，评审过程中，项目单位补充资料耗时过长，无法按时完成评审工作，影响评审进度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评审项目完成率扣3分。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项目效益</w:t>
      </w:r>
      <w:r>
        <w:rPr>
          <w:rFonts w:hint="default" w:ascii="Times New Roman" w:hAnsi="Times New Roman" w:eastAsia="仿宋_GB2312" w:cs="Times New Roman"/>
          <w:color w:val="auto"/>
          <w:sz w:val="32"/>
          <w:szCs w:val="32"/>
          <w:highlight w:val="none"/>
          <w:lang w:eastAsia="zh-CN"/>
        </w:rPr>
        <w:t>指标满分</w:t>
      </w:r>
      <w:r>
        <w:rPr>
          <w:rFonts w:hint="default" w:ascii="Times New Roman" w:hAnsi="Times New Roman" w:eastAsia="仿宋_GB2312" w:cs="Times New Roman"/>
          <w:color w:val="auto"/>
          <w:sz w:val="32"/>
          <w:szCs w:val="32"/>
          <w:highlight w:val="none"/>
          <w:lang w:val="en-US" w:eastAsia="zh-CN"/>
        </w:rPr>
        <w:t>30分，得分30分。</w:t>
      </w:r>
      <w:r>
        <w:rPr>
          <w:rFonts w:hint="default" w:ascii="Times New Roman" w:hAnsi="Times New Roman" w:eastAsia="仿宋_GB2312" w:cs="Times New Roman"/>
          <w:color w:val="auto"/>
          <w:sz w:val="32"/>
          <w:szCs w:val="32"/>
          <w:highlight w:val="none"/>
        </w:rPr>
        <w:t>通过</w:t>
      </w:r>
      <w:r>
        <w:rPr>
          <w:rFonts w:hint="default" w:ascii="Times New Roman" w:hAnsi="Times New Roman" w:eastAsia="仿宋_GB2312" w:cs="Times New Roman"/>
          <w:color w:val="auto"/>
          <w:sz w:val="32"/>
          <w:szCs w:val="32"/>
          <w:highlight w:val="none"/>
          <w:lang w:eastAsia="zh-CN"/>
        </w:rPr>
        <w:t>对财政局资金科室委托的建设项目</w:t>
      </w:r>
      <w:r>
        <w:rPr>
          <w:rFonts w:hint="default" w:ascii="Times New Roman" w:hAnsi="Times New Roman" w:eastAsia="仿宋_GB2312" w:cs="Times New Roman"/>
          <w:color w:val="auto"/>
          <w:sz w:val="32"/>
          <w:szCs w:val="32"/>
          <w:highlight w:val="none"/>
        </w:rPr>
        <w:t>评审，有效节约财政资金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促进</w:t>
      </w:r>
      <w:r>
        <w:rPr>
          <w:rFonts w:hint="default" w:ascii="Times New Roman" w:hAnsi="Times New Roman" w:eastAsia="仿宋_GB2312" w:cs="Times New Roman"/>
          <w:color w:val="auto"/>
          <w:sz w:val="32"/>
          <w:szCs w:val="32"/>
          <w:highlight w:val="none"/>
          <w:lang w:eastAsia="zh-CN"/>
        </w:rPr>
        <w:t>建设单位</w:t>
      </w:r>
      <w:r>
        <w:rPr>
          <w:rFonts w:hint="default" w:ascii="Times New Roman" w:hAnsi="Times New Roman" w:eastAsia="仿宋_GB2312" w:cs="Times New Roman"/>
          <w:color w:val="auto"/>
          <w:sz w:val="32"/>
          <w:szCs w:val="32"/>
          <w:highlight w:val="none"/>
        </w:rPr>
        <w:t>项目管理规范</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主要经验及做法、存在的问题和建议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（一）主要经验及做法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1.严格按照区财政内控制度，在经费申请，实施方式、过程管理、资金支付严格执行内控制度。</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财评中心严格执行廉政建设方面各项制度，查找内部工作管理的“薄弱点”，明确问题多发的“风险点”，抓好权利运行的“关节点”，建立健全风险防控措施，对重点岗位、重点任务、重点领域加强廉政风险防控，确实保障财政资金安全、有效运行。</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（二）存在的问题</w:t>
      </w:r>
    </w:p>
    <w:p>
      <w:pPr>
        <w:keepNext w:val="0"/>
        <w:keepLines w:val="0"/>
        <w:pageBreakBefore w:val="0"/>
        <w:widowControl w:val="0"/>
        <w:tabs>
          <w:tab w:val="left" w:pos="7230"/>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评审过程中由于部分项目建设单位对项目各参与单位管理存在不足、建设单位履行自身职责存在缺位，导致评审项目提交评审资料不全，评审过程中需要补充完善评审资料较多，审减争议解释核对困难，以致部分项目出具评审报告时间较长。</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（三）建议和改进措施</w:t>
      </w:r>
    </w:p>
    <w:p>
      <w:pPr>
        <w:keepNext w:val="0"/>
        <w:keepLines w:val="0"/>
        <w:pageBreakBefore w:val="0"/>
        <w:widowControl w:val="0"/>
        <w:tabs>
          <w:tab w:val="left" w:pos="7230"/>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一是建议各项目建设单位严格按照建设程序进行项目管理，杜绝项目全过程中违规行为的发生。谨慎优选设计、造价咨询、施工、监理等合作单位，加强对各单位的管理服务，签订合同时明确双方的责任和义务，对工程建设过程中由于合作单位失职，导致的项目投资增加追究相应法律责任。</w:t>
      </w:r>
    </w:p>
    <w:p>
      <w:pPr>
        <w:keepNext w:val="0"/>
        <w:keepLines w:val="0"/>
        <w:pageBreakBefore w:val="0"/>
        <w:widowControl w:val="0"/>
        <w:tabs>
          <w:tab w:val="left" w:pos="7230"/>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二是建议行业主管部门加大培训力度，提高建设单位工程业务管理水平。</w:t>
      </w:r>
    </w:p>
    <w:p>
      <w:pPr>
        <w:keepNext w:val="0"/>
        <w:keepLines w:val="0"/>
        <w:pageBreakBefore w:val="0"/>
        <w:widowControl w:val="0"/>
        <w:tabs>
          <w:tab w:val="left" w:pos="7230"/>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三是建议建设单位项目管理人员按照国家竣工决算资料管理相关要求，认真进行建设工程资料的收集、整理、归档和存放，确保竣工决算资料真实、准确、完整。</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hint="eastAsia"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32"/>
          <w:szCs w:val="32"/>
          <w:highlight w:val="none"/>
        </w:rPr>
        <w:t>绩效评价报告正文后附以下佐证材料</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区政府办关于印发《昆明市盘龙区财政投资评审管理暂行办法》的通知（盘政办通（2018）26号）；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财政部办公厅关于印发《财政投资项目评审操作规程》试行的通知（财办建[2002]619号）；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3</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财政部关于印发《财政投资评审质量控制办法（试行）》的通知（财建〔2005〕1065号）；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云南省物价局关于调整建设工程造价咨询服务收费标准的通知</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（云价综合〔2012〕66号）</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5.财评中心2020年部门项目支出绩效目标表;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6.财评中心2020盘龙预算执行情况表；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7.昆明市盘龙区财政局关于2020年政府投资建设项目评审工作开展情况专报；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8.附件：财政投资建设项目评审工作表。</w:t>
      </w:r>
    </w:p>
    <w:p/>
    <w:p/>
    <w:p/>
    <w:p/>
    <w:p/>
    <w:p/>
    <w:p/>
    <w:p/>
    <w:p/>
    <w:p/>
    <w:p/>
    <w:p/>
    <w:p/>
    <w:p/>
    <w:p/>
    <w:p/>
    <w:p/>
    <w:p/>
    <w:p/>
    <w:p/>
    <w:p/>
    <w:p>
      <w:pPr>
        <w:widowControl/>
        <w:jc w:val="center"/>
        <w:rPr>
          <w:rFonts w:ascii="方正小标宋_GBK" w:eastAsia="方正小标宋_GBK"/>
          <w:sz w:val="28"/>
          <w:szCs w:val="28"/>
        </w:rPr>
      </w:pPr>
      <w:r>
        <w:rPr>
          <w:rFonts w:hint="eastAsia" w:ascii="方正小标宋_GBK" w:eastAsia="方正小标宋_GBK"/>
          <w:sz w:val="28"/>
          <w:szCs w:val="28"/>
        </w:rPr>
        <w:t>附件</w:t>
      </w:r>
      <w:r>
        <w:rPr>
          <w:rFonts w:hint="eastAsia" w:ascii="方正小标宋_GBK" w:eastAsia="方正小标宋_GBK"/>
          <w:sz w:val="28"/>
          <w:szCs w:val="28"/>
          <w:lang w:val="en-US" w:eastAsia="zh-CN"/>
        </w:rPr>
        <w:t>4</w:t>
      </w:r>
      <w:r>
        <w:rPr>
          <w:rFonts w:hint="eastAsia" w:ascii="方正小标宋_GBK" w:eastAsia="方正小标宋_GBK"/>
          <w:sz w:val="28"/>
          <w:szCs w:val="28"/>
        </w:rPr>
        <w:t>：项目支出绩效评价共性指标体系框架</w:t>
      </w:r>
    </w:p>
    <w:tbl>
      <w:tblPr>
        <w:tblStyle w:val="8"/>
        <w:tblpPr w:leftFromText="180" w:rightFromText="180" w:vertAnchor="text" w:horzAnchor="page" w:tblpXSpec="center" w:tblpY="383"/>
        <w:tblW w:w="10412" w:type="dxa"/>
        <w:jc w:val="center"/>
        <w:tblInd w:w="0" w:type="dxa"/>
        <w:tblLayout w:type="fixed"/>
        <w:tblCellMar>
          <w:top w:w="0" w:type="dxa"/>
          <w:left w:w="108" w:type="dxa"/>
          <w:bottom w:w="0" w:type="dxa"/>
          <w:right w:w="108" w:type="dxa"/>
        </w:tblCellMar>
      </w:tblPr>
      <w:tblGrid>
        <w:gridCol w:w="846"/>
        <w:gridCol w:w="971"/>
        <w:gridCol w:w="1143"/>
        <w:gridCol w:w="1091"/>
        <w:gridCol w:w="499"/>
        <w:gridCol w:w="737"/>
        <w:gridCol w:w="1932"/>
        <w:gridCol w:w="1975"/>
        <w:gridCol w:w="1218"/>
      </w:tblGrid>
      <w:tr>
        <w:tblPrEx>
          <w:tblLayout w:type="fixed"/>
          <w:tblCellMar>
            <w:top w:w="0" w:type="dxa"/>
            <w:left w:w="108" w:type="dxa"/>
            <w:bottom w:w="0" w:type="dxa"/>
            <w:right w:w="108" w:type="dxa"/>
          </w:tblCellMar>
        </w:tblPrEx>
        <w:trPr>
          <w:trHeight w:val="540" w:hRule="atLeast"/>
          <w:jc w:val="center"/>
        </w:trPr>
        <w:tc>
          <w:tcPr>
            <w:tcW w:w="846"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499"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737"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1932"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900" w:hRule="atLeast"/>
          <w:jc w:val="center"/>
        </w:trPr>
        <w:tc>
          <w:tcPr>
            <w:tcW w:w="846" w:type="dxa"/>
            <w:vMerge w:val="restart"/>
            <w:tcBorders>
              <w:top w:val="nil"/>
              <w:left w:val="single" w:color="auto" w:sz="4" w:space="0"/>
              <w:bottom w:val="single" w:color="000000"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Layout w:type="fixed"/>
          <w:tblCellMar>
            <w:top w:w="0" w:type="dxa"/>
            <w:left w:w="108" w:type="dxa"/>
            <w:bottom w:w="0" w:type="dxa"/>
            <w:right w:w="108" w:type="dxa"/>
          </w:tblCellMar>
        </w:tblPrEx>
        <w:trPr>
          <w:trHeight w:val="105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Layout w:type="fixed"/>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Layout w:type="fixed"/>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0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Layout w:type="fixed"/>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Layout w:type="fixed"/>
          <w:tblCellMar>
            <w:top w:w="0" w:type="dxa"/>
            <w:left w:w="108" w:type="dxa"/>
            <w:bottom w:w="0" w:type="dxa"/>
            <w:right w:w="108" w:type="dxa"/>
          </w:tblCellMar>
        </w:tblPrEx>
        <w:trPr>
          <w:trHeight w:val="91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Layout w:type="fixed"/>
          <w:tblCellMar>
            <w:top w:w="0" w:type="dxa"/>
            <w:left w:w="108" w:type="dxa"/>
            <w:bottom w:w="0" w:type="dxa"/>
            <w:right w:w="108" w:type="dxa"/>
          </w:tblCellMar>
        </w:tblPrEx>
        <w:trPr>
          <w:trHeight w:val="108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Layout w:type="fixed"/>
          <w:tblCellMar>
            <w:top w:w="0" w:type="dxa"/>
            <w:left w:w="108" w:type="dxa"/>
            <w:bottom w:w="0" w:type="dxa"/>
            <w:right w:w="108" w:type="dxa"/>
          </w:tblCellMar>
        </w:tblPrEx>
        <w:trPr>
          <w:trHeight w:val="82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9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Layout w:type="fixed"/>
          <w:tblCellMar>
            <w:top w:w="0" w:type="dxa"/>
            <w:left w:w="108" w:type="dxa"/>
            <w:bottom w:w="0" w:type="dxa"/>
            <w:right w:w="108" w:type="dxa"/>
          </w:tblCellMar>
        </w:tblPrEx>
        <w:trPr>
          <w:trHeight w:val="720" w:hRule="atLeast"/>
          <w:jc w:val="center"/>
        </w:trPr>
        <w:tc>
          <w:tcPr>
            <w:tcW w:w="846" w:type="dxa"/>
            <w:vMerge w:val="restart"/>
            <w:tcBorders>
              <w:top w:val="nil"/>
              <w:left w:val="single" w:color="auto" w:sz="4" w:space="0"/>
              <w:bottom w:val="single" w:color="000000"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Layout w:type="fixed"/>
          <w:tblCellMar>
            <w:top w:w="0" w:type="dxa"/>
            <w:left w:w="108" w:type="dxa"/>
            <w:bottom w:w="0" w:type="dxa"/>
            <w:right w:w="108" w:type="dxa"/>
          </w:tblCellMar>
        </w:tblPrEx>
        <w:trPr>
          <w:trHeight w:val="81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Layout w:type="fixed"/>
          <w:tblCellMar>
            <w:top w:w="0" w:type="dxa"/>
            <w:left w:w="108" w:type="dxa"/>
            <w:bottom w:w="0" w:type="dxa"/>
            <w:right w:w="108" w:type="dxa"/>
          </w:tblCellMar>
        </w:tblPrEx>
        <w:trPr>
          <w:trHeight w:val="123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97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228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noWrap/>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Layout w:type="fixed"/>
          <w:tblCellMar>
            <w:top w:w="0" w:type="dxa"/>
            <w:left w:w="108" w:type="dxa"/>
            <w:bottom w:w="0" w:type="dxa"/>
            <w:right w:w="108" w:type="dxa"/>
          </w:tblCellMar>
        </w:tblPrEx>
        <w:trPr>
          <w:trHeight w:val="75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Layout w:type="fixed"/>
          <w:tblCellMar>
            <w:top w:w="0" w:type="dxa"/>
            <w:left w:w="108" w:type="dxa"/>
            <w:bottom w:w="0" w:type="dxa"/>
            <w:right w:w="108" w:type="dxa"/>
          </w:tblCellMar>
        </w:tblPrEx>
        <w:trPr>
          <w:trHeight w:val="75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Layout w:type="fixed"/>
          <w:tblCellMar>
            <w:top w:w="0" w:type="dxa"/>
            <w:left w:w="108" w:type="dxa"/>
            <w:bottom w:w="0" w:type="dxa"/>
            <w:right w:w="108" w:type="dxa"/>
          </w:tblCellMar>
        </w:tblPrEx>
        <w:trPr>
          <w:trHeight w:val="120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Layout w:type="fixed"/>
          <w:tblCellMar>
            <w:top w:w="0" w:type="dxa"/>
            <w:left w:w="108" w:type="dxa"/>
            <w:bottom w:w="0" w:type="dxa"/>
            <w:right w:w="108" w:type="dxa"/>
          </w:tblCellMar>
        </w:tblPrEx>
        <w:trPr>
          <w:trHeight w:val="97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Layout w:type="fixed"/>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Layout w:type="fixed"/>
          <w:tblCellMar>
            <w:top w:w="0" w:type="dxa"/>
            <w:left w:w="108" w:type="dxa"/>
            <w:bottom w:w="0" w:type="dxa"/>
            <w:right w:w="108" w:type="dxa"/>
          </w:tblCellMar>
        </w:tblPrEx>
        <w:trPr>
          <w:trHeight w:val="94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Layout w:type="fixed"/>
          <w:tblCellMar>
            <w:top w:w="0" w:type="dxa"/>
            <w:left w:w="108" w:type="dxa"/>
            <w:bottom w:w="0" w:type="dxa"/>
            <w:right w:w="108" w:type="dxa"/>
          </w:tblCellMar>
        </w:tblPrEx>
        <w:trPr>
          <w:trHeight w:val="88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Layout w:type="fixed"/>
          <w:tblCellMar>
            <w:top w:w="0" w:type="dxa"/>
            <w:left w:w="108" w:type="dxa"/>
            <w:bottom w:w="0" w:type="dxa"/>
            <w:right w:w="108" w:type="dxa"/>
          </w:tblCellMar>
        </w:tblPrEx>
        <w:trPr>
          <w:trHeight w:val="78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Layout w:type="fixed"/>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54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499"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37"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Layout w:type="fixed"/>
          <w:tblCellMar>
            <w:top w:w="0" w:type="dxa"/>
            <w:left w:w="108" w:type="dxa"/>
            <w:bottom w:w="0" w:type="dxa"/>
            <w:right w:w="108" w:type="dxa"/>
          </w:tblCellMar>
        </w:tblPrEx>
        <w:trPr>
          <w:trHeight w:val="1200" w:hRule="atLeast"/>
          <w:jc w:val="center"/>
        </w:trPr>
        <w:tc>
          <w:tcPr>
            <w:tcW w:w="846" w:type="dxa"/>
            <w:vMerge w:val="restart"/>
            <w:tcBorders>
              <w:top w:val="nil"/>
              <w:left w:val="single" w:color="auto" w:sz="4" w:space="0"/>
              <w:bottom w:val="single" w:color="000000" w:sz="4" w:space="0"/>
              <w:right w:val="single" w:color="auto" w:sz="4" w:space="0"/>
            </w:tcBorders>
            <w:noWrap/>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971"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w:t>
            </w:r>
          </w:p>
        </w:tc>
        <w:tc>
          <w:tcPr>
            <w:tcW w:w="1143" w:type="dxa"/>
            <w:vMerge w:val="restart"/>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C11.国库管理工作情况</w:t>
            </w:r>
          </w:p>
        </w:tc>
        <w:tc>
          <w:tcPr>
            <w:tcW w:w="1091"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C12.国库管理业务情况</w:t>
            </w:r>
          </w:p>
        </w:tc>
        <w:tc>
          <w:tcPr>
            <w:tcW w:w="499"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37"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932"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考察完成国库管理工作，保证预算单位支付情况。</w:t>
            </w:r>
          </w:p>
        </w:tc>
        <w:tc>
          <w:tcPr>
            <w:tcW w:w="1975"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全部及时支付，得满分；存在一次未及时处理的，扣权重的10%，扣完为止。</w:t>
            </w:r>
          </w:p>
        </w:tc>
        <w:tc>
          <w:tcPr>
            <w:tcW w:w="1218"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项目验收确认书</w:t>
            </w:r>
          </w:p>
        </w:tc>
      </w:tr>
      <w:tr>
        <w:tblPrEx>
          <w:tblLayout w:type="fixed"/>
          <w:tblCellMar>
            <w:top w:w="0" w:type="dxa"/>
            <w:left w:w="108" w:type="dxa"/>
            <w:bottom w:w="0" w:type="dxa"/>
            <w:right w:w="108" w:type="dxa"/>
          </w:tblCellMar>
        </w:tblPrEx>
        <w:trPr>
          <w:trHeight w:val="825"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C13.国库管理工作业务建设完成情况</w:t>
            </w:r>
          </w:p>
        </w:tc>
        <w:tc>
          <w:tcPr>
            <w:tcW w:w="499"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37"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932"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完成国库管理工作业务合规性及有效性建设</w:t>
            </w:r>
          </w:p>
        </w:tc>
        <w:tc>
          <w:tcPr>
            <w:tcW w:w="1975"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全部完成，得满分；存在一项未完成工作扣权重的20%，扣完为止。</w:t>
            </w:r>
          </w:p>
        </w:tc>
        <w:tc>
          <w:tcPr>
            <w:tcW w:w="1218"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业务相关材料</w:t>
            </w:r>
          </w:p>
        </w:tc>
      </w:tr>
      <w:tr>
        <w:tblPrEx>
          <w:tblLayout w:type="fixed"/>
          <w:tblCellMar>
            <w:top w:w="0" w:type="dxa"/>
            <w:left w:w="108" w:type="dxa"/>
            <w:bottom w:w="0" w:type="dxa"/>
            <w:right w:w="108" w:type="dxa"/>
          </w:tblCellMar>
        </w:tblPrEx>
        <w:trPr>
          <w:trHeight w:val="840"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C14.国库管理工作经费支出进度</w:t>
            </w:r>
          </w:p>
        </w:tc>
        <w:tc>
          <w:tcPr>
            <w:tcW w:w="499"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37"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7.38</w:t>
            </w:r>
          </w:p>
        </w:tc>
        <w:tc>
          <w:tcPr>
            <w:tcW w:w="1932"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是否严格按照执行进度计划支出工作经费</w:t>
            </w:r>
          </w:p>
        </w:tc>
        <w:tc>
          <w:tcPr>
            <w:tcW w:w="1975"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达到100%及以上的，得满分；每降低5%，扣权重的额10%，扣完为止。</w:t>
            </w:r>
          </w:p>
        </w:tc>
        <w:tc>
          <w:tcPr>
            <w:tcW w:w="1218"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资金使用审批表、会计凭证</w:t>
            </w:r>
          </w:p>
        </w:tc>
      </w:tr>
      <w:tr>
        <w:tblPrEx>
          <w:tblLayout w:type="fixed"/>
          <w:tblCellMar>
            <w:top w:w="0" w:type="dxa"/>
            <w:left w:w="108" w:type="dxa"/>
            <w:bottom w:w="0" w:type="dxa"/>
            <w:right w:w="108" w:type="dxa"/>
          </w:tblCellMar>
        </w:tblPrEx>
        <w:trPr>
          <w:trHeight w:val="896"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w:t>
            </w:r>
          </w:p>
        </w:tc>
        <w:tc>
          <w:tcPr>
            <w:tcW w:w="1143" w:type="dxa"/>
            <w:vMerge w:val="restart"/>
            <w:tcBorders>
              <w:top w:val="nil"/>
              <w:left w:val="nil"/>
              <w:right w:val="single" w:color="auto" w:sz="4" w:space="0"/>
            </w:tcBorders>
            <w:noWrap/>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C22.经济效益</w:t>
            </w:r>
          </w:p>
        </w:tc>
        <w:tc>
          <w:tcPr>
            <w:tcW w:w="499"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37"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932"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xml:space="preserve">国库支付业务代理工作质量和服务水平 </w:t>
            </w:r>
          </w:p>
        </w:tc>
        <w:tc>
          <w:tcPr>
            <w:tcW w:w="1975"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国库管理相关材料</w:t>
            </w:r>
          </w:p>
        </w:tc>
      </w:tr>
      <w:tr>
        <w:tblPrEx>
          <w:tblLayout w:type="fixed"/>
          <w:tblCellMar>
            <w:top w:w="0" w:type="dxa"/>
            <w:left w:w="108" w:type="dxa"/>
            <w:bottom w:w="0" w:type="dxa"/>
            <w:right w:w="108" w:type="dxa"/>
          </w:tblCellMar>
        </w:tblPrEx>
        <w:trPr>
          <w:trHeight w:val="1596"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left w:val="single" w:color="auto"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left w:val="nil"/>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C23.社会效益</w:t>
            </w:r>
          </w:p>
        </w:tc>
        <w:tc>
          <w:tcPr>
            <w:tcW w:w="499"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37"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932"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部门预算、核算、决算与财政监督相结合的水平</w:t>
            </w:r>
          </w:p>
        </w:tc>
        <w:tc>
          <w:tcPr>
            <w:tcW w:w="1975"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国库管理相关材料</w:t>
            </w:r>
          </w:p>
        </w:tc>
      </w:tr>
      <w:tr>
        <w:tblPrEx>
          <w:tblLayout w:type="fixed"/>
          <w:tblCellMar>
            <w:top w:w="0" w:type="dxa"/>
            <w:left w:w="108" w:type="dxa"/>
            <w:bottom w:w="0" w:type="dxa"/>
            <w:right w:w="108" w:type="dxa"/>
          </w:tblCellMar>
        </w:tblPrEx>
        <w:trPr>
          <w:trHeight w:val="1839" w:hRule="atLeast"/>
          <w:jc w:val="center"/>
        </w:trPr>
        <w:tc>
          <w:tcPr>
            <w:tcW w:w="846" w:type="dxa"/>
            <w:vMerge w:val="continue"/>
            <w:tcBorders>
              <w:top w:val="nil"/>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971" w:type="dxa"/>
            <w:vMerge w:val="continue"/>
            <w:tcBorders>
              <w:left w:val="single" w:color="auto" w:sz="4" w:space="0"/>
              <w:bottom w:val="single" w:color="000000" w:sz="4" w:space="0"/>
              <w:right w:val="single" w:color="auto" w:sz="4" w:space="0"/>
            </w:tcBorders>
            <w:noWrap/>
            <w:vAlign w:val="center"/>
          </w:tcPr>
          <w:p>
            <w:pPr>
              <w:widowControl/>
              <w:jc w:val="left"/>
              <w:rPr>
                <w:rFonts w:ascii="宋体" w:hAnsi="宋体" w:cs="宋体"/>
                <w:color w:val="000000"/>
                <w:kern w:val="0"/>
                <w:sz w:val="18"/>
                <w:szCs w:val="18"/>
              </w:rPr>
            </w:pPr>
          </w:p>
        </w:tc>
        <w:tc>
          <w:tcPr>
            <w:tcW w:w="1143" w:type="dxa"/>
            <w:vMerge w:val="continue"/>
            <w:tcBorders>
              <w:left w:val="nil"/>
              <w:bottom w:val="single" w:color="auto" w:sz="4" w:space="0"/>
              <w:right w:val="single" w:color="auto" w:sz="4" w:space="0"/>
            </w:tcBorders>
            <w:noWrap/>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C24.可持续影响</w:t>
            </w:r>
          </w:p>
        </w:tc>
        <w:tc>
          <w:tcPr>
            <w:tcW w:w="499" w:type="dxa"/>
            <w:tcBorders>
              <w:top w:val="nil"/>
              <w:left w:val="nil"/>
              <w:bottom w:val="single" w:color="auto" w:sz="4" w:space="0"/>
              <w:right w:val="single" w:color="auto" w:sz="4" w:space="0"/>
            </w:tcBorders>
            <w:noWrap/>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37"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bCs/>
                <w:color w:val="000000"/>
                <w:kern w:val="0"/>
                <w:sz w:val="18"/>
                <w:szCs w:val="18"/>
              </w:rPr>
              <w:t>10</w:t>
            </w:r>
          </w:p>
        </w:tc>
        <w:tc>
          <w:tcPr>
            <w:tcW w:w="1932"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b/>
                <w:color w:val="000000"/>
                <w:kern w:val="0"/>
                <w:sz w:val="18"/>
                <w:szCs w:val="18"/>
              </w:rPr>
              <w:t>　</w:t>
            </w:r>
            <w:r>
              <w:rPr>
                <w:rFonts w:hint="eastAsia" w:ascii="宋体" w:hAnsi="宋体" w:cs="宋体"/>
                <w:color w:val="000000"/>
                <w:kern w:val="0"/>
                <w:sz w:val="18"/>
                <w:szCs w:val="18"/>
              </w:rPr>
              <w:t>逐步改变预算管理，优化结构，提高资金使用效率。保障区级财政收入增长。</w:t>
            </w:r>
          </w:p>
        </w:tc>
        <w:tc>
          <w:tcPr>
            <w:tcW w:w="1975"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b/>
                <w:color w:val="000000"/>
                <w:kern w:val="0"/>
                <w:sz w:val="18"/>
                <w:szCs w:val="18"/>
              </w:rPr>
              <w:t>　</w:t>
            </w:r>
            <w:r>
              <w:rPr>
                <w:rFonts w:hint="eastAsia" w:ascii="宋体" w:hAnsi="宋体" w:cs="宋体"/>
                <w:color w:val="000000"/>
                <w:kern w:val="0"/>
                <w:sz w:val="18"/>
                <w:szCs w:val="18"/>
              </w:rPr>
              <w:t>满足得满分；每降低10%，扣权重的30%，扣完为止</w:t>
            </w:r>
          </w:p>
        </w:tc>
        <w:tc>
          <w:tcPr>
            <w:tcW w:w="1218" w:type="dxa"/>
            <w:tcBorders>
              <w:top w:val="nil"/>
              <w:left w:val="nil"/>
              <w:bottom w:val="single" w:color="auto" w:sz="4" w:space="0"/>
              <w:right w:val="single" w:color="auto" w:sz="4" w:space="0"/>
            </w:tcBorders>
            <w:noWrap/>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国库管理情况</w:t>
            </w:r>
          </w:p>
        </w:tc>
      </w:tr>
      <w:tr>
        <w:tblPrEx>
          <w:tblLayout w:type="fixed"/>
          <w:tblCellMar>
            <w:top w:w="0" w:type="dxa"/>
            <w:left w:w="108" w:type="dxa"/>
            <w:bottom w:w="0" w:type="dxa"/>
            <w:right w:w="108" w:type="dxa"/>
          </w:tblCellMar>
        </w:tblPrEx>
        <w:trPr>
          <w:trHeight w:val="540" w:hRule="atLeast"/>
          <w:jc w:val="center"/>
        </w:trPr>
        <w:tc>
          <w:tcPr>
            <w:tcW w:w="846" w:type="dxa"/>
            <w:tcBorders>
              <w:top w:val="nil"/>
              <w:left w:val="single" w:color="auto" w:sz="4" w:space="0"/>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499"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737"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95.38</w:t>
            </w:r>
          </w:p>
        </w:tc>
        <w:tc>
          <w:tcPr>
            <w:tcW w:w="1932"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noWrap/>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jc w:val="both"/>
        <w:rPr>
          <w:rFonts w:ascii="黑体" w:hAnsi="黑体" w:eastAsia="黑体" w:cs="黑体"/>
          <w:bCs/>
          <w:sz w:val="52"/>
          <w:szCs w:val="52"/>
        </w:rPr>
      </w:pPr>
    </w:p>
    <w:p>
      <w:pPr>
        <w:jc w:val="both"/>
        <w:rPr>
          <w:rFonts w:ascii="黑体" w:hAnsi="黑体" w:eastAsia="黑体" w:cs="黑体"/>
          <w:bCs/>
          <w:sz w:val="52"/>
          <w:szCs w:val="52"/>
        </w:rPr>
      </w:pPr>
    </w:p>
    <w:p>
      <w:pPr>
        <w:jc w:val="center"/>
        <w:rPr>
          <w:rFonts w:hint="eastAsia" w:ascii="黑体" w:hAnsi="黑体" w:eastAsia="黑体" w:cs="黑体"/>
          <w:bCs/>
          <w:sz w:val="52"/>
          <w:szCs w:val="52"/>
        </w:rPr>
      </w:pPr>
      <w:r>
        <w:rPr>
          <w:rFonts w:hint="eastAsia" w:ascii="黑体" w:hAnsi="黑体" w:eastAsia="黑体" w:cs="黑体"/>
          <w:bCs/>
          <w:sz w:val="52"/>
          <w:szCs w:val="52"/>
        </w:rPr>
        <w:t>国库管理工作经费</w:t>
      </w:r>
    </w:p>
    <w:p>
      <w:pPr>
        <w:jc w:val="center"/>
        <w:rPr>
          <w:rFonts w:ascii="黑体" w:hAnsi="黑体" w:eastAsia="黑体" w:cs="黑体"/>
          <w:bCs/>
          <w:sz w:val="52"/>
          <w:szCs w:val="52"/>
        </w:rPr>
      </w:pP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（2020年度）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jc w:val="left"/>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7872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9" name="直接箭头连接符 19"/>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86.75pt;margin-top:15.45pt;height:0pt;width:196.5pt;z-index:25167872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dAU/E6AEAAK4DAAAOAAAAZHJzL2Uyb0RvYy54bWytU0uO&#10;EzEQ3SNxB8t70klEEGmlM4uEYYMgEnCAiu3utuSfXCadXIILILECVsBq9pwGhmNQdjJhgA1C9MJd&#10;5XK9qvdcXlzsrWE7FVF71/DJaMyZcsJL7bqGv3xxee8hZ5jASTDeqYYfFPKL5d07iyHUaup7b6SK&#10;jEAc1kNoeJ9SqKsKRa8s4MgH5SjY+mghkRu7SkYYCN2aajoeP6gGH2WIXihE2l0fg3xZ8NtWifSs&#10;bVElZhpOvaWyxrJu81otF1B3EUKvxakN+IcuLGhHRc9Qa0jAXkX9B5TVInr0bRoJbyvftlqowoHY&#10;TMa/sXneQ1CFC4mD4SwT/j9Y8XS3iUxLurs5Zw4s3dH1m6tvr99ff/709d3V9y9vs/3xA6M4iTUE&#10;rCln5Tbx5GHYxMx830ab/8SJ7YvAh7PAap+YoM3p/flsNqN7EDex6mdiiJgeK29ZNhqOKYLu+rTy&#10;ztE1+jgpAsPuCSYqTYk3CbmqcWxo+Hw2nRE40CC1BhKZNhA1dF3JRW+0vNTG5AyM3XZlIttBHo3y&#10;ZYKE+8uxXGQN2B/PldBxaHoF8pGTLB0CaeZounluwSrJmVH0GLJFgFAn0OZvTlJp43KCKoN74pkV&#10;P2qcra2XhyJ9lT0aitLxaYDz1N32yb79zJY/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XqXKDX&#10;AAAACQEAAA8AAAAAAAAAAQAgAAAAIgAAAGRycy9kb3ducmV2LnhtbFBLAQIUABQAAAAIAIdO4kDd&#10;AU/E6AEAAK4DAAAOAAAAAAAAAAEAIAAAACYBAABkcnMvZTJvRG9jLnhtbFBLBQYAAAAABgAGAFkB&#10;AACA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昆明市盘龙区财政局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8076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15" name="直接箭头连接符 1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7.45pt;height:0pt;width:196.5pt;z-index:25168076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CnCeQ5wEAAK4DAAAOAAAAZHJzL2Uyb0RvYy54bWytU0uO&#10;EzEQ3SNxB8t70klEENNKZxYJwwZBJOAAFdvdbck/uUw6uQQXQGIFrIDV7DkNDMeg7GQyw7BBiF64&#10;q1yuz3t+np/vrGFbFVF71/DJaMyZcsJL7bqGv3518eAxZ5jASTDeqYbvFfLzxf178yHUaup7b6SK&#10;jIo4rIfQ8D6lUFcVil5ZwJEPylGw9dFCIjd2lYwwUHVrqul4/KgafJQheqEQaXd1CPJFqd+2SqQX&#10;bYsqMdNwmi2VNZZ1k9dqMYe6ixB6LY5jwD9MYUE7anoqtYIE7E3Uf5SyWkSPvk0j4W3l21YLVTAQ&#10;msn4DpqXPQRVsBA5GE404f8rK55v15FpSXc348yBpTu6enf54+3Hq69fvn+4/PntfbY/f2IUJ7KG&#10;gDXlLN06Hj0M65iR79po858wsV0heH8iWO0SE7Q5fXg2m83oHsR1rLpJDBHTU+Uty0bDMUXQXZ+W&#10;3jm6Rh8nhWDYPsNErSnxOiF3NY4NDT+bTQmFABJSayCRaQNBQ9eVXPRGywttTM7A2G2WJrItZGmU&#10;LwOkur8dy01WgP3hXAkdRNMrkE+cZGkfiDNH6uZ5BKskZ0bRY8gWFYQ6gTZ/c5JaG5cTVBHuEWdm&#10;/MBxtjZe7gv1VfZIFGXio4Cz6m77ZN9+Zo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PGEXYNcA&#10;AAAJAQAADwAAAAAAAAABACAAAAAiAAAAZHJzL2Rvd25yZXYueG1sUEsBAhQAFAAAAAgAh07iQIKc&#10;J5DnAQAArgMAAA4AAAAAAAAAAQAgAAAAJgEAAGRycy9lMm9Eb2MueG1sUEsFBgAAAAAGAAYAWQEA&#10;AH8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昆明市盘龙区财政局（国库科）</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8179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6" name="直接箭头连接符 1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8179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leVke6AEAAK4DAAAOAAAAZHJzL2Uyb0RvYy54bWytU0uO&#10;EzEQ3SNxB8t70klERkwrnVkkDBsEkYADVGx3tyX/5DLp5BJcAIkVsAJWs5/TwHAMyk4mDLBBiF64&#10;q1yuV/Wey/OLnTVsqyJq7xo+GY05U054qV3X8FcvLx884gwTOAnGO9XwvUJ+sbh/bz6EWk19741U&#10;kRGIw3oIDe9TCnVVoeiVBRz5oBwFWx8tJHJjV8kIA6FbU03H47Nq8FGG6IVCpN3VIcgXBb9tlUjP&#10;2xZVYqbh1FsqayzrJq/VYg51FyH0WhzbgH/owoJ2VPQEtYIE7HXUf0BZLaJH36aR8LbybauFKhyI&#10;zWT8G5sXPQRVuJA4GE4y4f+DFc+268i0pLs748yBpTu6eXv17c2Hmy+fv76/+n79LtufPjKKk1hD&#10;wJpylm4djx6GdczMd220+U+c2K4IvD8JrHaJCdqcPjyfzWZ0D+I2Vv1MDBHTE+Uty0bDMUXQXZ+W&#10;3jm6Rh8nRWDYPsVEpSnxNiFXNY4NDT+fTWcEDjRIrYFEpg1EDV1XctEbLS+1MTkDY7dZmsi2kEej&#10;fJkg4f5yLBdZAfaHcyV0GJpegXzsJEv7QJo5mm6eW7BKcmYUPYZsESDUCbT5m5NU2ricoMrgHnlm&#10;xQ8aZ2vj5b5IX2WPhqJ0fBzgPHV3fbLvPrPF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Qgv7vX&#10;AAAACQEAAA8AAAAAAAAAAQAgAAAAIgAAAGRycy9kb3ducmV2LnhtbFBLAQIUABQAAAAIAIdO4kBl&#10;eVke6AEAAK4DAAAOAAAAAAAAAAEAIAAAACYBAABkcnMvZTJvRG9jLnhtbFBLBQYAAAAABgAGAFkB&#10;AACA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昆明市盘龙区财政局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8281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8" name="直接箭头连接符 18"/>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8281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oLUI6AEAAK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2jTjmw1KOrd5c/3n68+vrl+4fLn9/eZ/vzJ0Z+EmsI&#10;WFPM0q3jcYdhHTPzXRtt/hMntisC708Cq11igg6nD89msxn1QVz7qpvAEDE9Vd6ybDQcUwTd9Wnp&#10;naM2+jgpAsP2GSZKTYHXATmrcWxo+NlsOiNwoEFqDSQybSBq6LoSi95oeaGNyREYu83SRLaFPBrl&#10;ywQJ97drOckKsD/cK67D0PQK5BMnWdoH0szRdPNcglWSM6PoMWSLAKFOoM3f3KTUxuUAVQb3yDMr&#10;ftA4Wxsv90X6Ku9oKErFxwHOU3d7T/btZ7b4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Qgv7vX&#10;AAAACQEAAA8AAAAAAAAAAQAgAAAAIgAAAGRycy9kb3ducmV2LnhtbFBLAQIUABQAAAAIAIdO4kC/&#10;oLUI6AEAAK4DAAAOAAAAAAAAAAEAIAAAACYBAABkcnMvZTJvRG9jLnhtbFBLBQYAAAAABgAGAFkB&#10;AACA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rPr>
        <w:t>国库管理工作经费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8384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7" name="直接箭头连接符 17"/>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8384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H2KPS6AEAAK4DAAAOAAAAZHJzL2Uyb0RvYy54bWytU0uO&#10;EzEQ3SNxB8t70klEgGmlM4uEYYMgEnCAiu3utuSfXCadXIILILECVjCr2XMaGI5B2cmEATYI0Qt3&#10;lcv1qt5zeX6+s4ZtVUTtXcMnozFnygkvtesa/urlxb1HnGECJ8F4pxq+V8jPF3fvzIdQq6nvvZEq&#10;MgJxWA+h4X1Koa4qFL2ygCMflKNg66OFRG7sKhlhIHRrqul4/KAafJQheqEQaXd1CPJFwW9bJdLz&#10;tkWVmGk49ZbKGsu6yWu1mEPdRQi9Fsc24B+6sKAdFT1BrSABex31H1BWi+jRt2kkvK1822qhCgdi&#10;Mxn/xuZFD0EVLiQOhpNM+P9gxbPtOjIt6e4ecubA0h1dv7369ubD9eXnr++vvn95l+1PHxnFSawh&#10;YE05S7eORw/DOmbmuzba/CdObFcE3p8EVrvEBG1O75/NZjO6B3ETq34mhojpifKWZaPhmCLork9L&#10;7xxdo4+TIjBsn2Ki0pR4k5CrGseGhp/NpjMCBxqk1kAi0waihq4rueiNlhfamJyBsdssTWRbyKNR&#10;vkyQcH85lousAPvDuRI6DE2vQD52kqV9IM0cTTfPLVglOTOKHkO2CBDqBNr8zUkqbVxOUGVwjzyz&#10;4geNs7Xxcl+kr7JHQ1E6Pg5wnrrbPtm3n9ni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Qgv7vX&#10;AAAACQEAAA8AAAAAAAAAAQAgAAAAIgAAAGRycy9kb3ducmV2LnhtbFBLAQIUABQAAAAIAIdO4kAH&#10;2KPS6AEAAK4DAAAOAAAAAAAAAAEAIAAAACYBAABkcnMvZTJvRG9jLnhtbFBLBQYAAAAABgAGAFkB&#10;AACA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b/>
          <w:bCs/>
          <w:sz w:val="28"/>
          <w:szCs w:val="28"/>
        </w:rPr>
        <w:t>2021年5月</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both"/>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720"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tcPr>
          <w:p>
            <w:pPr>
              <w:pStyle w:val="10"/>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周宇</w:t>
            </w:r>
          </w:p>
        </w:tc>
        <w:tc>
          <w:tcPr>
            <w:tcW w:w="1620" w:type="dxa"/>
            <w:noWrap/>
          </w:tcPr>
          <w:p>
            <w:pPr>
              <w:pStyle w:val="10"/>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副局长</w:t>
            </w:r>
          </w:p>
        </w:tc>
        <w:tc>
          <w:tcPr>
            <w:tcW w:w="1621" w:type="dxa"/>
            <w:noWrap/>
          </w:tcPr>
          <w:p>
            <w:pPr>
              <w:pStyle w:val="10"/>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盘龙区财政局</w:t>
            </w:r>
          </w:p>
        </w:tc>
        <w:tc>
          <w:tcPr>
            <w:tcW w:w="1621" w:type="dxa"/>
            <w:noWrap/>
          </w:tcPr>
          <w:p>
            <w:pPr>
              <w:pStyle w:val="10"/>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tcPr>
          <w:p>
            <w:pPr>
              <w:pStyle w:val="10"/>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莫立</w:t>
            </w:r>
          </w:p>
        </w:tc>
        <w:tc>
          <w:tcPr>
            <w:tcW w:w="1620" w:type="dxa"/>
            <w:noWrap/>
          </w:tcPr>
          <w:p>
            <w:pPr>
              <w:pStyle w:val="10"/>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无</w:t>
            </w:r>
          </w:p>
        </w:tc>
        <w:tc>
          <w:tcPr>
            <w:tcW w:w="1621" w:type="dxa"/>
            <w:noWrap/>
          </w:tcPr>
          <w:p>
            <w:pPr>
              <w:pStyle w:val="10"/>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盘龙区财政局国库科</w:t>
            </w: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360" w:lineRule="auto"/>
              <w:jc w:val="center"/>
              <w:rPr>
                <w:rFonts w:ascii="Times New Roman" w:hAnsi="Times New Roman" w:eastAsia="黑体" w:cs="黑体"/>
                <w:kern w:val="2"/>
                <w:sz w:val="24"/>
                <w:szCs w:val="24"/>
                <w:lang w:val="zh-TW"/>
              </w:rPr>
            </w:pPr>
            <w:r>
              <w:rPr>
                <w:rFonts w:ascii="Times New Roman" w:hAnsi="Times New Roman" w:eastAsia="黑体" w:cs="黑体"/>
                <w:kern w:val="2"/>
                <w:sz w:val="24"/>
                <w:szCs w:val="24"/>
                <w:lang w:val="zh-TW"/>
              </w:rPr>
              <w:t>……</w:t>
            </w: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0"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c>
          <w:tcPr>
            <w:tcW w:w="1621" w:type="dxa"/>
            <w:noWrap/>
          </w:tcPr>
          <w:p>
            <w:pPr>
              <w:pStyle w:val="10"/>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tcPr>
          <w:p>
            <w:pPr>
              <w:pStyle w:val="10"/>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spacing w:after="0" w:line="360" w:lineRule="auto"/>
              <w:jc w:val="both"/>
              <w:rPr>
                <w:rFonts w:ascii="Times New Roman" w:hAnsi="Times New Roman" w:eastAsia="黑体" w:cs="黑体"/>
                <w:kern w:val="2"/>
                <w:sz w:val="24"/>
                <w:szCs w:val="24"/>
                <w:lang w:val="zh-TW"/>
              </w:rPr>
            </w:pPr>
          </w:p>
          <w:p>
            <w:pPr>
              <w:pStyle w:val="10"/>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11"/>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一、</w:t>
      </w:r>
      <w:r>
        <w:rPr>
          <w:rFonts w:hint="eastAsia" w:ascii="黑体" w:hAnsi="黑体" w:eastAsia="黑体"/>
          <w:szCs w:val="32"/>
        </w:rPr>
        <w:t>摘要</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二、</w:t>
      </w:r>
      <w:r>
        <w:rPr>
          <w:rFonts w:hint="eastAsia" w:ascii="黑体" w:hAnsi="黑体" w:eastAsia="黑体"/>
          <w:szCs w:val="32"/>
        </w:rPr>
        <w:t>项目基本情况</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（一）</w:t>
      </w:r>
      <w:r>
        <w:rPr>
          <w:rFonts w:hint="eastAsia" w:ascii="黑体" w:hAnsi="黑体" w:eastAsia="黑体"/>
          <w:szCs w:val="32"/>
          <w:lang w:eastAsia="zh-CN"/>
        </w:rPr>
        <w:t>项目概况</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（二）</w:t>
      </w:r>
      <w:r>
        <w:rPr>
          <w:rFonts w:hint="eastAsia" w:ascii="黑体" w:hAnsi="黑体" w:eastAsia="黑体"/>
          <w:szCs w:val="32"/>
          <w:lang w:eastAsia="zh-CN"/>
        </w:rPr>
        <w:t>绩效目标</w:t>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三、</w:t>
      </w:r>
      <w:r>
        <w:rPr>
          <w:rFonts w:hint="eastAsia" w:ascii="黑体" w:hAnsi="黑体" w:eastAsia="黑体"/>
          <w:szCs w:val="32"/>
        </w:rPr>
        <w:t>绩效评价工作情况</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(一)</w:t>
      </w:r>
      <w:r>
        <w:rPr>
          <w:rFonts w:hint="eastAsia" w:ascii="黑体" w:hAnsi="黑体" w:eastAsia="黑体"/>
          <w:szCs w:val="32"/>
          <w:lang w:eastAsia="zh-CN"/>
        </w:rPr>
        <w:t>绩效</w:t>
      </w:r>
      <w:r>
        <w:rPr>
          <w:rFonts w:hint="eastAsia" w:ascii="黑体" w:hAnsi="黑体" w:eastAsia="黑体"/>
          <w:szCs w:val="32"/>
        </w:rPr>
        <w:t>评价目的</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(五)</w:t>
      </w:r>
      <w:r>
        <w:rPr>
          <w:rFonts w:hint="eastAsia" w:ascii="黑体" w:hAnsi="黑体" w:eastAsia="黑体"/>
          <w:szCs w:val="32"/>
          <w:lang w:eastAsia="zh-CN"/>
        </w:rPr>
        <w:t>本次</w:t>
      </w:r>
      <w:r>
        <w:rPr>
          <w:rFonts w:hint="eastAsia" w:ascii="黑体" w:hAnsi="黑体" w:eastAsia="黑体"/>
          <w:szCs w:val="32"/>
        </w:rPr>
        <w:t>绩效评价的局限性</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四、</w:t>
      </w:r>
      <w:r>
        <w:rPr>
          <w:rFonts w:hint="eastAsia" w:ascii="黑体" w:hAnsi="黑体" w:eastAsia="黑体"/>
          <w:szCs w:val="32"/>
        </w:rPr>
        <w:t>评价结论</w:t>
      </w:r>
      <w:r>
        <w:rPr>
          <w:rFonts w:hint="eastAsia" w:ascii="黑体" w:hAnsi="黑体" w:eastAsia="黑体"/>
          <w:szCs w:val="32"/>
          <w:lang w:eastAsia="zh-CN"/>
        </w:rPr>
        <w:t>和</w:t>
      </w:r>
      <w:r>
        <w:rPr>
          <w:rFonts w:hint="eastAsia" w:ascii="黑体" w:hAnsi="黑体" w:eastAsia="黑体"/>
          <w:szCs w:val="32"/>
        </w:rPr>
        <w:t xml:space="preserve">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(二)</w:t>
      </w:r>
      <w:r>
        <w:rPr>
          <w:rFonts w:hint="eastAsia" w:ascii="黑体" w:hAnsi="黑体" w:eastAsia="黑体"/>
          <w:szCs w:val="32"/>
          <w:lang w:eastAsia="zh-CN"/>
        </w:rPr>
        <w:t>具体</w:t>
      </w:r>
      <w:r>
        <w:rPr>
          <w:rFonts w:hint="eastAsia" w:ascii="黑体" w:hAnsi="黑体" w:eastAsia="黑体"/>
          <w:szCs w:val="32"/>
        </w:rPr>
        <w:t>绩效分析</w:t>
      </w:r>
      <w:r>
        <w:rPr>
          <w:rFonts w:hint="eastAsia" w:ascii="黑体" w:hAnsi="黑体" w:eastAsia="黑体"/>
          <w:szCs w:val="32"/>
        </w:rPr>
        <w:tab/>
      </w:r>
    </w:p>
    <w:p>
      <w:pPr>
        <w:spacing w:line="440" w:lineRule="exact"/>
        <w:ind w:firstLine="420" w:firstLineChars="200"/>
        <w:jc w:val="left"/>
        <w:rPr>
          <w:rFonts w:hint="eastAsia" w:ascii="黑体" w:hAnsi="黑体" w:eastAsia="黑体"/>
          <w:szCs w:val="32"/>
          <w:lang w:eastAsia="zh-CN"/>
        </w:rPr>
      </w:pPr>
      <w:r>
        <w:rPr>
          <w:rFonts w:hint="eastAsia" w:ascii="黑体" w:hAnsi="黑体" w:eastAsia="黑体"/>
          <w:szCs w:val="32"/>
          <w:lang w:eastAsia="zh-CN"/>
        </w:rPr>
        <w:t>五、成本效益分析</w:t>
      </w:r>
    </w:p>
    <w:p>
      <w:pPr>
        <w:spacing w:line="440" w:lineRule="exact"/>
        <w:ind w:firstLine="420" w:firstLineChars="200"/>
        <w:jc w:val="left"/>
        <w:rPr>
          <w:rFonts w:ascii="黑体" w:hAnsi="黑体" w:eastAsia="黑体"/>
          <w:szCs w:val="32"/>
        </w:rPr>
      </w:pPr>
      <w:r>
        <w:rPr>
          <w:rFonts w:hint="eastAsia" w:ascii="黑体" w:hAnsi="黑体" w:eastAsia="黑体"/>
          <w:szCs w:val="32"/>
          <w:lang w:eastAsia="zh-CN"/>
        </w:rPr>
        <w:t>六、</w:t>
      </w:r>
      <w:r>
        <w:rPr>
          <w:rFonts w:hint="eastAsia" w:ascii="黑体" w:hAnsi="黑体" w:eastAsia="黑体"/>
          <w:szCs w:val="32"/>
        </w:rPr>
        <w:t xml:space="preserve">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佐证材料</w:t>
      </w:r>
    </w:p>
    <w:p>
      <w:pPr>
        <w:spacing w:line="440" w:lineRule="exact"/>
        <w:ind w:firstLine="420" w:firstLineChars="200"/>
        <w:jc w:val="left"/>
        <w:rPr>
          <w:rFonts w:ascii="黑体" w:hAnsi="黑体" w:eastAsia="黑体"/>
          <w:szCs w:val="32"/>
        </w:rPr>
      </w:pPr>
      <w:r>
        <w:rPr>
          <w:rFonts w:hint="eastAsia" w:ascii="黑体" w:hAnsi="黑体" w:eastAsia="黑体"/>
          <w:szCs w:val="32"/>
        </w:rPr>
        <w:tab/>
      </w: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国库管理工作项目支出绩效自评报告</w:t>
      </w:r>
    </w:p>
    <w:p>
      <w:pPr>
        <w:keepNext w:val="0"/>
        <w:keepLines w:val="0"/>
        <w:pageBreakBefore w:val="0"/>
        <w:widowControl w:val="0"/>
        <w:kinsoku/>
        <w:wordWrap/>
        <w:overflowPunct/>
        <w:autoSpaceDE/>
        <w:autoSpaceDN/>
        <w:bidi w:val="0"/>
        <w:adjustRightInd/>
        <w:snapToGrid/>
        <w:spacing w:line="600" w:lineRule="exact"/>
        <w:jc w:val="lef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摘要</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项目概况</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盘龙区区级财政国库集中支付银行代理业务综合考评暂行办法》（盘财〔2011〕44号）及与银行签订代理协议，年度综合考评结束后支付银行业务代理费；根据《部门决算管理制度》(财库〔2013〕209号）开展2018年度部门决算核查工作，支付委托中介机构服务费用；根据《部门决算服务合同》，支付2019年决算咨询业务费。</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评价结论</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本次项目绩效目标总体完成情况良好，自评得分95.38分。</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经验、问题和建议</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主要做法：一是规范程序，确保依法依规，在整个项目实施过程中，严格执行我单位内控制度，在考评、合同签订以及实施等各个环节，均按照规定进行评审和报批，工作流程完整规范。二是纳入政府购买服务流程，制定政府购买服务计划，做好项目信息公开，完善评价打分评审工作流程，优选委托单位。</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保障措施：一是进一步优化代理银行考评指标，科学设定考评指标体系，重新签订代理协议；二是引入第三方进行部门决算核查和部门决算编审工作，加强信息公开，强化质量控制；三是完善相关制度建设，进一步修改考评细则，在预算执行过程中实现动态监控。</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存在的问题：一是在预算编制环节，预期支出项目资金和实际支出存在差异，这是由于支付代理银行代理费是由代理授权支付业务量来进行计算，而在编制预算时候无法准确预计下一年的业务量，最终实际支付金额以实际完成代理的业务量情况进行计算支付。二是代理银行考评需要跨年度完成，收集评价数据有一定滞后性，对相关绩效评价不够全面；三是部分绩效考评指标设计不合理。该项目的部分成果无法用量化指标的形式表示，在绩效考评指标的设计上，有待完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改进措施及建议：一是鉴于国库管理工作的延续性，建议将未使用完的工作经费纳入2021年年初预算中继续使用；二是加强与相关单位和部门的沟通和协作，确保能及时高效的收集相关评价指标数据；三是在2021年召开验收会，对相关单位内部控制制度流程交付完成情况提出专业评审意见，研究制定适合专项资金的支出绩效评价共性指标，绩效管理方面需细化，指标的设计还需进一步的讨论和完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项目基本情况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1.立项背景及目的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盘龙区区级财政国库集中支付银行代理业务综合考评暂行办法》（盘财〔2011〕44号）及与银行签订代理协议，年度综合考评结束后支付银行业务代理费；根据《部门决算管理制度》(财库〔2013〕209号）开展2018年度部门决算核查工作，支付委托中介机构服务费用；根据《部门决算服务合同》，支付2019年决算咨询业务费。</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项目实施情况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截至2020年底，代理银行、各相关单位均完成了国库管理工作，保证了项目完成的及时性。项目绩效有效促进了部门绩效目标的实现。</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资金来源及使用情况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盘龙区国库管理工作经费资金来源为年初预算，截至2020年底，该项目工作经费支出已达100%。</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组织及管理情况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项目组织情况：国库管理工作是我局的主业工作，也是我局的日常工作，根据年度工作安排，进行项目申报和组织实施工作，加强对项目的实施前、实施中、实施后的监督管理。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项目实施流程：根据工作进度与银行签订代理协议，年度综合考评结束后支付银行业务代理费；及时开展2018年度部门决算核查工作，支付委托中介机构服务费用；根据市级工作安排，开展部门决算报送，引入第三方中介机构进行部门决算编审服务，并依据合同约定支付2019年决算咨询业务费。</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资金拨付流程：在前期局党组会会议研究并通过的基础上，项目完结验收后，由科室填写大额资金使用审批表，附上详细资料，经会计资金渠道意见、分管领导意见、党组会意见、局长意见均签字审批后，报局出纳出款，具体资金拨付走财政授权支付流程，待对方收到款项后，出具发票，我局填写费用报销清单，报经领导签字审批，后将所有资料报给局会计记账。</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1.总目标：确保财政国库各项管理工作的稳步推进</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年度目标：通过国库管理工作，能切实提高国库管理工作，项目绩效产出指标完成率为100%，效益指标完成率为100%，满意度指标完成率为100%，项目清算进程于2019年12月31日前完成，保证了项目完成的及时性。项目绩效有效促进了部门绩效目标的实现。</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、绩效评价工作情况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项目管理程序规范，严格按照《盘龙区财政局内部控制系列（试行）制度》执行，项目进行检查和监控。项目绩效明显，在产出指标、时效指标、效益指标等方面都有较好表现，具体为：</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1.产出指标：完成了对4家银行代理的财政国库集中支付业务进行年度综合考评、完成了对我区6家单位进行2018年部门决算核查、完成了2019年部门决算的编制和报送。</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2.时效指标：均在预期时间内完成，项目进展富有效率，按照进度计划完成各阶段目标。</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效益指标：促进区级财政国库集中支付代理银行提高国库支付业务代理工作质量和服务水平，提高财政资金支付效率，进一步提高部门决算编审质量，强化预算执行监督管理，建立部门预算、核算、决算与财政监督相结合的工作机制。</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1.前期调研：根据下发的有关文件，我局迅速向主要负责人报告有关情况，按照领导指示意见，迅速开展前期各项准备工作。</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2.研究文件：根据实施方案要求，组织力量进行考评文件和指标梳理，进行数据分析，为开展绩效评价做好基础。</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绩效评价根据《盘龙区区级部门预算绩效自评管理暂行办法》的要求，结合具体工作实际设计指标名称，首先明确绩效评价等级划分与指标，其次对相关指标进行解释并拟定评分标准和考评方式。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绩效评价原则：严格遵循科学规范、公开公正、绩效相关等原则，绩效评价结合项目推进情况，按照设定的绩效目标，运用合理的评价方法和对照标准，对项目涉及的各个方面进行客观、科学、公正、公平地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2.绩效评价方法:采用直接比对的方法，将项目实际完成情况与绩效指标完成情况进行直接对比，在此基础上进行评价。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此次绩效评价由项目实施科室根据项目绩效目标进行，一是前期准备，明确项目内容、了解基本情况、设计指标体系；二是收集信息，按阶段落实工作进展情况；三是对照检查核实，提出意见建议。</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本次绩效评价的局限性</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本项目的一些评价指标有待进一步的探讨和完善。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、评价结论和绩效分析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1.评价结果:本次项目绩效目标总体完成情况良好，自评得分95.38分。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2.主要绩效:绩效指标主要从三大方面对本项目进行自评，分别是项目决策（20%）、项目管理（20%）、项目绩效（60%）。</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1.项目决策指标完成情况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项目决策指标满分20分，得18分。此项目与部门中长期目标相匹配，与部门职责密切相关，是单位日常工作，无前期调研报告，扣2分。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2.项目管理指标完成情况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项目管理指标满分20分，得20分。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3.项目绩效指标完成情况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项目绩效指标满分60分，得57.38分。预算执行率=实际支出金额/项目预算金额×100%=192/221×100%=86.88%，扣2.62分。</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成本效益分析</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对资金使用方向、资金收入和支出结构；项目和资金管理情况；资金的节约性、资金使用效果；变化趋势等进行分析评价。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2020年资金使用主要为支付2018年度决算核查服务费、2019年部门决算服务费、银行代理业务手续费，年初预算下达221万元，年末实际支出192万元，资金使用绩效良好，按照规定制度，取得预期成效。</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、主要经验及做法、存在的问题和建议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是规范程序，确保依法依规，在整个项目实施过程中，严格执行我单位内控制度，在考评、合同签订以及实施等各个环节，均按照规定进行评审和报批，工作流程完整规范，及时反馈，重点跟踪，确保阶段性任务能够按计划完成；二是纳入政府购买服务流程，制定政府购买服务计划，做好项目信息公开，完善评价打分评审工作流程，优选委托单位；三是及时安排工作经费，为项目实施做好资金保障。</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存在的问题</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是在预算编制环节，预期支出项目资金和实际支出存在差异，这是由于支付代理银行代理费是由代理授权支付业务量来进行计算，而在编制预算时候无法准确预计下一年的业务量，最终实际支付金额以实际完成代理的业务量情况进行计算支付。二是代理银行考评需要跨年度完成，收集评价数据有一定滞后性，对相关绩效评价不够全面；三是部分绩效考评指标设计不合理。该项目的部分成果无法用量化指标的形式表示，在绩效考评指标的设计上，有待完善。</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建议和改进措施</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是鉴于国库管理工作的延续性，建议将未使用完的工作经费纳入2021年年初预算中继续使用；二是加强与相关单位和部门的沟通和协作，确保能及时高效的收集相关评价指标数据；三是在2021年召开验收会，对相关单位内部控制制度流程交付完成情况提出专业评审意见，研究制定适合专项资金的支出绩效评价共性指标，绩效管理方面需细化，指标的设计还需进一步的讨论和完善。</w:t>
      </w:r>
    </w:p>
    <w:p>
      <w:pPr>
        <w:keepNext w:val="0"/>
        <w:keepLines w:val="0"/>
        <w:pageBreakBefore w:val="0"/>
        <w:widowControl w:val="0"/>
        <w:kinsoku/>
        <w:wordWrap/>
        <w:overflowPunct/>
        <w:autoSpaceDE/>
        <w:autoSpaceDN/>
        <w:bidi w:val="0"/>
        <w:adjustRightInd/>
        <w:snapToGrid/>
        <w:spacing w:line="600" w:lineRule="exact"/>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绩效评价报告正文后附以下佐证材料</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1.绩效评价指标体系</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2.部门决算批复</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.部门决算管理制度(财库【2013】209号）</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.盘财〔2011〕44号印发《盘龙区区级财政国库集中支付银行代理业务综合考评暂行办法》的通知</w:t>
      </w:r>
      <w:r>
        <w:rPr>
          <w:rFonts w:hint="eastAsia" w:ascii="Times New Roman" w:hAnsi="Times New Roman" w:eastAsia="仿宋_GB2312" w:cs="Times New Roman"/>
          <w:sz w:val="32"/>
          <w:szCs w:val="32"/>
          <w:lang w:eastAsia="zh-CN"/>
        </w:rPr>
        <w:t>。</w:t>
      </w:r>
    </w:p>
    <w:p/>
    <w:p/>
    <w:p>
      <w:pPr>
        <w:widowControl/>
        <w:jc w:val="center"/>
        <w:rPr>
          <w:rFonts w:ascii="方正小标宋_GBK" w:eastAsia="方正小标宋_GBK"/>
          <w:sz w:val="28"/>
          <w:szCs w:val="28"/>
        </w:rPr>
      </w:pPr>
      <w:r>
        <w:rPr>
          <w:rFonts w:hint="eastAsia" w:ascii="方正小标宋_GBK" w:eastAsia="方正小标宋_GBK"/>
          <w:sz w:val="28"/>
          <w:szCs w:val="28"/>
          <w:lang w:eastAsia="zh-CN"/>
        </w:rPr>
        <w:t>附件</w:t>
      </w:r>
      <w:r>
        <w:rPr>
          <w:rFonts w:hint="eastAsia" w:ascii="方正小标宋_GBK" w:eastAsia="方正小标宋_GBK"/>
          <w:sz w:val="28"/>
          <w:szCs w:val="28"/>
          <w:lang w:val="en-US" w:eastAsia="zh-CN"/>
        </w:rPr>
        <w:t>5：国资业务费（购买服务）</w:t>
      </w:r>
      <w:r>
        <w:rPr>
          <w:rFonts w:hint="eastAsia" w:ascii="方正小标宋_GBK" w:eastAsia="方正小标宋_GBK"/>
          <w:sz w:val="28"/>
          <w:szCs w:val="28"/>
        </w:rPr>
        <w:t>项目支出绩效评价共性指标体系</w:t>
      </w:r>
    </w:p>
    <w:tbl>
      <w:tblPr>
        <w:tblStyle w:val="8"/>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671"/>
        <w:gridCol w:w="1174"/>
        <w:gridCol w:w="913"/>
        <w:gridCol w:w="1291"/>
        <w:gridCol w:w="519"/>
        <w:gridCol w:w="559"/>
        <w:gridCol w:w="2001"/>
        <w:gridCol w:w="1940"/>
        <w:gridCol w:w="1344"/>
      </w:tblGrid>
      <w:tr>
        <w:tblPrEx>
          <w:tblLayout w:type="fixed"/>
          <w:tblCellMar>
            <w:top w:w="0" w:type="dxa"/>
            <w:left w:w="108" w:type="dxa"/>
            <w:bottom w:w="0" w:type="dxa"/>
            <w:right w:w="108" w:type="dxa"/>
          </w:tblCellMar>
        </w:tblPrEx>
        <w:trPr>
          <w:trHeight w:val="540" w:hRule="atLeast"/>
        </w:trPr>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一级</w:t>
            </w:r>
          </w:p>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指标</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二级指标</w:t>
            </w:r>
          </w:p>
        </w:tc>
        <w:tc>
          <w:tcPr>
            <w:tcW w:w="91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三级指标</w:t>
            </w:r>
          </w:p>
        </w:tc>
        <w:tc>
          <w:tcPr>
            <w:tcW w:w="12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四级指标</w:t>
            </w:r>
          </w:p>
        </w:tc>
        <w:tc>
          <w:tcPr>
            <w:tcW w:w="51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分值</w:t>
            </w:r>
          </w:p>
        </w:tc>
        <w:tc>
          <w:tcPr>
            <w:tcW w:w="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得分</w:t>
            </w:r>
          </w:p>
        </w:tc>
        <w:tc>
          <w:tcPr>
            <w:tcW w:w="20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指标解释</w:t>
            </w:r>
          </w:p>
        </w:tc>
        <w:tc>
          <w:tcPr>
            <w:tcW w:w="19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评分标准</w:t>
            </w:r>
          </w:p>
        </w:tc>
        <w:tc>
          <w:tcPr>
            <w:tcW w:w="13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数据来源</w:t>
            </w:r>
          </w:p>
        </w:tc>
      </w:tr>
      <w:tr>
        <w:tblPrEx>
          <w:tblLayout w:type="fixed"/>
          <w:tblCellMar>
            <w:top w:w="0" w:type="dxa"/>
            <w:left w:w="108" w:type="dxa"/>
            <w:bottom w:w="0" w:type="dxa"/>
            <w:right w:w="108" w:type="dxa"/>
          </w:tblCellMar>
        </w:tblPrEx>
        <w:trPr>
          <w:trHeight w:val="856"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A.项目决策（20%）</w:t>
            </w:r>
          </w:p>
        </w:tc>
        <w:tc>
          <w:tcPr>
            <w:tcW w:w="1174" w:type="dxa"/>
            <w:vMerge w:val="restart"/>
            <w:tcBorders>
              <w:top w:val="nil"/>
              <w:left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A1.项目立项（8%）</w:t>
            </w:r>
          </w:p>
        </w:tc>
        <w:tc>
          <w:tcPr>
            <w:tcW w:w="91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A11.与部门中长期规划目标适应性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A111.与部门中长期规划目标匹配性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考察项目与部门中长期目标是否匹配</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匹配，得满分；不匹配，不得分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部门中长期规划目标</w:t>
            </w:r>
          </w:p>
        </w:tc>
      </w:tr>
      <w:tr>
        <w:tblPrEx>
          <w:tblLayout w:type="fixed"/>
          <w:tblCellMar>
            <w:top w:w="0" w:type="dxa"/>
            <w:left w:w="108" w:type="dxa"/>
            <w:bottom w:w="0" w:type="dxa"/>
            <w:right w:w="108" w:type="dxa"/>
          </w:tblCellMar>
        </w:tblPrEx>
        <w:trPr>
          <w:trHeight w:val="864"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A12.立项依据充分性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A121.与政府相关规划、决策匹配性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2</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考察项目是否符合区政府相关发展规划和政府决策</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符合，得满分；不符合，不得分。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区政府相关规划、决策、批复</w:t>
            </w:r>
          </w:p>
        </w:tc>
      </w:tr>
      <w:tr>
        <w:tblPrEx>
          <w:tblLayout w:type="fixed"/>
          <w:tblCellMar>
            <w:top w:w="0" w:type="dxa"/>
            <w:left w:w="108" w:type="dxa"/>
            <w:bottom w:w="0" w:type="dxa"/>
            <w:right w:w="108" w:type="dxa"/>
          </w:tblCellMar>
        </w:tblPrEx>
        <w:trPr>
          <w:trHeight w:val="54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A122.与部门职责适应性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考察项目是否与部门职责密切相关。</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部门职责文件</w:t>
            </w:r>
          </w:p>
        </w:tc>
      </w:tr>
      <w:tr>
        <w:tblPrEx>
          <w:tblLayout w:type="fixed"/>
          <w:tblCellMar>
            <w:top w:w="0" w:type="dxa"/>
            <w:left w:w="108" w:type="dxa"/>
            <w:bottom w:w="0" w:type="dxa"/>
            <w:right w:w="108" w:type="dxa"/>
          </w:tblCellMar>
        </w:tblPrEx>
        <w:trPr>
          <w:trHeight w:val="50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A13.项目立项规范性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A132.立项程序规范性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4</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4</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考察项目的申请、设立过程是否符合相关要求。</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申请、批复文件</w:t>
            </w:r>
          </w:p>
        </w:tc>
      </w:tr>
      <w:tr>
        <w:tblPrEx>
          <w:tblLayout w:type="fixed"/>
          <w:tblCellMar>
            <w:top w:w="0" w:type="dxa"/>
            <w:left w:w="108" w:type="dxa"/>
            <w:bottom w:w="0" w:type="dxa"/>
            <w:right w:w="108" w:type="dxa"/>
          </w:tblCellMar>
        </w:tblPrEx>
        <w:trPr>
          <w:trHeight w:val="74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A2.项目目标（12%）</w:t>
            </w:r>
          </w:p>
        </w:tc>
        <w:tc>
          <w:tcPr>
            <w:tcW w:w="913"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A21.绩效目标设定的合理性</w:t>
            </w:r>
          </w:p>
        </w:tc>
        <w:tc>
          <w:tcPr>
            <w:tcW w:w="129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A211.绩效目标相关性</w:t>
            </w:r>
          </w:p>
        </w:tc>
        <w:tc>
          <w:tcPr>
            <w:tcW w:w="51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200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考察设定的绩效目标是否与事业发展规划相关。</w:t>
            </w:r>
          </w:p>
        </w:tc>
        <w:tc>
          <w:tcPr>
            <w:tcW w:w="1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规范得满分；存在一项不合理，扣0.5分，扣完为止</w:t>
            </w:r>
          </w:p>
        </w:tc>
        <w:tc>
          <w:tcPr>
            <w:tcW w:w="1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绩效目标申报表、部门规划、年度工作目标</w:t>
            </w:r>
          </w:p>
        </w:tc>
      </w:tr>
      <w:tr>
        <w:tblPrEx>
          <w:tblLayout w:type="fixed"/>
          <w:tblCellMar>
            <w:top w:w="0" w:type="dxa"/>
            <w:left w:w="108" w:type="dxa"/>
            <w:bottom w:w="0" w:type="dxa"/>
            <w:right w:w="108" w:type="dxa"/>
          </w:tblCellMar>
        </w:tblPrEx>
        <w:trPr>
          <w:trHeight w:val="966"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A212.绩效目标完整性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考察设定的绩效目标是否完整地反应预期产出和效果</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绩效目标申报表、年度工作目标、立项申请、批复文件</w:t>
            </w:r>
          </w:p>
        </w:tc>
      </w:tr>
      <w:tr>
        <w:tblPrEx>
          <w:tblLayout w:type="fixed"/>
          <w:tblCellMar>
            <w:top w:w="0" w:type="dxa"/>
            <w:left w:w="108" w:type="dxa"/>
            <w:bottom w:w="0" w:type="dxa"/>
            <w:right w:w="108" w:type="dxa"/>
          </w:tblCellMar>
        </w:tblPrEx>
        <w:trPr>
          <w:trHeight w:val="76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A213.目标与预算的匹配性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考察设定的绩效目标是否与年度预算相匹配。</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A22.绩效指标设定的明确性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A221.指标细化分解情况</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2.5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考察是否将绩效目标细化分解为清晰、可衡量的绩效指标。</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绩效目标申报表、立项申请、批复文件</w:t>
            </w:r>
          </w:p>
        </w:tc>
      </w:tr>
      <w:tr>
        <w:tblPrEx>
          <w:tblLayout w:type="fixed"/>
          <w:tblCellMar>
            <w:top w:w="0" w:type="dxa"/>
            <w:left w:w="108" w:type="dxa"/>
            <w:bottom w:w="0" w:type="dxa"/>
            <w:right w:w="108" w:type="dxa"/>
          </w:tblCellMar>
        </w:tblPrEx>
        <w:trPr>
          <w:trHeight w:val="78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A222.指标与目标的匹配性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考察设定的绩效指标是否与年度工作任务相对应。</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绩效目标申报表、年度工作任务</w:t>
            </w:r>
          </w:p>
        </w:tc>
      </w:tr>
      <w:tr>
        <w:tblPrEx>
          <w:tblLayout w:type="fixed"/>
          <w:tblCellMar>
            <w:top w:w="0" w:type="dxa"/>
            <w:left w:w="108" w:type="dxa"/>
            <w:bottom w:w="0" w:type="dxa"/>
            <w:right w:w="108" w:type="dxa"/>
          </w:tblCellMar>
        </w:tblPrEx>
        <w:trPr>
          <w:trHeight w:val="720"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B.项目管理（20%）</w:t>
            </w: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B1.投入管理（4%）</w:t>
            </w:r>
          </w:p>
        </w:tc>
        <w:tc>
          <w:tcPr>
            <w:tcW w:w="91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B11.预算编制合理性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考察预算编制是否充分、合理的预计项目支出并完整反应</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合理得满分；存在一项不合理，扣0.5分，扣完为止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预算分析、预算批复</w:t>
            </w:r>
          </w:p>
        </w:tc>
      </w:tr>
      <w:tr>
        <w:tblPrEx>
          <w:tblLayout w:type="fixed"/>
          <w:tblCellMar>
            <w:top w:w="0" w:type="dxa"/>
            <w:left w:w="108" w:type="dxa"/>
            <w:bottom w:w="0" w:type="dxa"/>
            <w:right w:w="108" w:type="dxa"/>
          </w:tblCellMar>
        </w:tblPrEx>
        <w:trPr>
          <w:trHeight w:val="19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B12.预算调整规范性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考察存在预算调整时是否按照相关规定执行调整程序。</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规范，得满分；部分规范，扣0.5分；不规范，不得分。</w:t>
            </w:r>
          </w:p>
        </w:tc>
        <w:tc>
          <w:tcPr>
            <w:tcW w:w="1344" w:type="dxa"/>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r>
      <w:tr>
        <w:tblPrEx>
          <w:tblLayout w:type="fixed"/>
          <w:tblCellMar>
            <w:top w:w="0" w:type="dxa"/>
            <w:left w:w="108" w:type="dxa"/>
            <w:bottom w:w="0" w:type="dxa"/>
            <w:right w:w="108" w:type="dxa"/>
          </w:tblCellMar>
        </w:tblPrEx>
        <w:trPr>
          <w:trHeight w:val="97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B2.财务管理（6%）</w:t>
            </w:r>
          </w:p>
        </w:tc>
        <w:tc>
          <w:tcPr>
            <w:tcW w:w="91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B21.资金使用情况</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2</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考察项目资金使用是否符合预算批复的用途，是否存在截留、挤占、挪用、虚列支出等情况。</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合规，得满分；存在一项不合规，扣1分，扣完为止。</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绩效目标申报表、支付指令，合同、财务凭证</w:t>
            </w:r>
          </w:p>
        </w:tc>
      </w:tr>
      <w:tr>
        <w:tblPrEx>
          <w:tblLayout w:type="fixed"/>
          <w:tblCellMar>
            <w:top w:w="0" w:type="dxa"/>
            <w:left w:w="108" w:type="dxa"/>
            <w:bottom w:w="0" w:type="dxa"/>
            <w:right w:w="108" w:type="dxa"/>
          </w:tblCellMar>
        </w:tblPrEx>
        <w:trPr>
          <w:trHeight w:val="2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B22.财务管理制度健全性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考察项目的财务制度是否健全、完善、有效。</w:t>
            </w:r>
          </w:p>
        </w:tc>
        <w:tc>
          <w:tcPr>
            <w:tcW w:w="1940" w:type="dxa"/>
            <w:tcBorders>
              <w:top w:val="nil"/>
              <w:left w:val="nil"/>
              <w:bottom w:val="single" w:color="auto" w:sz="4" w:space="0"/>
              <w:right w:val="single" w:color="auto" w:sz="4" w:space="0"/>
            </w:tcBorders>
            <w:shd w:val="clear" w:color="auto" w:fill="auto"/>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a.是否已制定或具有相应的财务管理办法；                         b.项目财务管理办法是否符合相关财务会计制度的规定；                                              c.是否存在需要完善的风险控制环节。                            符合所有条件，得满分； 一项不符合，扣0.5分，扣完为止。</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财务管理制度</w:t>
            </w:r>
          </w:p>
        </w:tc>
      </w:tr>
      <w:tr>
        <w:tblPrEx>
          <w:tblLayout w:type="fixed"/>
          <w:tblCellMar>
            <w:top w:w="0" w:type="dxa"/>
            <w:left w:w="108" w:type="dxa"/>
            <w:bottom w:w="0" w:type="dxa"/>
            <w:right w:w="108" w:type="dxa"/>
          </w:tblCellMar>
        </w:tblPrEx>
        <w:trPr>
          <w:trHeight w:val="7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B23.财务监控有效性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B231.资金拨付程序完整性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考察资金拨付是否具有完整的审批程序和手续，是否符合相关制度规定。</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资金拨付申请、审批手续完整，得满分；存在一例手续不完整，不得分。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支付申请单、支付指令</w:t>
            </w:r>
          </w:p>
        </w:tc>
      </w:tr>
      <w:tr>
        <w:tblPrEx>
          <w:tblLayout w:type="fixed"/>
          <w:tblCellMar>
            <w:top w:w="0" w:type="dxa"/>
            <w:left w:w="108" w:type="dxa"/>
            <w:bottom w:w="0" w:type="dxa"/>
            <w:right w:w="108" w:type="dxa"/>
          </w:tblCellMar>
        </w:tblPrEx>
        <w:trPr>
          <w:trHeight w:val="7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B232财务制度执行有效性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考察是否存在违反相关财务管理制度的情况。</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不存在，得满分；存在1例，不得分。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财务管理制度、访谈、会计凭证</w:t>
            </w:r>
          </w:p>
        </w:tc>
      </w:tr>
      <w:tr>
        <w:tblPrEx>
          <w:tblLayout w:type="fixed"/>
          <w:tblCellMar>
            <w:top w:w="0" w:type="dxa"/>
            <w:left w:w="108" w:type="dxa"/>
            <w:bottom w:w="0" w:type="dxa"/>
            <w:right w:w="108" w:type="dxa"/>
          </w:tblCellMar>
        </w:tblPrEx>
        <w:trPr>
          <w:trHeight w:val="120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B3.项目实施（10%）</w:t>
            </w: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B31.项目管理制度健全性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B311.项目实施单位管理制度健全性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项目实施单位为保障项目顺利实施制订的与项目直接相关的业务管理制度是否健全、完善和有效。</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制订相关制度或采取措施，得满分；制度不完善或者措施不明确，得权重的60%；没有相关制度或措施，不得分。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B312.管理方监管措施健全性</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考察项目主管部门为保障项目顺利实施采取的监管措施是否明确，是否存在需要完善的风险控制环节。</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监管措施明确、完善，得满分；每存在一项需要完善的风险控制点，扣权重的30%，扣完为止。</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管理制度、访谈、现场调查</w:t>
            </w:r>
          </w:p>
        </w:tc>
      </w:tr>
      <w:tr>
        <w:tblPrEx>
          <w:tblLayout w:type="fixed"/>
          <w:tblCellMar>
            <w:top w:w="0" w:type="dxa"/>
            <w:left w:w="108" w:type="dxa"/>
            <w:bottom w:w="0" w:type="dxa"/>
            <w:right w:w="108" w:type="dxa"/>
          </w:tblCellMar>
        </w:tblPrEx>
        <w:trPr>
          <w:trHeight w:val="88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B32.项目管理制度执行有效性</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B321.项目实施单位管理制度执行情况</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考察项目实施单位制订的管理制度是否有效执行。</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项目实施单位管理制度、现场调查</w:t>
            </w:r>
          </w:p>
        </w:tc>
      </w:tr>
      <w:tr>
        <w:tblPrEx>
          <w:tblLayout w:type="fixed"/>
          <w:tblCellMar>
            <w:top w:w="0" w:type="dxa"/>
            <w:left w:w="108" w:type="dxa"/>
            <w:bottom w:w="0" w:type="dxa"/>
            <w:right w:w="108" w:type="dxa"/>
          </w:tblCellMar>
        </w:tblPrEx>
        <w:trPr>
          <w:trHeight w:val="94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B322.监管措施执行情况</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1</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项目主管部门所制订的监管措施是否有效执行。</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管理制度、现场调查</w:t>
            </w:r>
          </w:p>
        </w:tc>
      </w:tr>
      <w:tr>
        <w:tblPrEx>
          <w:tblLayout w:type="fixed"/>
          <w:tblCellMar>
            <w:top w:w="0" w:type="dxa"/>
            <w:left w:w="108" w:type="dxa"/>
            <w:bottom w:w="0" w:type="dxa"/>
            <w:right w:w="108" w:type="dxa"/>
          </w:tblCellMar>
        </w:tblPrEx>
        <w:trPr>
          <w:trHeight w:val="65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B323.项目执行情况</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考察与项目相关的合同是否有效执行。</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合同、现场调查</w:t>
            </w:r>
          </w:p>
        </w:tc>
      </w:tr>
      <w:tr>
        <w:tblPrEx>
          <w:tblLayout w:type="fixed"/>
          <w:tblCellMar>
            <w:top w:w="0" w:type="dxa"/>
            <w:left w:w="108" w:type="dxa"/>
            <w:bottom w:w="0" w:type="dxa"/>
            <w:right w:w="108" w:type="dxa"/>
          </w:tblCellMar>
        </w:tblPrEx>
        <w:trPr>
          <w:trHeight w:val="686"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vMerge w:val="continue"/>
            <w:tcBorders>
              <w:top w:val="nil"/>
              <w:left w:val="single" w:color="auto" w:sz="4" w:space="0"/>
              <w:bottom w:val="single" w:color="000000"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291" w:type="dxa"/>
            <w:vMerge w:val="restart"/>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24.台账记录规范性</w:t>
            </w:r>
          </w:p>
        </w:tc>
        <w:tc>
          <w:tcPr>
            <w:tcW w:w="519" w:type="dxa"/>
            <w:vMerge w:val="restart"/>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w:t>
            </w:r>
          </w:p>
        </w:tc>
        <w:tc>
          <w:tcPr>
            <w:tcW w:w="559" w:type="dxa"/>
            <w:vMerge w:val="restart"/>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1.8</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FF0000"/>
                <w:kern w:val="0"/>
                <w:sz w:val="18"/>
                <w:szCs w:val="18"/>
                <w:highlight w:val="none"/>
              </w:rPr>
              <w:t>　</w:t>
            </w:r>
          </w:p>
        </w:tc>
        <w:tc>
          <w:tcPr>
            <w:tcW w:w="2001" w:type="dxa"/>
            <w:vMerge w:val="restart"/>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考察项目实施过程中的相关台账记录是否完整，并符合要求。</w:t>
            </w:r>
          </w:p>
        </w:tc>
        <w:tc>
          <w:tcPr>
            <w:tcW w:w="1940" w:type="dxa"/>
            <w:vMerge w:val="restart"/>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规范，得满分；部分规范，得权重的60%；不规范，不得分。</w:t>
            </w:r>
          </w:p>
        </w:tc>
        <w:tc>
          <w:tcPr>
            <w:tcW w:w="1344" w:type="dxa"/>
            <w:vMerge w:val="restart"/>
            <w:tcBorders>
              <w:top w:val="nil"/>
              <w:left w:val="nil"/>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台账记录</w:t>
            </w:r>
          </w:p>
        </w:tc>
      </w:tr>
      <w:tr>
        <w:tblPrEx>
          <w:tblLayout w:type="fixed"/>
          <w:tblCellMar>
            <w:top w:w="0" w:type="dxa"/>
            <w:left w:w="108" w:type="dxa"/>
            <w:bottom w:w="0" w:type="dxa"/>
            <w:right w:w="108" w:type="dxa"/>
          </w:tblCellMar>
        </w:tblPrEx>
        <w:trPr>
          <w:trHeight w:val="9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913" w:type="dxa"/>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FF0000"/>
                <w:kern w:val="0"/>
                <w:sz w:val="18"/>
                <w:szCs w:val="18"/>
                <w:highlight w:val="none"/>
              </w:rPr>
            </w:pPr>
          </w:p>
        </w:tc>
        <w:tc>
          <w:tcPr>
            <w:tcW w:w="1291" w:type="dxa"/>
            <w:vMerge w:val="continue"/>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519" w:type="dxa"/>
            <w:vMerge w:val="continue"/>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FF0000"/>
                <w:kern w:val="0"/>
                <w:sz w:val="18"/>
                <w:szCs w:val="18"/>
                <w:highlight w:val="none"/>
              </w:rPr>
            </w:pPr>
          </w:p>
        </w:tc>
        <w:tc>
          <w:tcPr>
            <w:tcW w:w="559" w:type="dxa"/>
            <w:vMerge w:val="continue"/>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FF0000"/>
                <w:kern w:val="0"/>
                <w:sz w:val="18"/>
                <w:szCs w:val="18"/>
                <w:highlight w:val="none"/>
              </w:rPr>
            </w:pPr>
          </w:p>
        </w:tc>
        <w:tc>
          <w:tcPr>
            <w:tcW w:w="2001" w:type="dxa"/>
            <w:vMerge w:val="continue"/>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940" w:type="dxa"/>
            <w:vMerge w:val="continue"/>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c>
          <w:tcPr>
            <w:tcW w:w="1344" w:type="dxa"/>
            <w:vMerge w:val="continue"/>
            <w:tcBorders>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r>
      <w:tr>
        <w:tblPrEx>
          <w:tblLayout w:type="fixed"/>
          <w:tblCellMar>
            <w:top w:w="0" w:type="dxa"/>
            <w:left w:w="108" w:type="dxa"/>
            <w:bottom w:w="0" w:type="dxa"/>
            <w:right w:w="108" w:type="dxa"/>
          </w:tblCellMar>
        </w:tblPrEx>
        <w:trPr>
          <w:trHeight w:val="2267"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C.项目绩效（60%）</w:t>
            </w:r>
          </w:p>
        </w:tc>
        <w:tc>
          <w:tcPr>
            <w:tcW w:w="1174"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C1.项目产出（30%）（说明：该指标主要反映部门（单位）项目工作任务的完成情况。</w:t>
            </w:r>
          </w:p>
        </w:tc>
        <w:tc>
          <w:tcPr>
            <w:tcW w:w="913"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ascii="宋体" w:hAnsi="宋体" w:cs="宋体"/>
                <w:color w:val="000000"/>
                <w:kern w:val="0"/>
                <w:sz w:val="18"/>
                <w:szCs w:val="18"/>
                <w:highlight w:val="none"/>
              </w:rPr>
              <w:t xml:space="preserve"> </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C20.质量指标</w:t>
            </w:r>
          </w:p>
        </w:tc>
        <w:tc>
          <w:tcPr>
            <w:tcW w:w="129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区国管公司提供购买服务</w:t>
            </w:r>
          </w:p>
        </w:tc>
        <w:tc>
          <w:tcPr>
            <w:tcW w:w="51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30</w:t>
            </w:r>
          </w:p>
        </w:tc>
        <w:tc>
          <w:tcPr>
            <w:tcW w:w="559"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29　</w:t>
            </w:r>
          </w:p>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　</w:t>
            </w:r>
          </w:p>
        </w:tc>
        <w:tc>
          <w:tcPr>
            <w:tcW w:w="2001"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加强对区国管公司的监管从而提高购买服务工作的质量</w:t>
            </w:r>
          </w:p>
        </w:tc>
        <w:tc>
          <w:tcPr>
            <w:tcW w:w="1940"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满足要求得满分，可根据提供的服务扣减相应的分数，扣完为止。</w:t>
            </w:r>
          </w:p>
        </w:tc>
        <w:tc>
          <w:tcPr>
            <w:tcW w:w="1344" w:type="dxa"/>
            <w:tcBorders>
              <w:top w:val="nil"/>
              <w:left w:val="nil"/>
              <w:bottom w:val="single" w:color="auto" w:sz="4" w:space="0"/>
              <w:right w:val="single" w:color="auto" w:sz="4" w:space="0"/>
            </w:tcBorders>
            <w:shd w:val="clear" w:color="auto" w:fill="auto"/>
            <w:vAlign w:val="center"/>
          </w:tcPr>
          <w:p>
            <w:pPr>
              <w:pStyle w:val="5"/>
              <w:keepNext w:val="0"/>
              <w:keepLines w:val="0"/>
              <w:pageBreakBefore w:val="0"/>
              <w:widowControl/>
              <w:kinsoku/>
              <w:wordWrap/>
              <w:overflowPunct/>
              <w:topLinePunct w:val="0"/>
              <w:autoSpaceDE/>
              <w:autoSpaceDN/>
              <w:bidi w:val="0"/>
              <w:adjustRightInd/>
              <w:snapToGrid/>
              <w:spacing w:line="240" w:lineRule="exact"/>
              <w:textAlignment w:val="auto"/>
              <w:rPr>
                <w:rFonts w:ascii="宋体" w:hAnsi="宋体" w:eastAsia="宋体" w:cs="宋体"/>
                <w:b w:val="0"/>
                <w:bCs w:val="0"/>
                <w:color w:val="000000"/>
                <w:kern w:val="0"/>
                <w:sz w:val="18"/>
                <w:szCs w:val="18"/>
                <w:highlight w:val="none"/>
              </w:rPr>
            </w:pPr>
            <w:r>
              <w:rPr>
                <w:rFonts w:hint="eastAsia" w:ascii="宋体" w:hAnsi="宋体" w:eastAsia="宋体" w:cs="宋体"/>
                <w:b w:val="0"/>
                <w:bCs w:val="0"/>
                <w:color w:val="000000"/>
                <w:kern w:val="0"/>
                <w:sz w:val="18"/>
                <w:szCs w:val="18"/>
                <w:highlight w:val="none"/>
              </w:rPr>
              <w:t>台账记录</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r>
      <w:tr>
        <w:tblPrEx>
          <w:tblLayout w:type="fixed"/>
          <w:tblCellMar>
            <w:top w:w="0" w:type="dxa"/>
            <w:left w:w="108" w:type="dxa"/>
            <w:bottom w:w="0" w:type="dxa"/>
            <w:right w:w="108" w:type="dxa"/>
          </w:tblCellMar>
        </w:tblPrEx>
        <w:trPr>
          <w:trHeight w:val="217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p>
        </w:tc>
        <w:tc>
          <w:tcPr>
            <w:tcW w:w="1174"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C2.项目效益（30%）（说明：该指标主要反映部门（单位）项目的实施效果。</w:t>
            </w:r>
          </w:p>
        </w:tc>
        <w:tc>
          <w:tcPr>
            <w:tcW w:w="913"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C21.社会效益</w:t>
            </w:r>
          </w:p>
        </w:tc>
        <w:tc>
          <w:tcPr>
            <w:tcW w:w="129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通过购买服务，</w:t>
            </w:r>
            <w:r>
              <w:rPr>
                <w:rFonts w:hint="eastAsia" w:ascii="宋体" w:hAnsi="宋体" w:cs="宋体"/>
                <w:color w:val="000000"/>
                <w:kern w:val="0"/>
                <w:sz w:val="18"/>
                <w:szCs w:val="18"/>
                <w:highlight w:val="none"/>
                <w:lang w:eastAsia="zh-CN"/>
              </w:rPr>
              <w:t>进行国有资本和全区国有资产的监管</w:t>
            </w:r>
            <w:r>
              <w:rPr>
                <w:rFonts w:hint="eastAsia" w:ascii="宋体" w:hAnsi="宋体" w:cs="宋体"/>
                <w:color w:val="000000"/>
                <w:kern w:val="0"/>
                <w:sz w:val="18"/>
                <w:szCs w:val="18"/>
                <w:highlight w:val="none"/>
              </w:rPr>
              <w:t>。</w:t>
            </w:r>
          </w:p>
        </w:tc>
        <w:tc>
          <w:tcPr>
            <w:tcW w:w="51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30</w:t>
            </w:r>
          </w:p>
        </w:tc>
        <w:tc>
          <w:tcPr>
            <w:tcW w:w="559"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宋体" w:hAnsi="宋体" w:eastAsia="宋体" w:cs="宋体"/>
                <w:color w:val="000000"/>
                <w:kern w:val="0"/>
                <w:sz w:val="18"/>
                <w:szCs w:val="18"/>
                <w:highlight w:val="none"/>
                <w:lang w:val="en-US" w:eastAsia="zh-CN"/>
              </w:rPr>
            </w:pPr>
            <w:r>
              <w:rPr>
                <w:rFonts w:hint="eastAsia" w:ascii="宋体" w:hAnsi="宋体" w:cs="宋体"/>
                <w:color w:val="000000"/>
                <w:kern w:val="0"/>
                <w:sz w:val="18"/>
                <w:szCs w:val="18"/>
                <w:highlight w:val="none"/>
                <w:lang w:val="en-US" w:eastAsia="zh-CN"/>
              </w:rPr>
              <w:t>30</w:t>
            </w:r>
          </w:p>
        </w:tc>
        <w:tc>
          <w:tcPr>
            <w:tcW w:w="2001"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通过购买服务，是否加强了</w:t>
            </w:r>
            <w:r>
              <w:rPr>
                <w:rFonts w:hint="eastAsia" w:ascii="宋体" w:hAnsi="宋体" w:cs="宋体"/>
                <w:color w:val="000000"/>
                <w:kern w:val="0"/>
                <w:sz w:val="18"/>
                <w:szCs w:val="18"/>
                <w:highlight w:val="none"/>
                <w:lang w:eastAsia="zh-CN"/>
              </w:rPr>
              <w:t>国有资本和全区国有资产的监管及促进国有资产保值增值</w:t>
            </w:r>
            <w:r>
              <w:rPr>
                <w:rFonts w:hint="eastAsia" w:ascii="宋体" w:hAnsi="宋体" w:cs="宋体"/>
                <w:color w:val="000000"/>
                <w:kern w:val="0"/>
                <w:sz w:val="18"/>
                <w:szCs w:val="18"/>
                <w:highlight w:val="none"/>
              </w:rPr>
              <w:t>。</w:t>
            </w:r>
          </w:p>
        </w:tc>
        <w:tc>
          <w:tcPr>
            <w:tcW w:w="194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满足要求，得满分</w:t>
            </w:r>
          </w:p>
        </w:tc>
        <w:tc>
          <w:tcPr>
            <w:tcW w:w="1344"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r>
              <w:rPr>
                <w:rFonts w:hint="eastAsia" w:ascii="宋体" w:hAnsi="宋体" w:cs="宋体"/>
                <w:color w:val="000000"/>
                <w:kern w:val="0"/>
                <w:sz w:val="18"/>
                <w:szCs w:val="18"/>
                <w:highlight w:val="none"/>
              </w:rPr>
              <w:t>台账记录</w:t>
            </w:r>
          </w:p>
          <w:p>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宋体" w:hAnsi="宋体" w:cs="宋体"/>
                <w:color w:val="000000"/>
                <w:kern w:val="0"/>
                <w:sz w:val="18"/>
                <w:szCs w:val="18"/>
                <w:highlight w:val="none"/>
              </w:rPr>
            </w:pPr>
          </w:p>
        </w:tc>
      </w:tr>
      <w:tr>
        <w:tblPrEx>
          <w:tblLayout w:type="fixed"/>
          <w:tblCellMar>
            <w:top w:w="0" w:type="dxa"/>
            <w:left w:w="108" w:type="dxa"/>
            <w:bottom w:w="0" w:type="dxa"/>
            <w:right w:w="108" w:type="dxa"/>
          </w:tblCellMar>
        </w:tblPrEx>
        <w:trPr>
          <w:trHeight w:val="540" w:hRule="atLeast"/>
        </w:trPr>
        <w:tc>
          <w:tcPr>
            <w:tcW w:w="67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合计</w:t>
            </w:r>
          </w:p>
        </w:tc>
        <w:tc>
          <w:tcPr>
            <w:tcW w:w="11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100%</w:t>
            </w:r>
          </w:p>
        </w:tc>
        <w:tc>
          <w:tcPr>
            <w:tcW w:w="91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12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51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100分</w:t>
            </w:r>
          </w:p>
        </w:tc>
        <w:tc>
          <w:tcPr>
            <w:tcW w:w="559" w:type="dxa"/>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b/>
                <w:bCs/>
                <w:color w:val="000000"/>
                <w:kern w:val="0"/>
                <w:sz w:val="18"/>
                <w:szCs w:val="18"/>
                <w:highlight w:val="none"/>
                <w:lang w:val="en-US" w:eastAsia="zh-CN"/>
              </w:rPr>
            </w:pPr>
            <w:r>
              <w:rPr>
                <w:rFonts w:hint="eastAsia" w:ascii="宋体" w:hAnsi="宋体" w:cs="宋体"/>
                <w:b/>
                <w:bCs/>
                <w:color w:val="000000"/>
                <w:kern w:val="0"/>
                <w:sz w:val="18"/>
                <w:szCs w:val="18"/>
                <w:highlight w:val="none"/>
                <w:lang w:val="en-US" w:eastAsia="zh-CN"/>
              </w:rPr>
              <w:t>97.3</w:t>
            </w:r>
          </w:p>
        </w:tc>
        <w:tc>
          <w:tcPr>
            <w:tcW w:w="200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19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c>
          <w:tcPr>
            <w:tcW w:w="134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highlight w:val="none"/>
              </w:rPr>
            </w:pPr>
            <w:r>
              <w:rPr>
                <w:rFonts w:hint="eastAsia" w:ascii="宋体" w:hAnsi="宋体" w:cs="宋体"/>
                <w:b/>
                <w:bCs/>
                <w:color w:val="000000"/>
                <w:kern w:val="0"/>
                <w:sz w:val="18"/>
                <w:szCs w:val="18"/>
                <w:highlight w:val="none"/>
              </w:rPr>
              <w:t>　</w:t>
            </w:r>
          </w:p>
        </w:tc>
      </w:tr>
    </w:tbl>
    <w:p>
      <w:pPr>
        <w:spacing w:before="120" w:after="120" w:line="480" w:lineRule="auto"/>
        <w:jc w:val="both"/>
        <w:rPr>
          <w:rFonts w:hint="default" w:ascii="Times New Roman" w:hAnsi="Times New Roman" w:eastAsia="仿宋_GB2312" w:cs="Times New Roman"/>
          <w:b/>
          <w:bCs/>
          <w:sz w:val="52"/>
          <w:szCs w:val="52"/>
          <w:highlight w:val="none"/>
        </w:rPr>
      </w:pPr>
    </w:p>
    <w:p>
      <w:pPr>
        <w:spacing w:before="120" w:after="120" w:line="480" w:lineRule="auto"/>
        <w:jc w:val="both"/>
        <w:rPr>
          <w:rFonts w:hint="default" w:ascii="Times New Roman" w:hAnsi="Times New Roman" w:eastAsia="仿宋_GB2312" w:cs="Times New Roman"/>
          <w:b/>
          <w:bCs/>
          <w:sz w:val="52"/>
          <w:szCs w:val="52"/>
          <w:highlight w:val="none"/>
        </w:rPr>
      </w:pPr>
    </w:p>
    <w:p>
      <w:pPr>
        <w:jc w:val="center"/>
        <w:rPr>
          <w:rFonts w:hint="default" w:ascii="Times New Roman" w:hAnsi="Times New Roman" w:eastAsia="黑体" w:cs="Times New Roman"/>
          <w:bCs/>
          <w:sz w:val="52"/>
          <w:szCs w:val="52"/>
          <w:highlight w:val="none"/>
        </w:rPr>
      </w:pPr>
      <w:r>
        <w:rPr>
          <w:rFonts w:hint="eastAsia" w:ascii="Times New Roman" w:hAnsi="Times New Roman" w:eastAsia="黑体" w:cs="Times New Roman"/>
          <w:bCs/>
          <w:sz w:val="52"/>
          <w:szCs w:val="52"/>
          <w:highlight w:val="none"/>
          <w:lang w:eastAsia="zh-CN"/>
        </w:rPr>
        <w:t>国资业务费（购买服务）</w:t>
      </w:r>
      <w:r>
        <w:rPr>
          <w:rFonts w:hint="default" w:ascii="Times New Roman" w:hAnsi="Times New Roman" w:eastAsia="黑体" w:cs="Times New Roman"/>
          <w:bCs/>
          <w:sz w:val="52"/>
          <w:szCs w:val="52"/>
          <w:highlight w:val="none"/>
        </w:rPr>
        <w:t>项目支出</w:t>
      </w:r>
    </w:p>
    <w:p>
      <w:pPr>
        <w:jc w:val="center"/>
        <w:rPr>
          <w:rFonts w:hint="default" w:ascii="Times New Roman" w:hAnsi="Times New Roman" w:eastAsia="黑体" w:cs="Times New Roman"/>
          <w:bCs/>
          <w:sz w:val="52"/>
          <w:szCs w:val="52"/>
          <w:highlight w:val="none"/>
        </w:rPr>
      </w:pPr>
      <w:r>
        <w:rPr>
          <w:rFonts w:hint="default" w:ascii="Times New Roman" w:hAnsi="Times New Roman" w:eastAsia="黑体" w:cs="Times New Roman"/>
          <w:bCs/>
          <w:sz w:val="52"/>
          <w:szCs w:val="52"/>
          <w:highlight w:val="none"/>
        </w:rPr>
        <w:t>绩效自评报告（20</w:t>
      </w:r>
      <w:r>
        <w:rPr>
          <w:rFonts w:hint="eastAsia" w:ascii="Times New Roman" w:hAnsi="Times New Roman" w:eastAsia="黑体" w:cs="Times New Roman"/>
          <w:bCs/>
          <w:sz w:val="52"/>
          <w:szCs w:val="52"/>
          <w:highlight w:val="none"/>
          <w:lang w:val="en-US" w:eastAsia="zh-CN"/>
        </w:rPr>
        <w:t>20</w:t>
      </w:r>
      <w:r>
        <w:rPr>
          <w:rFonts w:hint="default" w:ascii="Times New Roman" w:hAnsi="Times New Roman" w:eastAsia="黑体" w:cs="Times New Roman"/>
          <w:bCs/>
          <w:sz w:val="52"/>
          <w:szCs w:val="52"/>
          <w:highlight w:val="none"/>
        </w:rPr>
        <w:t>年度）</w:t>
      </w:r>
    </w:p>
    <w:p>
      <w:pPr>
        <w:spacing w:before="120" w:after="120" w:line="480" w:lineRule="auto"/>
        <w:jc w:val="both"/>
        <w:rPr>
          <w:rFonts w:hint="default" w:ascii="Times New Roman" w:hAnsi="Times New Roman" w:eastAsia="黑体" w:cs="Times New Roman"/>
          <w:b/>
          <w:bCs/>
          <w:sz w:val="52"/>
          <w:szCs w:val="52"/>
          <w:highlight w:val="none"/>
        </w:rPr>
      </w:pPr>
    </w:p>
    <w:p>
      <w:pPr>
        <w:spacing w:before="120" w:after="120" w:line="480" w:lineRule="auto"/>
        <w:jc w:val="both"/>
        <w:rPr>
          <w:rFonts w:hint="default" w:ascii="Times New Roman" w:hAnsi="Times New Roman" w:cs="Times New Roman"/>
          <w:b/>
          <w:bCs/>
          <w:sz w:val="44"/>
          <w:szCs w:val="44"/>
          <w:highlight w:val="none"/>
        </w:rPr>
      </w:pPr>
    </w:p>
    <w:p>
      <w:pPr>
        <w:spacing w:before="120" w:after="120" w:line="480" w:lineRule="auto"/>
        <w:jc w:val="both"/>
        <w:rPr>
          <w:rFonts w:hint="default" w:ascii="Times New Roman" w:hAnsi="Times New Roman" w:cs="Times New Roman"/>
          <w:b/>
          <w:bCs/>
          <w:sz w:val="44"/>
          <w:szCs w:val="44"/>
          <w:highlight w:val="none"/>
        </w:rPr>
      </w:pPr>
    </w:p>
    <w:p>
      <w:pPr>
        <w:spacing w:before="120" w:after="120" w:line="480" w:lineRule="auto"/>
        <w:jc w:val="both"/>
        <w:rPr>
          <w:rFonts w:hint="default" w:ascii="Times New Roman" w:hAnsi="Times New Roman" w:eastAsia="黑体" w:cs="Times New Roman"/>
          <w:b/>
          <w:bCs/>
          <w:sz w:val="44"/>
          <w:szCs w:val="44"/>
          <w:highlight w:val="none"/>
        </w:rPr>
      </w:pPr>
    </w:p>
    <w:p>
      <w:pPr>
        <w:adjustRightInd w:val="0"/>
        <w:snapToGrid w:val="0"/>
        <w:spacing w:line="360" w:lineRule="auto"/>
        <w:ind w:left="1260" w:leftChars="600"/>
        <w:jc w:val="both"/>
        <w:rPr>
          <w:rFonts w:hint="default" w:ascii="Times New Roman" w:hAnsi="Times New Roman" w:eastAsia="黑体" w:cs="Times New Roman"/>
          <w:b/>
          <w:bCs/>
          <w:w w:val="80"/>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848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0" name="直接箭头连接符 20"/>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848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6AHU+4wEAAKADAAAOAAAAZHJzL2Uyb0RvYy54bWytU0uO&#10;EzEQ3SNxB8t70klEENNKZxYJwwZBJOAAFdvdbck/uUw6uQQXQGIFrIDV7DkNDMeg7GQyw7BBiF64&#10;y66qV/Wey/PznTVsqyJq7xo+GY05U054qV3X8NevLh485gwTOAnGO9XwvUJ+vrh/bz6EWk19741U&#10;kRGIw3oIDe9TCnVVoeiVBRz5oBw5Wx8tJNrGrpIRBkK3ppqOx4+qwUcZohcKkU5XBydfFPy2VSK9&#10;aFtUiZmGU2+prLGsm7xWiznUXYTQa3FsA/6hCwvaUdET1AoSsDdR/wFltYgefZtGwtvKt60WqnAg&#10;NpPxHTYvewiqcCFxMJxkwv8HK55v15Fp2fApyePA0h1dvbv88fbj1dcv3z9c/vz2PtufPzHyk1hD&#10;wJpylm4djzsM65iZ79po8584sV0ReH8SWO0SE3Q4fXg2m82okLj2VTeJIWJ6qrxl2Wg4pgi669PS&#10;O0fX6OOkCAzbZ5ioNCVeJ+SqxrGh4Wez6YzAgQapNZDItIGooetKLnqj5YU2Jmdg7DZLE9kW8miU&#10;LxMk3N/CcpEVYH+IK67D0PQK5BMnWdoH0szRdPPcglWSM6PoMWSLAKFOoM3fRFJp46iDrPFB1Wxt&#10;vNwXscs5jUHp8Tiyec5u70v2zcNa/A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6lyg1wAAAAkB&#10;AAAPAAAAAAAAAAEAIAAAACIAAABkcnMvZG93bnJldi54bWxQSwECFAAUAAAACACHTuJA+gB1PuMB&#10;AACgAwAADgAAAAAAAAABACAAAAAmAQAAZHJzL2Uyb0RvYy54bWxQSwUGAAAAAAYABgBZAQAAewUA&#10;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部门名称</w:t>
      </w:r>
      <w:r>
        <w:rPr>
          <w:rFonts w:hint="default" w:ascii="Times New Roman" w:hAnsi="Times New Roman" w:eastAsia="黑体" w:cs="Times New Roman"/>
          <w:b/>
          <w:bCs/>
          <w:w w:val="80"/>
          <w:sz w:val="28"/>
          <w:szCs w:val="28"/>
          <w:highlight w:val="none"/>
        </w:rPr>
        <w:t>（公章）：昆明市盘龙区人民政府国有资产监督管理委员会</w:t>
      </w:r>
    </w:p>
    <w:p>
      <w:pPr>
        <w:adjustRightInd w:val="0"/>
        <w:snapToGrid w:val="0"/>
        <w:spacing w:line="360" w:lineRule="auto"/>
        <w:ind w:left="1260" w:leftChars="600"/>
        <w:jc w:val="both"/>
        <w:rPr>
          <w:rFonts w:hint="default" w:ascii="Times New Roman" w:hAnsi="Times New Roman" w:eastAsia="黑体" w:cs="Times New Roman"/>
          <w:b/>
          <w:bCs/>
          <w:w w:val="80"/>
          <w:sz w:val="28"/>
          <w:szCs w:val="28"/>
          <w:highlight w:val="none"/>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858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1" name="直接箭头连接符 2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858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gjV4s5AEAAKADAAAOAAAAZHJzL2Uyb0RvYy54bWytU0uO&#10;EzEQ3SNxB8t70klEENNKZxYJwwZBJOAAFdvdbck/uUw6uQQXQGIFrIDV7DkNDMeg7GQyw7BBiF64&#10;y66qV/Wey/PznTVsqyJq7xo+GY05U054qV3X8NevLh485gwTOAnGO9XwvUJ+vrh/bz6EWk19741U&#10;kRGIw3oIDe9TCnVVoeiVBRz5oBw5Wx8tJNrGrpIRBkK3ppqOx4+qwUcZohcKkU5XBydfFPy2VSK9&#10;aFtUiZmGU2+prLGsm7xWiznUXYTQa3FsA/6hCwvaUdET1AoSsDdR/wFltYgefZtGwtvKt60WqnAg&#10;NpPxHTYvewiqcCFxMJxkwv8HK55v15Fp2fDphDMHlu7o6t3lj7cfr75++f7h8ue399n+/ImRn8Qa&#10;AtaUs3TreNxhWMfMfNdGm//Eie2KwPuTwGqXmKDD6cOz2WxG9yCufdVNYoiYnipvWTYajimC7vq0&#10;9M7RNfo4KQLD9hkmKk2J1wm5qnFsaPjZbDojcKBBag0kMm0gaui6koveaHmhjckZGLvN0kS2hTwa&#10;5csECfe3sFxkBdgf4orrMDS9AvnESZb2gTRzNN08t2CV5MwoegzZIkCoE2jzN5FU2jjqIGt8UDVb&#10;Gy/3RexyTmNQejyObJ6z2/uSffOwFr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GEXYNcAAAAJ&#10;AQAADwAAAAAAAAABACAAAAAiAAAAZHJzL2Rvd25yZXYueG1sUEsBAhQAFAAAAAgAh07iQOCNXizk&#10;AQAAoAMAAA4AAAAAAAAAAQAgAAAAJgEAAGRycy9lMm9Eb2MueG1sUEsFBgAAAAAGAAYAWQEAAHwF&#10;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项目单位：</w:t>
      </w:r>
      <w:r>
        <w:rPr>
          <w:rFonts w:hint="default" w:ascii="Times New Roman" w:hAnsi="Times New Roman" w:eastAsia="黑体" w:cs="Times New Roman"/>
          <w:b/>
          <w:bCs/>
          <w:w w:val="80"/>
          <w:sz w:val="28"/>
          <w:szCs w:val="28"/>
          <w:highlight w:val="none"/>
        </w:rPr>
        <w:t>昆明市盘龙区人民政府国有资产监督管理委员会</w:t>
      </w:r>
    </w:p>
    <w:p>
      <w:pPr>
        <w:adjustRightInd w:val="0"/>
        <w:snapToGrid w:val="0"/>
        <w:spacing w:line="360" w:lineRule="auto"/>
        <w:ind w:left="1260" w:leftChars="600"/>
        <w:jc w:val="both"/>
        <w:rPr>
          <w:rFonts w:hint="default" w:ascii="Times New Roman" w:hAnsi="Times New Roman" w:eastAsia="黑体" w:cs="Times New Roman"/>
          <w:b/>
          <w:bCs/>
          <w:sz w:val="28"/>
          <w:szCs w:val="28"/>
          <w:highlight w:val="none"/>
          <w:lang w:val="en-US" w:eastAsia="zh-CN"/>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869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2" name="直接箭头连接符 2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869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OGiIa4wEAAKA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ldc+bA0h1dv7n69vr99edPX99dff/yNtsfPzDyk1hj&#10;wIZyVu4yHncYLmNmvuuizX/ixHZF4P1JYLVLTNBhff9sPp/TPYgbX3WbGCKmx8pblo2WY4qg+yGt&#10;vHN0jT7OisCwfYKJSlPiTUKuahwbW342r+cEDjRInYFEpg1EDV1fctEbLS+0MTkDY79Zmci2kEej&#10;fJkg4f4SlousAYdDXHEdhmZQIB85ydI+kGaOppvnFqySnBlFjyFbBAhNAm3+JpJKG0cdZI0PqmZr&#10;4+W+iF3OaQxKj8eRzXP2875k3z6s5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hoiGuMB&#10;AACgAwAADgAAAAAAAAABACAAAAAmAQAAZHJzL2Uyb0RvYy54bWxQSwUGAAAAAAYABgBZAQAAewUA&#10;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主管部门：</w:t>
      </w:r>
      <w:r>
        <w:rPr>
          <w:rFonts w:hint="eastAsia" w:ascii="Times New Roman" w:hAnsi="Times New Roman" w:eastAsia="黑体" w:cs="Times New Roman"/>
          <w:b/>
          <w:bCs/>
          <w:sz w:val="28"/>
          <w:szCs w:val="28"/>
          <w:highlight w:val="none"/>
          <w:lang w:eastAsia="zh-CN"/>
        </w:rPr>
        <w:t>昆明市盘龙区财政局</w:t>
      </w:r>
      <w:r>
        <w:rPr>
          <w:rFonts w:hint="default" w:ascii="Times New Roman" w:hAnsi="Times New Roman" w:eastAsia="黑体" w:cs="Times New Roman"/>
          <w:b/>
          <w:bCs/>
          <w:sz w:val="28"/>
          <w:szCs w:val="28"/>
          <w:highlight w:val="none"/>
        </w:rPr>
        <w:t xml:space="preserve"> </w:t>
      </w:r>
      <w:r>
        <w:rPr>
          <w:rFonts w:hint="default" w:ascii="Times New Roman" w:hAnsi="Times New Roman" w:eastAsia="黑体" w:cs="Times New Roman"/>
          <w:b/>
          <w:bCs/>
          <w:sz w:val="28"/>
          <w:szCs w:val="28"/>
          <w:highlight w:val="none"/>
          <w:lang w:val="en-US" w:eastAsia="zh-CN"/>
        </w:rPr>
        <w:t xml:space="preserve">  </w:t>
      </w:r>
    </w:p>
    <w:p>
      <w:pPr>
        <w:adjustRightInd w:val="0"/>
        <w:snapToGrid w:val="0"/>
        <w:spacing w:line="360" w:lineRule="auto"/>
        <w:ind w:left="1260" w:leftChars="600"/>
        <w:jc w:val="both"/>
        <w:rPr>
          <w:rFonts w:hint="eastAsia" w:ascii="Times New Roman" w:hAnsi="Times New Roman" w:eastAsia="黑体" w:cs="Times New Roman"/>
          <w:b/>
          <w:bCs/>
          <w:sz w:val="28"/>
          <w:szCs w:val="28"/>
          <w:highlight w:val="none"/>
          <w:lang w:eastAsia="zh-CN"/>
        </w:rPr>
      </w:pP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879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3" name="直接箭头连接符 2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879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UlwkI5AEAAKADAAAOAAAAZHJzL2Uyb0RvYy54bWytU0uO&#10;EzEQ3SNxB8t70kkgiGmlM4uEYYMgEnCAiu3utuSfXCadXIILILECVjCr2XMaGI5B2clk+GwQohfu&#10;sqvqVb3n8vx8Zw3bqojau4ZPRmPOlBNeatc1/NXLi3uPOMMEToLxTjV8r5CfL+7emQ+hVlPfeyNV&#10;ZATisB5Cw/uUQl1VKHplAUc+KEfO1kcLibaxq2SEgdCtqabj8cNq8FGG6IVCpNPVwckXBb9tlUjP&#10;2xZVYqbh1FsqayzrJq/VYg51FyH0WhzbgH/owoJ2VPQEtYIE7HXUf0BZLaJH36aR8LbybauFKhyI&#10;zWT8G5sXPQRVuJA4GE4y4f+DFc+268i0bPj0PmcOLN3R9durb28+XF9+/vr+6vuXd9n+9JGRn8Qa&#10;AtaUs3TreNxhWMfMfNdGm//Eie2KwPuTwGqXmKDD6YOz2WxG9yBufNVtYoiYnihvWTYajimC7vq0&#10;9M7RNfo4KQLD9ikmKk2JNwm5qnFsaPjZbDojcKBBag0kMm0gaui6koveaHmhjckZGLvN0kS2hTwa&#10;5csECfeXsFxkBdgf4orrMDS9AvnYSZb2gTRzNN08t2CV5MwoegzZIkCoE2jzN5FU2jjqIGt8UDVb&#10;Gy/3RexyTmNQejyObJ6zn/cl+/ZhLX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tCC/u9cAAAAJ&#10;AQAADwAAAAAAAAABACAAAAAiAAAAZHJzL2Rvd25yZXYueG1sUEsBAhQAFAAAAAgAh07iQNSXCQjk&#10;AQAAoAMAAA4AAAAAAAAAAQAgAAAAJgEAAGRycy9lMm9Eb2MueG1sUEsFBgAAAAAGAAYAWQEAAHwF&#10;AAAAAA==&#10;">
                <v:fill on="f" focussize="0,0"/>
                <v:stroke color="#000000" joinstyle="round"/>
                <v:imagedata o:title=""/>
                <o:lock v:ext="edit" aspectratio="f"/>
              </v:shape>
            </w:pict>
          </mc:Fallback>
        </mc:AlternateContent>
      </w:r>
      <w:r>
        <w:rPr>
          <w:rFonts w:hint="default" w:ascii="Times New Roman" w:hAnsi="Times New Roman" w:eastAsia="黑体" w:cs="Times New Roman"/>
          <w:b/>
          <w:bCs/>
          <w:sz w:val="28"/>
          <w:szCs w:val="28"/>
          <w:highlight w:val="none"/>
        </w:rPr>
        <w:t>项目名称：</w:t>
      </w:r>
      <w:r>
        <w:rPr>
          <w:rFonts w:hint="default" w:ascii="Times New Roman" w:hAnsi="Times New Roman" w:eastAsia="黑体" w:cs="Times New Roman"/>
          <w:b/>
          <w:bCs/>
          <w:sz w:val="28"/>
          <w:szCs w:val="28"/>
          <w:highlight w:val="none"/>
        </w:rPr>
        <mc:AlternateContent>
          <mc:Choice Requires="wps">
            <w:drawing>
              <wp:anchor distT="0" distB="0" distL="114300" distR="114300" simplePos="0" relativeHeight="2516889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4" name="直接箭头连接符 2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889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SNNt25AEAAKADAAAOAAAAZHJzL2Uyb0RvYy54bWytU0uO&#10;EzEQ3SNxB8t70kk0QUwrnVkkDBsEkYADVGx3tyX/5DLp5BJcAIkVsAJWs5/TwHAMyk4mw2eDEL1w&#10;l11Vr+o9l+cXO2vYVkXU3jV8MhpzppzwUruu4a9eXj54xBkmcBKMd6rhe4X8YnH/3nwItZr63hup&#10;IiMQh/UQGt6nFOqqQtErCzjyQTlytj5aSLSNXSUjDIRuTTUdjx9Wg48yRC8UIp2uDk6+KPhtq0R6&#10;3raoEjMNp95SWWNZN3mtFnOouwih1+LYBvxDFxa0o6InqBUkYK+j/gPKahE9+jaNhLeVb1stVOFA&#10;bCbj39i86CGowoXEwXCSCf8frHi2XUemZcOnZ5w5sHRHN2+vvr35cPPl89f3V9+v32X700dGfhJr&#10;CFhTztKt43GHYR0z810bbf4TJ7YrAu9PAqtdYoIOp2fns9mM7kHc+qq7xBAxPVHesmw0HFME3fVp&#10;6Z2ja/RxUgSG7VNMVJoSbxNyVePY0PDz2XRG4ECD1BpIZNpA1NB1JRe90fJSG5MzMHabpYlsC3k0&#10;ypcJEu4vYbnICrA/xBXXYWh6BfKxkyztA2nmaLp5bsEqyZlR9BiyRYBQJ9DmbyKptHHUQdb4oGq2&#10;Nl7ui9jlnMag9Hgc2TxnP+9L9t3DWvw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tCC/u9cAAAAJ&#10;AQAADwAAAAAAAAABACAAAAAiAAAAZHJzL2Rvd25yZXYueG1sUEsBAhQAFAAAAAgAh07iQJI023bk&#10;AQAAoAMAAA4AAAAAAAAAAQAgAAAAJgEAAGRycy9lMm9Eb2MueG1sUEsFBgAAAAAGAAYAWQEAAHwF&#10;AAAAAA==&#10;">
                <v:fill on="f" focussize="0,0"/>
                <v:stroke color="#000000" joinstyle="round"/>
                <v:imagedata o:title=""/>
                <o:lock v:ext="edit" aspectratio="f"/>
              </v:shape>
            </w:pict>
          </mc:Fallback>
        </mc:AlternateContent>
      </w:r>
      <w:r>
        <w:rPr>
          <w:rFonts w:hint="eastAsia" w:ascii="Times New Roman" w:hAnsi="Times New Roman" w:eastAsia="黑体" w:cs="Times New Roman"/>
          <w:b/>
          <w:bCs/>
          <w:sz w:val="28"/>
          <w:szCs w:val="28"/>
          <w:highlight w:val="none"/>
          <w:lang w:eastAsia="zh-CN"/>
        </w:rPr>
        <w:t>国资</w:t>
      </w:r>
      <w:r>
        <w:rPr>
          <w:rFonts w:hint="eastAsia" w:ascii="Times New Roman" w:hAnsi="Times New Roman" w:eastAsia="黑体" w:cs="Times New Roman"/>
          <w:b/>
          <w:bCs/>
          <w:sz w:val="28"/>
          <w:szCs w:val="28"/>
          <w:highlight w:val="none"/>
          <w:lang w:val="en-US" w:eastAsia="zh-CN"/>
        </w:rPr>
        <w:t>业务费</w:t>
      </w:r>
      <w:r>
        <w:rPr>
          <w:rFonts w:hint="eastAsia" w:ascii="Times New Roman" w:hAnsi="Times New Roman" w:eastAsia="黑体" w:cs="Times New Roman"/>
          <w:b/>
          <w:bCs/>
          <w:sz w:val="28"/>
          <w:szCs w:val="28"/>
          <w:highlight w:val="none"/>
          <w:lang w:eastAsia="zh-CN"/>
        </w:rPr>
        <w:t>购买服务项目</w:t>
      </w:r>
    </w:p>
    <w:p>
      <w:pPr>
        <w:adjustRightInd w:val="0"/>
        <w:snapToGrid w:val="0"/>
        <w:spacing w:line="360" w:lineRule="auto"/>
        <w:ind w:left="1260" w:leftChars="600"/>
        <w:jc w:val="both"/>
        <w:rPr>
          <w:rFonts w:hint="default" w:ascii="Times New Roman" w:hAnsi="Times New Roman" w:eastAsia="黑体" w:cs="Times New Roman"/>
          <w:b/>
          <w:bCs/>
          <w:sz w:val="28"/>
          <w:szCs w:val="28"/>
          <w:highlight w:val="none"/>
          <w:u w:val="single"/>
          <w:lang w:val="en-US" w:eastAsia="zh-CN"/>
        </w:rPr>
      </w:pPr>
      <w:r>
        <w:rPr>
          <w:rFonts w:hint="default" w:ascii="Times New Roman" w:hAnsi="Times New Roman" w:eastAsia="黑体" w:cs="Times New Roman"/>
          <w:b/>
          <w:bCs/>
          <w:sz w:val="28"/>
          <w:szCs w:val="28"/>
          <w:highlight w:val="none"/>
        </w:rPr>
        <w:t>绩效自评日期：</w:t>
      </w:r>
      <w:r>
        <w:rPr>
          <w:rFonts w:hint="eastAsia" w:ascii="Times New Roman" w:hAnsi="Times New Roman" w:eastAsia="黑体" w:cs="Times New Roman"/>
          <w:b/>
          <w:bCs/>
          <w:sz w:val="28"/>
          <w:szCs w:val="28"/>
          <w:highlight w:val="none"/>
          <w:u w:val="single"/>
          <w:lang w:val="en-US" w:eastAsia="zh-CN"/>
        </w:rPr>
        <w:t>2021</w:t>
      </w:r>
      <w:r>
        <w:rPr>
          <w:rFonts w:hint="default" w:ascii="Times New Roman" w:hAnsi="Times New Roman" w:eastAsia="黑体" w:cs="Times New Roman"/>
          <w:b/>
          <w:bCs/>
          <w:sz w:val="28"/>
          <w:szCs w:val="28"/>
          <w:highlight w:val="none"/>
          <w:u w:val="single"/>
          <w:lang w:val="en-US" w:eastAsia="zh-CN"/>
        </w:rPr>
        <w:t>年</w:t>
      </w:r>
      <w:r>
        <w:rPr>
          <w:rFonts w:hint="eastAsia" w:ascii="Times New Roman" w:hAnsi="Times New Roman" w:eastAsia="黑体" w:cs="Times New Roman"/>
          <w:b/>
          <w:bCs/>
          <w:sz w:val="28"/>
          <w:szCs w:val="28"/>
          <w:highlight w:val="none"/>
          <w:u w:val="single"/>
          <w:lang w:val="en-US" w:eastAsia="zh-CN"/>
        </w:rPr>
        <w:t>5</w:t>
      </w:r>
      <w:r>
        <w:rPr>
          <w:rFonts w:hint="default" w:ascii="Times New Roman" w:hAnsi="Times New Roman" w:eastAsia="黑体" w:cs="Times New Roman"/>
          <w:b/>
          <w:bCs/>
          <w:sz w:val="28"/>
          <w:szCs w:val="28"/>
          <w:highlight w:val="none"/>
          <w:u w:val="single"/>
          <w:lang w:val="en-US" w:eastAsia="zh-CN"/>
        </w:rPr>
        <w:t xml:space="preserve">月    </w:t>
      </w:r>
    </w:p>
    <w:p>
      <w:pPr>
        <w:spacing w:line="360" w:lineRule="auto"/>
        <w:jc w:val="both"/>
        <w:rPr>
          <w:rFonts w:hint="default" w:ascii="Times New Roman" w:hAnsi="Times New Roman" w:eastAsia="黑体" w:cs="Times New Roman"/>
          <w:b/>
          <w:bCs/>
          <w:sz w:val="28"/>
          <w:szCs w:val="28"/>
          <w:highlight w:val="none"/>
        </w:rPr>
      </w:pPr>
    </w:p>
    <w:p>
      <w:pPr>
        <w:jc w:val="center"/>
        <w:rPr>
          <w:rFonts w:hint="default" w:ascii="Times New Roman" w:hAnsi="Times New Roman" w:eastAsia="黑体" w:cs="Times New Roman"/>
          <w:b/>
          <w:bCs/>
          <w:sz w:val="28"/>
          <w:szCs w:val="28"/>
          <w:highlight w:val="none"/>
        </w:rPr>
      </w:pPr>
      <w:r>
        <w:rPr>
          <w:rFonts w:hint="default" w:ascii="Times New Roman" w:hAnsi="Times New Roman" w:eastAsia="黑体" w:cs="Times New Roman"/>
          <w:b/>
          <w:bCs/>
          <w:sz w:val="28"/>
          <w:szCs w:val="28"/>
          <w:highlight w:val="none"/>
        </w:rPr>
        <w:t>20</w:t>
      </w:r>
      <w:r>
        <w:rPr>
          <w:rFonts w:hint="default" w:ascii="Times New Roman" w:hAnsi="Times New Roman" w:eastAsia="黑体" w:cs="Times New Roman"/>
          <w:b/>
          <w:bCs/>
          <w:sz w:val="28"/>
          <w:szCs w:val="28"/>
          <w:highlight w:val="none"/>
          <w:lang w:val="en-US" w:eastAsia="zh-CN"/>
        </w:rPr>
        <w:t>2</w:t>
      </w:r>
      <w:r>
        <w:rPr>
          <w:rFonts w:hint="eastAsia" w:ascii="Times New Roman" w:hAnsi="Times New Roman" w:eastAsia="黑体" w:cs="Times New Roman"/>
          <w:b/>
          <w:bCs/>
          <w:sz w:val="28"/>
          <w:szCs w:val="28"/>
          <w:highlight w:val="none"/>
          <w:lang w:val="en-US" w:eastAsia="zh-CN"/>
        </w:rPr>
        <w:t>1</w:t>
      </w:r>
      <w:r>
        <w:rPr>
          <w:rFonts w:hint="default" w:ascii="Times New Roman" w:hAnsi="Times New Roman" w:eastAsia="黑体" w:cs="Times New Roman"/>
          <w:b/>
          <w:bCs/>
          <w:sz w:val="28"/>
          <w:szCs w:val="28"/>
          <w:highlight w:val="none"/>
        </w:rPr>
        <w:t>年</w:t>
      </w:r>
      <w:r>
        <w:rPr>
          <w:rFonts w:hint="eastAsia" w:ascii="Times New Roman" w:hAnsi="Times New Roman" w:eastAsia="黑体" w:cs="Times New Roman"/>
          <w:b/>
          <w:bCs/>
          <w:sz w:val="28"/>
          <w:szCs w:val="28"/>
          <w:highlight w:val="none"/>
          <w:lang w:val="en-US" w:eastAsia="zh-CN"/>
        </w:rPr>
        <w:t>5</w:t>
      </w:r>
      <w:r>
        <w:rPr>
          <w:rFonts w:hint="default" w:ascii="Times New Roman" w:hAnsi="Times New Roman" w:eastAsia="黑体" w:cs="Times New Roman"/>
          <w:b/>
          <w:bCs/>
          <w:sz w:val="28"/>
          <w:szCs w:val="28"/>
          <w:highlight w:val="none"/>
        </w:rPr>
        <w:t>月</w:t>
      </w:r>
    </w:p>
    <w:p>
      <w:pPr>
        <w:jc w:val="both"/>
        <w:rPr>
          <w:rFonts w:hint="default" w:ascii="Times New Roman" w:hAnsi="Times New Roman" w:eastAsia="黑体" w:cs="Times New Roman"/>
          <w:b/>
          <w:bCs/>
          <w:sz w:val="28"/>
          <w:szCs w:val="28"/>
          <w:highlight w:val="none"/>
        </w:rPr>
      </w:pPr>
    </w:p>
    <w:p>
      <w:pPr>
        <w:jc w:val="both"/>
        <w:rPr>
          <w:rFonts w:hint="default" w:ascii="Times New Roman" w:hAnsi="Times New Roman" w:eastAsia="黑体" w:cs="Times New Roman"/>
          <w:b/>
          <w:bCs/>
          <w:sz w:val="28"/>
          <w:szCs w:val="28"/>
          <w:highlight w:val="none"/>
        </w:rPr>
      </w:pPr>
    </w:p>
    <w:p>
      <w:pPr>
        <w:spacing w:line="600" w:lineRule="exact"/>
        <w:jc w:val="both"/>
        <w:rPr>
          <w:rFonts w:hint="default" w:ascii="Times New Roman" w:hAnsi="Times New Roman" w:eastAsia="黑体" w:cs="Times New Roman"/>
          <w:b/>
          <w:bCs/>
          <w:sz w:val="28"/>
          <w:szCs w:val="28"/>
          <w:highlight w:val="none"/>
        </w:rPr>
      </w:pPr>
    </w:p>
    <w:p>
      <w:pPr>
        <w:pStyle w:val="10"/>
        <w:widowControl w:val="0"/>
        <w:spacing w:after="0" w:line="360" w:lineRule="auto"/>
        <w:ind w:left="420" w:leftChars="200"/>
        <w:jc w:val="both"/>
        <w:rPr>
          <w:rFonts w:hint="default" w:ascii="Times New Roman" w:hAnsi="Times New Roman" w:eastAsia="黑体" w:cs="Times New Roman"/>
          <w:kern w:val="2"/>
          <w:sz w:val="24"/>
          <w:szCs w:val="24"/>
          <w:highlight w:val="none"/>
          <w:lang w:val="zh-TW"/>
        </w:rPr>
      </w:pPr>
    </w:p>
    <w:p>
      <w:pPr>
        <w:pStyle w:val="10"/>
        <w:widowControl w:val="0"/>
        <w:spacing w:after="0" w:line="360" w:lineRule="auto"/>
        <w:ind w:left="420" w:leftChars="200"/>
        <w:jc w:val="both"/>
        <w:rPr>
          <w:rFonts w:hint="default" w:ascii="Times New Roman" w:hAnsi="Times New Roman" w:eastAsia="黑体" w:cs="Times New Roman"/>
          <w:kern w:val="2"/>
          <w:sz w:val="24"/>
          <w:szCs w:val="24"/>
          <w:highlight w:val="none"/>
          <w:lang w:val="zh-TW"/>
        </w:rPr>
      </w:pPr>
    </w:p>
    <w:p>
      <w:pPr>
        <w:pStyle w:val="10"/>
        <w:widowControl w:val="0"/>
        <w:spacing w:after="0" w:line="360" w:lineRule="auto"/>
        <w:ind w:left="420" w:leftChars="200"/>
        <w:jc w:val="both"/>
        <w:rPr>
          <w:rFonts w:hint="default" w:ascii="Times New Roman" w:hAnsi="Times New Roman" w:eastAsia="黑体" w:cs="Times New Roman"/>
          <w:kern w:val="2"/>
          <w:sz w:val="24"/>
          <w:szCs w:val="24"/>
          <w:highlight w:val="none"/>
          <w:lang w:val="zh-TW"/>
        </w:rPr>
      </w:pPr>
    </w:p>
    <w:p>
      <w:pPr>
        <w:pStyle w:val="10"/>
        <w:widowControl w:val="0"/>
        <w:spacing w:after="0" w:line="360" w:lineRule="auto"/>
        <w:ind w:left="420" w:leftChars="200"/>
        <w:jc w:val="both"/>
        <w:rPr>
          <w:rFonts w:hint="default" w:ascii="Times New Roman" w:hAnsi="Times New Roman" w:eastAsia="黑体" w:cs="Times New Roman"/>
          <w:kern w:val="2"/>
          <w:sz w:val="24"/>
          <w:szCs w:val="24"/>
          <w:highlight w:val="none"/>
          <w:lang w:val="zh-TW" w:eastAsia="zh-TW"/>
        </w:rPr>
      </w:pPr>
      <w:r>
        <w:rPr>
          <w:rFonts w:hint="default" w:ascii="Times New Roman" w:hAnsi="Times New Roman" w:eastAsia="黑体" w:cs="Times New Roman"/>
          <w:kern w:val="2"/>
          <w:sz w:val="24"/>
          <w:szCs w:val="24"/>
          <w:highlight w:val="none"/>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评价小组</w:t>
            </w:r>
          </w:p>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机构职位</w:t>
            </w:r>
          </w:p>
        </w:tc>
        <w:tc>
          <w:tcPr>
            <w:tcW w:w="1620"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姓名</w:t>
            </w:r>
          </w:p>
        </w:tc>
        <w:tc>
          <w:tcPr>
            <w:tcW w:w="1620"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职务/职称</w:t>
            </w:r>
          </w:p>
        </w:tc>
        <w:tc>
          <w:tcPr>
            <w:tcW w:w="1621"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所属</w:t>
            </w:r>
          </w:p>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单位/处室</w:t>
            </w:r>
          </w:p>
        </w:tc>
        <w:tc>
          <w:tcPr>
            <w:tcW w:w="1621"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组长</w:t>
            </w:r>
          </w:p>
        </w:tc>
        <w:tc>
          <w:tcPr>
            <w:tcW w:w="1620" w:type="dxa"/>
            <w:noWrap w:val="0"/>
            <w:vAlign w:val="center"/>
          </w:tcPr>
          <w:p>
            <w:pPr>
              <w:pStyle w:val="10"/>
              <w:widowControl w:val="0"/>
              <w:spacing w:after="0" w:line="600" w:lineRule="exact"/>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周宇</w:t>
            </w:r>
          </w:p>
        </w:tc>
        <w:tc>
          <w:tcPr>
            <w:tcW w:w="1620" w:type="dxa"/>
            <w:noWrap w:val="0"/>
            <w:vAlign w:val="top"/>
          </w:tcPr>
          <w:p>
            <w:pPr>
              <w:pStyle w:val="10"/>
              <w:widowControl w:val="0"/>
              <w:spacing w:after="0" w:line="600" w:lineRule="exact"/>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副局长</w:t>
            </w:r>
          </w:p>
        </w:tc>
        <w:tc>
          <w:tcPr>
            <w:tcW w:w="1621"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副组长</w:t>
            </w:r>
          </w:p>
        </w:tc>
        <w:tc>
          <w:tcPr>
            <w:tcW w:w="1620"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eastAsia="zh-TW"/>
              </w:rPr>
            </w:pPr>
          </w:p>
        </w:tc>
        <w:tc>
          <w:tcPr>
            <w:tcW w:w="1620"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eastAsia="zh-TW"/>
              </w:rPr>
            </w:pPr>
          </w:p>
        </w:tc>
        <w:tc>
          <w:tcPr>
            <w:tcW w:w="1621"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成员</w:t>
            </w:r>
          </w:p>
        </w:tc>
        <w:tc>
          <w:tcPr>
            <w:tcW w:w="1620"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rPr>
            </w:pPr>
          </w:p>
        </w:tc>
        <w:tc>
          <w:tcPr>
            <w:tcW w:w="1620"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p>
        </w:tc>
        <w:tc>
          <w:tcPr>
            <w:tcW w:w="1621"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p>
        </w:tc>
        <w:tc>
          <w:tcPr>
            <w:tcW w:w="1621" w:type="dxa"/>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报告撰写人（签字）：</w:t>
            </w:r>
          </w:p>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p>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p>
          <w:p>
            <w:pPr>
              <w:pStyle w:val="10"/>
              <w:widowControl w:val="0"/>
              <w:spacing w:after="0" w:line="600" w:lineRule="exact"/>
              <w:ind w:firstLine="6240" w:firstLineChars="2600"/>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 xml:space="preserve">年  </w:t>
            </w:r>
            <w:r>
              <w:rPr>
                <w:rFonts w:hint="eastAsia" w:ascii="Times New Roman" w:hAnsi="Times New Roman" w:eastAsia="黑体" w:cs="Times New Roman"/>
                <w:kern w:val="2"/>
                <w:sz w:val="24"/>
                <w:szCs w:val="24"/>
                <w:highlight w:val="none"/>
                <w:lang w:val="en-US" w:eastAsia="zh-CN"/>
              </w:rPr>
              <w:t xml:space="preserve"> </w:t>
            </w:r>
            <w:r>
              <w:rPr>
                <w:rFonts w:hint="default" w:ascii="Times New Roman" w:hAnsi="Times New Roman" w:eastAsia="黑体" w:cs="Times New Roman"/>
                <w:kern w:val="2"/>
                <w:sz w:val="24"/>
                <w:szCs w:val="24"/>
                <w:highlight w:val="none"/>
                <w:lang w:val="zh-TW"/>
              </w:rPr>
              <w:t xml:space="preserve">月 </w:t>
            </w:r>
            <w:r>
              <w:rPr>
                <w:rFonts w:hint="eastAsia" w:ascii="Times New Roman" w:hAnsi="Times New Roman" w:eastAsia="黑体" w:cs="Times New Roman"/>
                <w:kern w:val="2"/>
                <w:sz w:val="24"/>
                <w:szCs w:val="24"/>
                <w:highlight w:val="none"/>
                <w:lang w:val="en-US" w:eastAsia="zh-CN"/>
              </w:rPr>
              <w:t xml:space="preserve"> </w:t>
            </w:r>
            <w:r>
              <w:rPr>
                <w:rFonts w:hint="default" w:ascii="Times New Roman" w:hAnsi="Times New Roman" w:eastAsia="黑体" w:cs="Times New Roman"/>
                <w:kern w:val="2"/>
                <w:sz w:val="24"/>
                <w:szCs w:val="24"/>
                <w:highlight w:val="none"/>
                <w:lang w:val="zh-TW"/>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评价工作负责人（签字）：</w:t>
            </w:r>
          </w:p>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p>
          <w:p>
            <w:pPr>
              <w:pStyle w:val="10"/>
              <w:widowControl w:val="0"/>
              <w:spacing w:after="0" w:line="600" w:lineRule="exact"/>
              <w:jc w:val="both"/>
              <w:rPr>
                <w:rFonts w:hint="default" w:ascii="Times New Roman" w:hAnsi="Times New Roman" w:eastAsia="黑体" w:cs="Times New Roman"/>
                <w:kern w:val="2"/>
                <w:sz w:val="24"/>
                <w:szCs w:val="24"/>
                <w:highlight w:val="none"/>
                <w:lang w:val="zh-TW"/>
              </w:rPr>
            </w:pPr>
          </w:p>
          <w:p>
            <w:pPr>
              <w:pStyle w:val="10"/>
              <w:widowControl w:val="0"/>
              <w:spacing w:after="0" w:line="600" w:lineRule="exact"/>
              <w:ind w:firstLine="6240" w:firstLineChars="2600"/>
              <w:jc w:val="both"/>
              <w:rPr>
                <w:rFonts w:hint="default" w:ascii="Times New Roman" w:hAnsi="Times New Roman" w:eastAsia="黑体" w:cs="Times New Roman"/>
                <w:kern w:val="2"/>
                <w:sz w:val="24"/>
                <w:szCs w:val="24"/>
                <w:highlight w:val="none"/>
                <w:lang w:val="zh-TW"/>
              </w:rPr>
            </w:pPr>
            <w:r>
              <w:rPr>
                <w:rFonts w:hint="default" w:ascii="Times New Roman" w:hAnsi="Times New Roman" w:eastAsia="黑体" w:cs="Times New Roman"/>
                <w:kern w:val="2"/>
                <w:sz w:val="24"/>
                <w:szCs w:val="24"/>
                <w:highlight w:val="none"/>
                <w:lang w:val="zh-TW"/>
              </w:rPr>
              <w:t xml:space="preserve">年  </w:t>
            </w:r>
            <w:r>
              <w:rPr>
                <w:rFonts w:hint="eastAsia" w:ascii="Times New Roman" w:hAnsi="Times New Roman" w:eastAsia="黑体" w:cs="Times New Roman"/>
                <w:kern w:val="2"/>
                <w:sz w:val="24"/>
                <w:szCs w:val="24"/>
                <w:highlight w:val="none"/>
                <w:lang w:val="en-US" w:eastAsia="zh-CN"/>
              </w:rPr>
              <w:t xml:space="preserve"> </w:t>
            </w:r>
            <w:r>
              <w:rPr>
                <w:rFonts w:hint="default" w:ascii="Times New Roman" w:hAnsi="Times New Roman" w:eastAsia="黑体" w:cs="Times New Roman"/>
                <w:kern w:val="2"/>
                <w:sz w:val="24"/>
                <w:szCs w:val="24"/>
                <w:highlight w:val="none"/>
                <w:lang w:val="zh-TW"/>
              </w:rPr>
              <w:t xml:space="preserve">月  </w:t>
            </w:r>
            <w:r>
              <w:rPr>
                <w:rFonts w:hint="eastAsia" w:ascii="Times New Roman" w:hAnsi="Times New Roman" w:eastAsia="黑体" w:cs="Times New Roman"/>
                <w:kern w:val="2"/>
                <w:sz w:val="24"/>
                <w:szCs w:val="24"/>
                <w:highlight w:val="none"/>
                <w:lang w:val="en-US" w:eastAsia="zh-CN"/>
              </w:rPr>
              <w:t xml:space="preserve"> </w:t>
            </w:r>
            <w:r>
              <w:rPr>
                <w:rFonts w:hint="default" w:ascii="Times New Roman" w:hAnsi="Times New Roman" w:eastAsia="黑体" w:cs="Times New Roman"/>
                <w:kern w:val="2"/>
                <w:sz w:val="24"/>
                <w:szCs w:val="24"/>
                <w:highlight w:val="none"/>
                <w:lang w:val="zh-TW"/>
              </w:rPr>
              <w:t>日</w:t>
            </w:r>
          </w:p>
        </w:tc>
      </w:tr>
    </w:tbl>
    <w:p>
      <w:pPr>
        <w:pStyle w:val="10"/>
        <w:widowControl w:val="0"/>
        <w:spacing w:after="0" w:line="600" w:lineRule="exact"/>
        <w:ind w:firstLine="566" w:firstLineChars="236"/>
        <w:jc w:val="both"/>
        <w:rPr>
          <w:rFonts w:hint="default" w:ascii="Times New Roman" w:hAnsi="Times New Roman" w:eastAsia="PMingLiU" w:cs="Times New Roman"/>
          <w:kern w:val="2"/>
          <w:sz w:val="24"/>
          <w:szCs w:val="24"/>
          <w:highlight w:val="none"/>
          <w:lang w:val="zh-TW" w:eastAsia="zh-TW"/>
        </w:rPr>
      </w:pPr>
    </w:p>
    <w:p>
      <w:pPr>
        <w:pStyle w:val="10"/>
        <w:widowControl w:val="0"/>
        <w:spacing w:after="0" w:line="600" w:lineRule="exact"/>
        <w:jc w:val="both"/>
        <w:rPr>
          <w:rFonts w:hint="default" w:ascii="Times New Roman" w:hAnsi="Times New Roman" w:cs="Times New Roman"/>
          <w:kern w:val="2"/>
          <w:sz w:val="24"/>
          <w:szCs w:val="24"/>
          <w:highlight w:val="none"/>
          <w:lang w:val="zh-TW"/>
        </w:rPr>
        <w:sectPr>
          <w:pgSz w:w="11906" w:h="16838"/>
          <w:pgMar w:top="1440" w:right="1800" w:bottom="1440" w:left="1800" w:header="851" w:footer="992" w:gutter="0"/>
          <w:cols w:space="720" w:num="1"/>
          <w:docGrid w:type="lines" w:linePitch="312" w:charSpace="0"/>
        </w:sectPr>
      </w:pPr>
    </w:p>
    <w:p>
      <w:pPr>
        <w:pStyle w:val="11"/>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zh-CN"/>
        </w:rPr>
        <w:t>目</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lang w:val="zh-CN"/>
        </w:rPr>
        <w:t>录</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一、</w:t>
      </w:r>
      <w:r>
        <w:rPr>
          <w:rFonts w:hint="default" w:ascii="Times New Roman" w:hAnsi="Times New Roman" w:eastAsia="黑体" w:cs="Times New Roman"/>
          <w:szCs w:val="32"/>
          <w:highlight w:val="none"/>
        </w:rPr>
        <w:t>摘要</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二、</w:t>
      </w:r>
      <w:r>
        <w:rPr>
          <w:rFonts w:hint="default" w:ascii="Times New Roman" w:hAnsi="Times New Roman" w:eastAsia="黑体" w:cs="Times New Roman"/>
          <w:szCs w:val="32"/>
          <w:highlight w:val="none"/>
        </w:rPr>
        <w:t>项目基本情况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（一）项目</w:t>
      </w:r>
      <w:r>
        <w:rPr>
          <w:rFonts w:hint="eastAsia" w:ascii="Times New Roman" w:hAnsi="Times New Roman" w:eastAsia="黑体" w:cs="Times New Roman"/>
          <w:szCs w:val="32"/>
          <w:highlight w:val="none"/>
          <w:lang w:eastAsia="zh-CN"/>
        </w:rPr>
        <w:t>概况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w:t>
      </w:r>
      <w:r>
        <w:rPr>
          <w:rFonts w:hint="eastAsia" w:ascii="Times New Roman" w:hAnsi="Times New Roman" w:eastAsia="黑体" w:cs="Times New Roman"/>
          <w:szCs w:val="32"/>
          <w:highlight w:val="none"/>
          <w:lang w:eastAsia="zh-CN"/>
        </w:rPr>
        <w:t>绩效目标</w:t>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三</w:t>
      </w:r>
      <w:r>
        <w:rPr>
          <w:rFonts w:hint="default" w:ascii="Times New Roman" w:hAnsi="Times New Roman" w:eastAsia="黑体" w:cs="Times New Roman"/>
          <w:szCs w:val="32"/>
          <w:highlight w:val="none"/>
        </w:rPr>
        <w:t>、绩效评价工作情况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w:t>
      </w:r>
      <w:r>
        <w:rPr>
          <w:rFonts w:hint="eastAsia" w:ascii="Times New Roman" w:hAnsi="Times New Roman" w:eastAsia="黑体" w:cs="Times New Roman"/>
          <w:szCs w:val="32"/>
          <w:highlight w:val="none"/>
          <w:lang w:eastAsia="zh-CN"/>
        </w:rPr>
        <w:t>绩效</w:t>
      </w:r>
      <w:r>
        <w:rPr>
          <w:rFonts w:hint="default" w:ascii="Times New Roman" w:hAnsi="Times New Roman" w:eastAsia="黑体" w:cs="Times New Roman"/>
          <w:szCs w:val="32"/>
          <w:highlight w:val="none"/>
        </w:rPr>
        <w:t>评价目的</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(二)绩效评价工作方案制定过程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(三)绩效评价原则、评价方法</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(四)绩效评价实施过程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四</w:t>
      </w:r>
      <w:r>
        <w:rPr>
          <w:rFonts w:hint="default" w:ascii="Times New Roman" w:hAnsi="Times New Roman" w:eastAsia="黑体" w:cs="Times New Roman"/>
          <w:szCs w:val="32"/>
          <w:highlight w:val="none"/>
        </w:rPr>
        <w:t>、评价结论</w:t>
      </w:r>
      <w:r>
        <w:rPr>
          <w:rFonts w:hint="eastAsia" w:ascii="Times New Roman" w:hAnsi="Times New Roman" w:eastAsia="黑体" w:cs="Times New Roman"/>
          <w:szCs w:val="32"/>
          <w:highlight w:val="none"/>
          <w:lang w:eastAsia="zh-CN"/>
        </w:rPr>
        <w:t>和</w:t>
      </w:r>
      <w:r>
        <w:rPr>
          <w:rFonts w:hint="default" w:ascii="Times New Roman" w:hAnsi="Times New Roman" w:eastAsia="黑体" w:cs="Times New Roman"/>
          <w:szCs w:val="32"/>
          <w:highlight w:val="none"/>
        </w:rPr>
        <w:t xml:space="preserve">绩效分析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(一)评价结论</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w:t>
      </w:r>
      <w:r>
        <w:rPr>
          <w:rFonts w:hint="eastAsia" w:ascii="Times New Roman" w:hAnsi="Times New Roman" w:eastAsia="黑体" w:cs="Times New Roman"/>
          <w:szCs w:val="32"/>
          <w:highlight w:val="none"/>
          <w:lang w:eastAsia="zh-CN"/>
        </w:rPr>
        <w:t>具体</w:t>
      </w:r>
      <w:r>
        <w:rPr>
          <w:rFonts w:hint="default" w:ascii="Times New Roman" w:hAnsi="Times New Roman" w:eastAsia="黑体" w:cs="Times New Roman"/>
          <w:szCs w:val="32"/>
          <w:highlight w:val="none"/>
        </w:rPr>
        <w:t>绩效分析</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五</w:t>
      </w:r>
      <w:r>
        <w:rPr>
          <w:rFonts w:hint="default" w:ascii="Times New Roman" w:hAnsi="Times New Roman" w:eastAsia="黑体" w:cs="Times New Roman"/>
          <w:szCs w:val="32"/>
          <w:highlight w:val="none"/>
        </w:rPr>
        <w:t xml:space="preserve">、主要经验及做法、存在的问题和建议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(一)主要经验及做法</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(二)存在的问题</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eastAsia" w:ascii="Times New Roman" w:hAnsi="Times New Roman" w:eastAsia="黑体" w:cs="Times New Roman"/>
          <w:szCs w:val="32"/>
          <w:highlight w:val="none"/>
          <w:lang w:eastAsia="zh-CN"/>
        </w:rPr>
      </w:pPr>
      <w:r>
        <w:rPr>
          <w:rFonts w:hint="default" w:ascii="Times New Roman" w:hAnsi="Times New Roman" w:eastAsia="黑体" w:cs="Times New Roman"/>
          <w:szCs w:val="32"/>
          <w:highlight w:val="none"/>
        </w:rPr>
        <w:t>(三)改进措施</w:t>
      </w:r>
      <w:r>
        <w:rPr>
          <w:rFonts w:hint="eastAsia" w:ascii="Times New Roman" w:hAnsi="Times New Roman" w:eastAsia="黑体" w:cs="Times New Roman"/>
          <w:szCs w:val="32"/>
          <w:highlight w:val="none"/>
          <w:lang w:eastAsia="zh-CN"/>
        </w:rPr>
        <w:t>及建议</w:t>
      </w:r>
    </w:p>
    <w:p>
      <w:pPr>
        <w:topLinePunct/>
        <w:spacing w:line="440" w:lineRule="exact"/>
        <w:ind w:firstLine="420" w:firstLineChars="200"/>
        <w:jc w:val="both"/>
        <w:rPr>
          <w:rFonts w:hint="eastAsia" w:ascii="Times New Roman" w:hAnsi="Times New Roman" w:eastAsia="黑体" w:cs="Times New Roman"/>
          <w:szCs w:val="32"/>
          <w:highlight w:val="none"/>
          <w:lang w:eastAsia="zh-CN"/>
        </w:rPr>
      </w:pPr>
      <w:r>
        <w:rPr>
          <w:rFonts w:hint="eastAsia" w:ascii="Times New Roman" w:hAnsi="Times New Roman" w:eastAsia="黑体" w:cs="Times New Roman"/>
          <w:szCs w:val="32"/>
          <w:highlight w:val="none"/>
          <w:lang w:eastAsia="zh-CN"/>
        </w:rPr>
        <w:t>佐证材料</w:t>
      </w:r>
    </w:p>
    <w:p>
      <w:pPr>
        <w:topLinePunct/>
        <w:spacing w:line="440" w:lineRule="exact"/>
        <w:ind w:firstLine="420" w:firstLineChars="200"/>
        <w:jc w:val="both"/>
        <w:rPr>
          <w:rFonts w:hint="eastAsia" w:ascii="Times New Roman" w:hAnsi="Times New Roman" w:eastAsia="黑体" w:cs="Times New Roman"/>
          <w:szCs w:val="32"/>
          <w:highlight w:val="none"/>
          <w:lang w:eastAsia="zh-CN"/>
        </w:rPr>
      </w:pPr>
    </w:p>
    <w:p>
      <w:pPr>
        <w:topLinePunct/>
        <w:spacing w:line="440" w:lineRule="exact"/>
        <w:ind w:firstLine="420" w:firstLineChars="200"/>
        <w:jc w:val="both"/>
        <w:rPr>
          <w:rFonts w:hint="eastAsia" w:ascii="Times New Roman" w:hAnsi="Times New Roman" w:eastAsia="黑体" w:cs="Times New Roman"/>
          <w:szCs w:val="32"/>
          <w:highlight w:val="none"/>
          <w:lang w:eastAsia="zh-CN"/>
        </w:rPr>
      </w:pPr>
    </w:p>
    <w:p>
      <w:pPr>
        <w:topLinePunct/>
        <w:spacing w:line="440" w:lineRule="exact"/>
        <w:ind w:firstLine="420" w:firstLineChars="200"/>
        <w:jc w:val="both"/>
        <w:rPr>
          <w:rFonts w:hint="eastAsia" w:ascii="Times New Roman" w:hAnsi="Times New Roman" w:eastAsia="黑体" w:cs="Times New Roman"/>
          <w:szCs w:val="32"/>
          <w:highlight w:val="none"/>
          <w:lang w:eastAsia="zh-CN"/>
        </w:rPr>
      </w:pPr>
    </w:p>
    <w:p>
      <w:pPr>
        <w:topLinePunct/>
        <w:spacing w:line="440" w:lineRule="exact"/>
        <w:ind w:firstLine="420" w:firstLineChars="200"/>
        <w:jc w:val="both"/>
        <w:rPr>
          <w:rFonts w:hint="eastAsia" w:ascii="Times New Roman" w:hAnsi="Times New Roman" w:eastAsia="黑体" w:cs="Times New Roman"/>
          <w:szCs w:val="32"/>
          <w:highlight w:val="none"/>
          <w:lang w:eastAsia="zh-CN"/>
        </w:rPr>
      </w:pPr>
    </w:p>
    <w:p>
      <w:pPr>
        <w:topLinePunct/>
        <w:spacing w:line="440" w:lineRule="exact"/>
        <w:ind w:firstLine="420" w:firstLineChars="200"/>
        <w:jc w:val="both"/>
        <w:rPr>
          <w:rFonts w:hint="default" w:ascii="Times New Roman" w:hAnsi="Times New Roman" w:eastAsia="黑体" w:cs="Times New Roman"/>
          <w:szCs w:val="32"/>
          <w:highlight w:val="none"/>
        </w:rPr>
      </w:pPr>
    </w:p>
    <w:p>
      <w:pPr>
        <w:spacing w:line="540" w:lineRule="exact"/>
        <w:jc w:val="both"/>
        <w:rPr>
          <w:rFonts w:hint="default" w:ascii="Times New Roman" w:hAnsi="Times New Roman" w:eastAsia="方正小标宋_GBK" w:cs="Times New Roman"/>
          <w:szCs w:val="32"/>
          <w:highlight w:val="none"/>
        </w:rPr>
      </w:pPr>
    </w:p>
    <w:p>
      <w:pPr>
        <w:spacing w:line="540" w:lineRule="exact"/>
        <w:jc w:val="both"/>
        <w:rPr>
          <w:rFonts w:hint="default" w:ascii="Times New Roman" w:hAnsi="Times New Roman" w:eastAsia="方正小标宋_GBK" w:cs="Times New Roman"/>
          <w:szCs w:val="32"/>
          <w:highlight w:val="none"/>
        </w:rPr>
      </w:pPr>
    </w:p>
    <w:p>
      <w:pPr>
        <w:spacing w:line="540" w:lineRule="exact"/>
        <w:jc w:val="both"/>
        <w:rPr>
          <w:rFonts w:hint="default" w:ascii="Times New Roman" w:hAnsi="Times New Roman" w:eastAsia="方正小标宋_GBK" w:cs="Times New Roman"/>
          <w:szCs w:val="32"/>
          <w:highlight w:val="none"/>
        </w:rPr>
      </w:pPr>
    </w:p>
    <w:p>
      <w:pPr>
        <w:spacing w:line="540" w:lineRule="exact"/>
        <w:jc w:val="both"/>
        <w:rPr>
          <w:rFonts w:hint="default" w:ascii="Times New Roman" w:hAnsi="Times New Roman" w:eastAsia="方正小标宋_GBK" w:cs="Times New Roman"/>
          <w:szCs w:val="32"/>
          <w:highlight w:val="none"/>
        </w:rPr>
      </w:pPr>
    </w:p>
    <w:p>
      <w:pPr>
        <w:spacing w:line="540" w:lineRule="exact"/>
        <w:jc w:val="both"/>
        <w:rPr>
          <w:rFonts w:hint="default" w:ascii="Times New Roman" w:hAnsi="Times New Roman" w:eastAsia="方正小标宋_GBK" w:cs="Times New Roman"/>
          <w:szCs w:val="32"/>
          <w:highlight w:val="none"/>
        </w:rPr>
      </w:pPr>
    </w:p>
    <w:p>
      <w:pPr>
        <w:keepNext w:val="0"/>
        <w:keepLines w:val="0"/>
        <w:pageBreakBefore w:val="0"/>
        <w:kinsoku/>
        <w:wordWrap/>
        <w:overflowPunct/>
        <w:bidi w:val="0"/>
        <w:spacing w:line="60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国资业务费（购买服务）</w:t>
      </w:r>
      <w:r>
        <w:rPr>
          <w:rFonts w:hint="eastAsia" w:ascii="方正小标宋简体" w:hAnsi="方正小标宋简体" w:eastAsia="方正小标宋简体" w:cs="方正小标宋简体"/>
          <w:sz w:val="44"/>
          <w:szCs w:val="44"/>
          <w:highlight w:val="none"/>
        </w:rPr>
        <w:t>项目支出</w:t>
      </w:r>
    </w:p>
    <w:p>
      <w:pPr>
        <w:keepNext w:val="0"/>
        <w:keepLines w:val="0"/>
        <w:pageBreakBefore w:val="0"/>
        <w:kinsoku/>
        <w:wordWrap/>
        <w:overflowPunct/>
        <w:bidi w:val="0"/>
        <w:spacing w:line="60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绩效自评报告</w:t>
      </w:r>
    </w:p>
    <w:p>
      <w:pPr>
        <w:keepNext w:val="0"/>
        <w:keepLines w:val="0"/>
        <w:pageBreakBefore w:val="0"/>
        <w:kinsoku/>
        <w:wordWrap/>
        <w:overflowPunct/>
        <w:bidi w:val="0"/>
        <w:spacing w:line="600" w:lineRule="exact"/>
        <w:ind w:firstLine="420" w:firstLineChars="200"/>
        <w:jc w:val="both"/>
        <w:textAlignment w:val="auto"/>
        <w:rPr>
          <w:rFonts w:hint="default" w:ascii="Times New Roman" w:hAnsi="Times New Roman" w:eastAsia="黑体" w:cs="Times New Roman"/>
          <w:szCs w:val="32"/>
          <w:highlight w:val="none"/>
        </w:rPr>
      </w:pP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eastAsia="zh-CN"/>
        </w:rPr>
        <w:t>一、摘要</w:t>
      </w: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（一）</w:t>
      </w:r>
      <w:r>
        <w:rPr>
          <w:rFonts w:hint="eastAsia" w:ascii="楷体_GB2312" w:hAnsi="楷体_GB2312" w:eastAsia="楷体_GB2312" w:cs="楷体_GB2312"/>
          <w:sz w:val="32"/>
          <w:szCs w:val="32"/>
          <w:highlight w:val="none"/>
        </w:rPr>
        <w:t>项目概况</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w:t>
      </w:r>
      <w:r>
        <w:rPr>
          <w:rFonts w:hint="eastAsia"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lang w:val="en-US" w:eastAsia="zh-CN"/>
        </w:rPr>
        <w:t>年购买服务费预计为</w:t>
      </w:r>
      <w:r>
        <w:rPr>
          <w:rFonts w:hint="eastAsia"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lang w:val="en-US" w:eastAsia="zh-CN"/>
        </w:rPr>
        <w:t>万元，按</w:t>
      </w:r>
      <w:r>
        <w:rPr>
          <w:rFonts w:hint="eastAsia" w:ascii="Times New Roman" w:hAnsi="Times New Roman" w:eastAsia="仿宋_GB2312" w:cs="Times New Roman"/>
          <w:sz w:val="32"/>
          <w:szCs w:val="32"/>
          <w:highlight w:val="none"/>
          <w:lang w:val="en-US" w:eastAsia="zh-CN"/>
        </w:rPr>
        <w:t>购买服务项目</w:t>
      </w:r>
      <w:r>
        <w:rPr>
          <w:rFonts w:hint="default" w:ascii="Times New Roman" w:hAnsi="Times New Roman" w:eastAsia="仿宋_GB2312" w:cs="Times New Roman"/>
          <w:sz w:val="32"/>
          <w:szCs w:val="32"/>
          <w:highlight w:val="none"/>
          <w:lang w:val="en-US" w:eastAsia="zh-CN"/>
        </w:rPr>
        <w:t>合同</w:t>
      </w:r>
      <w:r>
        <w:rPr>
          <w:rFonts w:hint="eastAsia" w:ascii="Times New Roman" w:hAnsi="Times New Roman" w:eastAsia="仿宋_GB2312" w:cs="Times New Roman"/>
          <w:sz w:val="32"/>
          <w:szCs w:val="32"/>
          <w:highlight w:val="none"/>
          <w:lang w:val="en-US" w:eastAsia="zh-CN"/>
        </w:rPr>
        <w:t>约定及工作</w:t>
      </w:r>
      <w:r>
        <w:rPr>
          <w:rFonts w:hint="default" w:ascii="Times New Roman" w:hAnsi="Times New Roman" w:eastAsia="仿宋_GB2312" w:cs="Times New Roman"/>
          <w:sz w:val="32"/>
          <w:szCs w:val="32"/>
          <w:highlight w:val="none"/>
          <w:lang w:val="en-US" w:eastAsia="zh-CN"/>
        </w:rPr>
        <w:t>进度</w:t>
      </w:r>
      <w:r>
        <w:rPr>
          <w:rFonts w:hint="eastAsia" w:ascii="Times New Roman" w:hAnsi="Times New Roman" w:eastAsia="仿宋_GB2312" w:cs="Times New Roman"/>
          <w:sz w:val="32"/>
          <w:szCs w:val="32"/>
          <w:highlight w:val="none"/>
          <w:lang w:val="en-US" w:eastAsia="zh-CN"/>
        </w:rPr>
        <w:t>进行</w:t>
      </w:r>
      <w:r>
        <w:rPr>
          <w:rFonts w:hint="default" w:ascii="Times New Roman" w:hAnsi="Times New Roman" w:eastAsia="仿宋_GB2312" w:cs="Times New Roman"/>
          <w:sz w:val="32"/>
          <w:szCs w:val="32"/>
          <w:highlight w:val="none"/>
          <w:lang w:val="en-US" w:eastAsia="zh-CN"/>
        </w:rPr>
        <w:t>支付。项目具体情况如下：</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default" w:ascii="Times New Roman" w:hAnsi="Times New Roman" w:cs="Times New Roman"/>
          <w:highlight w:val="none"/>
          <w:lang w:val="en-US"/>
        </w:rPr>
      </w:pPr>
      <w:r>
        <w:rPr>
          <w:rFonts w:hint="default" w:ascii="Times New Roman" w:hAnsi="Times New Roman" w:eastAsia="仿宋_GB2312" w:cs="Times New Roman"/>
          <w:sz w:val="32"/>
          <w:szCs w:val="32"/>
          <w:highlight w:val="none"/>
          <w:lang w:eastAsia="zh-CN"/>
        </w:rPr>
        <w:t>根据</w:t>
      </w:r>
      <w:r>
        <w:rPr>
          <w:rFonts w:hint="default" w:ascii="Times New Roman" w:hAnsi="Times New Roman" w:eastAsia="仿宋_GB2312" w:cs="Times New Roman"/>
          <w:sz w:val="32"/>
          <w:szCs w:val="32"/>
          <w:highlight w:val="none"/>
        </w:rPr>
        <w:t>《昆明市盘龙区关于全面深化区属国有企业改革实施意见》（盘通〔2017〕14号）精神，区国资委通过委托股权管理等方式，由区国管公司专司进行国有资本和全区国有资产的监管，向区国资委报告全区国有资产经营状况及国有企业经营成果，与区国管公司签订了《盘龙区政府向社会力量购买服务项目合同》，根据合同约定向区国管公司支付</w:t>
      </w:r>
      <w:r>
        <w:rPr>
          <w:rFonts w:hint="eastAsia"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rPr>
        <w:t>万元服务费用。</w:t>
      </w: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（二）</w:t>
      </w:r>
      <w:r>
        <w:rPr>
          <w:rFonts w:hint="eastAsia" w:ascii="楷体_GB2312" w:hAnsi="楷体_GB2312" w:eastAsia="楷体_GB2312" w:cs="楷体_GB2312"/>
          <w:sz w:val="32"/>
          <w:szCs w:val="32"/>
          <w:highlight w:val="none"/>
        </w:rPr>
        <w:t>评价结论</w:t>
      </w: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根据项目支出绩效评价指标体系框架</w:t>
      </w:r>
      <w:r>
        <w:rPr>
          <w:rFonts w:hint="default" w:ascii="Times New Roman" w:hAnsi="Times New Roman" w:eastAsia="仿宋_GB2312" w:cs="Times New Roman"/>
          <w:kern w:val="2"/>
          <w:sz w:val="32"/>
          <w:szCs w:val="32"/>
          <w:highlight w:val="none"/>
          <w:lang w:val="en-US" w:eastAsia="zh-CN" w:bidi="ar-SA"/>
        </w:rPr>
        <w:t>评价得分为97.3</w:t>
      </w:r>
      <w:r>
        <w:rPr>
          <w:rFonts w:hint="default" w:ascii="Times New Roman" w:hAnsi="Times New Roman" w:eastAsia="仿宋_GB2312" w:cs="Times New Roman"/>
          <w:sz w:val="32"/>
          <w:szCs w:val="32"/>
          <w:highlight w:val="none"/>
        </w:rPr>
        <w:t>分</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预算执行进度为100%</w:t>
      </w:r>
      <w:r>
        <w:rPr>
          <w:rFonts w:hint="eastAsia"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（三）</w:t>
      </w:r>
      <w:r>
        <w:rPr>
          <w:rFonts w:hint="eastAsia" w:ascii="楷体_GB2312" w:hAnsi="楷体_GB2312" w:eastAsia="楷体_GB2312" w:cs="楷体_GB2312"/>
          <w:sz w:val="32"/>
          <w:szCs w:val="32"/>
          <w:highlight w:val="none"/>
        </w:rPr>
        <w:t>经验、问题和建议</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主要经验及做法</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Times New Roman" w:hAnsi="Times New Roman" w:eastAsia="仿宋_GB2312" w:cs="Times New Roman"/>
          <w:b w:val="0"/>
          <w:bCs w:val="0"/>
          <w:sz w:val="32"/>
          <w:szCs w:val="32"/>
          <w:highlight w:val="none"/>
          <w:lang w:val="en-US" w:eastAsia="zh-CN"/>
        </w:rPr>
      </w:pPr>
      <w:r>
        <w:rPr>
          <w:rFonts w:hint="default" w:ascii="Times New Roman" w:hAnsi="Times New Roman" w:eastAsia="仿宋_GB2312" w:cs="Times New Roman"/>
          <w:sz w:val="32"/>
          <w:szCs w:val="32"/>
          <w:highlight w:val="none"/>
        </w:rPr>
        <w:t>通过购买服务方式，</w:t>
      </w:r>
      <w:r>
        <w:rPr>
          <w:rFonts w:hint="default" w:ascii="Times New Roman" w:hAnsi="Times New Roman" w:eastAsia="仿宋_GB2312" w:cs="Times New Roman"/>
          <w:sz w:val="32"/>
          <w:szCs w:val="32"/>
          <w:highlight w:val="none"/>
          <w:lang w:eastAsia="zh-CN"/>
        </w:rPr>
        <w:t>区国管公司开展以下工作</w:t>
      </w:r>
      <w:r>
        <w:rPr>
          <w:rFonts w:hint="default" w:ascii="Times New Roman" w:hAnsi="Times New Roman" w:eastAsia="仿宋_GB2312" w:cs="Times New Roman"/>
          <w:b w:val="0"/>
          <w:bCs w:val="0"/>
          <w:sz w:val="32"/>
          <w:szCs w:val="32"/>
          <w:highlight w:val="none"/>
          <w:lang w:eastAsia="zh-CN"/>
        </w:rPr>
        <w:t>：一是</w:t>
      </w:r>
      <w:r>
        <w:rPr>
          <w:rFonts w:hint="eastAsia" w:ascii="Times New Roman" w:hAnsi="Times New Roman" w:eastAsia="仿宋_GB2312" w:cs="Times New Roman"/>
          <w:b w:val="0"/>
          <w:bCs w:val="0"/>
          <w:sz w:val="32"/>
          <w:szCs w:val="32"/>
          <w:highlight w:val="none"/>
        </w:rPr>
        <w:t>对盘龙区深化国有企业改革工作提供咨询等相关服务。</w:t>
      </w:r>
      <w:r>
        <w:rPr>
          <w:rFonts w:hint="default" w:ascii="Times New Roman" w:hAnsi="Times New Roman" w:eastAsia="仿宋_GB2312" w:cs="Times New Roman"/>
          <w:b w:val="0"/>
          <w:bCs w:val="0"/>
          <w:sz w:val="32"/>
          <w:szCs w:val="32"/>
          <w:highlight w:val="none"/>
          <w:lang w:eastAsia="zh-CN"/>
        </w:rPr>
        <w:t>二是</w:t>
      </w:r>
      <w:r>
        <w:rPr>
          <w:rFonts w:hint="eastAsia" w:ascii="Times New Roman" w:hAnsi="Times New Roman" w:eastAsia="仿宋_GB2312" w:cs="Times New Roman"/>
          <w:b w:val="0"/>
          <w:bCs w:val="0"/>
          <w:sz w:val="32"/>
          <w:szCs w:val="32"/>
          <w:highlight w:val="none"/>
        </w:rPr>
        <w:t>协助开展国有资产管理工作。</w:t>
      </w:r>
      <w:r>
        <w:rPr>
          <w:rFonts w:hint="default" w:ascii="Times New Roman" w:hAnsi="Times New Roman" w:eastAsia="仿宋_GB2312" w:cs="Times New Roman"/>
          <w:b w:val="0"/>
          <w:bCs w:val="0"/>
          <w:sz w:val="32"/>
          <w:szCs w:val="32"/>
          <w:highlight w:val="none"/>
          <w:lang w:eastAsia="zh-CN"/>
        </w:rPr>
        <w:t>三是</w:t>
      </w:r>
      <w:r>
        <w:rPr>
          <w:rFonts w:hint="eastAsia" w:ascii="Times New Roman" w:hAnsi="Times New Roman" w:eastAsia="仿宋_GB2312" w:cs="Times New Roman"/>
          <w:b w:val="0"/>
          <w:bCs w:val="0"/>
          <w:sz w:val="32"/>
          <w:szCs w:val="32"/>
          <w:highlight w:val="none"/>
        </w:rPr>
        <w:t>协助提供咨询、分析等服务。</w:t>
      </w:r>
      <w:r>
        <w:rPr>
          <w:rFonts w:hint="default" w:ascii="Times New Roman" w:hAnsi="Times New Roman" w:eastAsia="仿宋_GB2312" w:cs="Times New Roman"/>
          <w:b w:val="0"/>
          <w:bCs w:val="0"/>
          <w:sz w:val="32"/>
          <w:szCs w:val="32"/>
          <w:highlight w:val="none"/>
          <w:lang w:eastAsia="zh-CN"/>
        </w:rPr>
        <w:t>四是</w:t>
      </w:r>
      <w:r>
        <w:rPr>
          <w:rFonts w:hint="eastAsia" w:ascii="Times New Roman" w:hAnsi="Times New Roman" w:eastAsia="仿宋_GB2312" w:cs="Times New Roman"/>
          <w:b w:val="0"/>
          <w:bCs w:val="0"/>
          <w:sz w:val="32"/>
          <w:szCs w:val="32"/>
          <w:highlight w:val="none"/>
        </w:rPr>
        <w:t>提供投融资咨询意见。</w:t>
      </w:r>
      <w:r>
        <w:rPr>
          <w:rFonts w:hint="default" w:ascii="Times New Roman" w:hAnsi="Times New Roman" w:eastAsia="仿宋_GB2312" w:cs="Times New Roman"/>
          <w:b w:val="0"/>
          <w:bCs w:val="0"/>
          <w:sz w:val="32"/>
          <w:szCs w:val="32"/>
          <w:highlight w:val="none"/>
          <w:lang w:eastAsia="zh-CN"/>
        </w:rPr>
        <w:t>五是</w:t>
      </w:r>
      <w:r>
        <w:rPr>
          <w:rFonts w:hint="eastAsia" w:ascii="Times New Roman" w:hAnsi="Times New Roman" w:eastAsia="仿宋_GB2312" w:cs="Times New Roman"/>
          <w:b w:val="0"/>
          <w:bCs w:val="0"/>
          <w:sz w:val="32"/>
          <w:szCs w:val="32"/>
          <w:highlight w:val="none"/>
        </w:rPr>
        <w:t>协助开展年度培训及教育工作。</w:t>
      </w:r>
      <w:r>
        <w:rPr>
          <w:rFonts w:hint="eastAsia" w:ascii="Times New Roman" w:hAnsi="Times New Roman" w:eastAsia="仿宋_GB2312" w:cs="Times New Roman"/>
          <w:b w:val="0"/>
          <w:bCs w:val="0"/>
          <w:sz w:val="32"/>
          <w:szCs w:val="32"/>
          <w:highlight w:val="none"/>
          <w:lang w:eastAsia="zh-CN"/>
        </w:rPr>
        <w:t>六是</w:t>
      </w:r>
      <w:r>
        <w:rPr>
          <w:rFonts w:hint="eastAsia" w:ascii="Times New Roman" w:hAnsi="Times New Roman" w:eastAsia="仿宋_GB2312" w:cs="Times New Roman"/>
          <w:b w:val="0"/>
          <w:bCs w:val="0"/>
          <w:sz w:val="32"/>
          <w:szCs w:val="32"/>
          <w:highlight w:val="none"/>
        </w:rPr>
        <w:t>其它需提供的服务工作。</w:t>
      </w:r>
    </w:p>
    <w:p>
      <w:pPr>
        <w:keepNext w:val="0"/>
        <w:keepLines w:val="0"/>
        <w:pageBreakBefore w:val="0"/>
        <w:widowControl w:val="0"/>
        <w:numPr>
          <w:ilvl w:val="0"/>
          <w:numId w:val="2"/>
        </w:numPr>
        <w:kinsoku/>
        <w:wordWrap/>
        <w:overflow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存在的问题</w:t>
      </w:r>
    </w:p>
    <w:p>
      <w:pPr>
        <w:keepNext w:val="0"/>
        <w:keepLines w:val="0"/>
        <w:pageBreakBefore w:val="0"/>
        <w:widowControl w:val="0"/>
        <w:numPr>
          <w:ilvl w:val="0"/>
          <w:numId w:val="0"/>
        </w:numPr>
        <w:kinsoku/>
        <w:wordWrap/>
        <w:overflow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需强化对区国管公司提供的购买服务的项目监管追踪及提供的项目进行评价，实施管理及追踪。</w:t>
      </w:r>
    </w:p>
    <w:p>
      <w:pPr>
        <w:keepNext w:val="0"/>
        <w:keepLines w:val="0"/>
        <w:pageBreakBefore w:val="0"/>
        <w:widowControl w:val="0"/>
        <w:numPr>
          <w:ilvl w:val="0"/>
          <w:numId w:val="2"/>
        </w:numPr>
        <w:kinsoku/>
        <w:wordWrap/>
        <w:overflowPunct/>
        <w:topLinePunct/>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改进措施及建议</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强化对资金使用的使用效率，节约财力，</w:t>
      </w:r>
      <w:r>
        <w:rPr>
          <w:rFonts w:hint="default" w:ascii="Times New Roman" w:hAnsi="Times New Roman" w:eastAsia="仿宋_GB2312" w:cs="Times New Roman"/>
          <w:sz w:val="32"/>
          <w:szCs w:val="32"/>
          <w:highlight w:val="none"/>
        </w:rPr>
        <w:t>加强对区国管公司所提供的购买服务的项目进行管理，以及加强对购买服务质量的把控，强化对项目实施过程及后期的追踪，及时发现和了解服务中存在的问题并及时解决，全面推进区国管公司更好的完成工作任务，促进企业健康发展</w:t>
      </w:r>
      <w:r>
        <w:rPr>
          <w:rFonts w:hint="default" w:ascii="Times New Roman" w:hAnsi="Times New Roman" w:eastAsia="仿宋_GB2312" w:cs="Times New Roman"/>
          <w:sz w:val="32"/>
          <w:szCs w:val="32"/>
          <w:highlight w:val="none"/>
          <w:lang w:eastAsia="zh-CN"/>
        </w:rPr>
        <w:t>，促国有资产保值增值</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bidi w:val="0"/>
        <w:snapToGrid/>
        <w:spacing w:line="60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二、</w:t>
      </w:r>
      <w:r>
        <w:rPr>
          <w:rFonts w:hint="default" w:ascii="Times New Roman" w:hAnsi="Times New Roman" w:eastAsia="黑体" w:cs="Times New Roman"/>
          <w:sz w:val="32"/>
          <w:szCs w:val="32"/>
          <w:highlight w:val="none"/>
        </w:rPr>
        <w:t>项目基本情况</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（一）项目概况</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1.立项背景及目的</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20</w:t>
      </w:r>
      <w:r>
        <w:rPr>
          <w:rFonts w:hint="eastAsia"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lang w:val="en-US" w:eastAsia="zh-CN"/>
        </w:rPr>
        <w:t>年购买服务费预计为</w:t>
      </w:r>
      <w:r>
        <w:rPr>
          <w:rFonts w:hint="eastAsia"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lang w:val="en-US" w:eastAsia="zh-CN"/>
        </w:rPr>
        <w:t>万元，按</w:t>
      </w:r>
      <w:r>
        <w:rPr>
          <w:rFonts w:hint="eastAsia" w:ascii="Times New Roman" w:hAnsi="Times New Roman" w:eastAsia="仿宋_GB2312" w:cs="Times New Roman"/>
          <w:sz w:val="32"/>
          <w:szCs w:val="32"/>
          <w:highlight w:val="none"/>
          <w:lang w:val="en-US" w:eastAsia="zh-CN"/>
        </w:rPr>
        <w:t>购买服务项目</w:t>
      </w:r>
      <w:r>
        <w:rPr>
          <w:rFonts w:hint="default" w:ascii="Times New Roman" w:hAnsi="Times New Roman" w:eastAsia="仿宋_GB2312" w:cs="Times New Roman"/>
          <w:sz w:val="32"/>
          <w:szCs w:val="32"/>
          <w:highlight w:val="none"/>
          <w:lang w:val="en-US" w:eastAsia="zh-CN"/>
        </w:rPr>
        <w:t>合同</w:t>
      </w:r>
      <w:r>
        <w:rPr>
          <w:rFonts w:hint="eastAsia" w:ascii="Times New Roman" w:hAnsi="Times New Roman" w:eastAsia="仿宋_GB2312" w:cs="Times New Roman"/>
          <w:sz w:val="32"/>
          <w:szCs w:val="32"/>
          <w:highlight w:val="none"/>
          <w:lang w:val="en-US" w:eastAsia="zh-CN"/>
        </w:rPr>
        <w:t>约定及工作</w:t>
      </w:r>
      <w:r>
        <w:rPr>
          <w:rFonts w:hint="default" w:ascii="Times New Roman" w:hAnsi="Times New Roman" w:eastAsia="仿宋_GB2312" w:cs="Times New Roman"/>
          <w:sz w:val="32"/>
          <w:szCs w:val="32"/>
          <w:highlight w:val="none"/>
          <w:lang w:val="en-US" w:eastAsia="zh-CN"/>
        </w:rPr>
        <w:t>进度</w:t>
      </w:r>
      <w:r>
        <w:rPr>
          <w:rFonts w:hint="eastAsia" w:ascii="Times New Roman" w:hAnsi="Times New Roman" w:eastAsia="仿宋_GB2312" w:cs="Times New Roman"/>
          <w:sz w:val="32"/>
          <w:szCs w:val="32"/>
          <w:highlight w:val="none"/>
          <w:lang w:val="en-US" w:eastAsia="zh-CN"/>
        </w:rPr>
        <w:t>进行</w:t>
      </w:r>
      <w:r>
        <w:rPr>
          <w:rFonts w:hint="default" w:ascii="Times New Roman" w:hAnsi="Times New Roman" w:eastAsia="仿宋_GB2312" w:cs="Times New Roman"/>
          <w:sz w:val="32"/>
          <w:szCs w:val="32"/>
          <w:highlight w:val="none"/>
          <w:lang w:val="en-US" w:eastAsia="zh-CN"/>
        </w:rPr>
        <w:t>支付。项目具体情况如下：</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default" w:ascii="Times New Roman" w:hAnsi="Times New Roman" w:cs="Times New Roman"/>
          <w:highlight w:val="none"/>
          <w:lang w:val="en-US"/>
        </w:rPr>
      </w:pPr>
      <w:r>
        <w:rPr>
          <w:rFonts w:hint="default" w:ascii="Times New Roman" w:hAnsi="Times New Roman" w:eastAsia="仿宋_GB2312" w:cs="Times New Roman"/>
          <w:sz w:val="32"/>
          <w:szCs w:val="32"/>
          <w:highlight w:val="none"/>
          <w:lang w:eastAsia="zh-CN"/>
        </w:rPr>
        <w:t>根据</w:t>
      </w:r>
      <w:r>
        <w:rPr>
          <w:rFonts w:hint="default" w:ascii="Times New Roman" w:hAnsi="Times New Roman" w:eastAsia="仿宋_GB2312" w:cs="Times New Roman"/>
          <w:sz w:val="32"/>
          <w:szCs w:val="32"/>
          <w:highlight w:val="none"/>
        </w:rPr>
        <w:t>《昆明市盘龙区关于全面深化区属国有企业改革实施意见》（盘通〔2017〕14号）精神，区国资委通过委托股权管理等方式，由区国管公司专司进行国有资本和全区国有资产的监管，向区国资委报告全区国有资产经营状况及国有企业经营成果，与区国管公司签订了《盘龙区政府向社会力量购买服务项目合同》，根据合同约定向区国管公司支付</w:t>
      </w:r>
      <w:r>
        <w:rPr>
          <w:rFonts w:hint="eastAsia"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rPr>
        <w:t>万元服务费用。</w:t>
      </w:r>
    </w:p>
    <w:p>
      <w:pPr>
        <w:pStyle w:val="12"/>
        <w:keepNext w:val="0"/>
        <w:keepLines w:val="0"/>
        <w:pageBreakBefore w:val="0"/>
        <w:widowControl w:val="0"/>
        <w:kinsoku/>
        <w:wordWrap/>
        <w:overflow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2.项目实施情况</w:t>
      </w:r>
    </w:p>
    <w:p>
      <w:pPr>
        <w:keepNext w:val="0"/>
        <w:keepLines w:val="0"/>
        <w:pageBreakBefore w:val="0"/>
        <w:widowControl w:val="0"/>
        <w:kinsoku/>
        <w:wordWrap/>
        <w:overflowPunct/>
        <w:bidi w:val="0"/>
        <w:snapToGrid/>
        <w:spacing w:line="600" w:lineRule="exact"/>
        <w:ind w:firstLine="640" w:firstLineChars="200"/>
        <w:textAlignment w:val="auto"/>
        <w:rPr>
          <w:rFonts w:hint="eastAsia" w:ascii="Times New Roman" w:hAnsi="Times New Roman" w:eastAsia="仿宋_GB2312" w:cs="Times New Roman"/>
          <w:b w:val="0"/>
          <w:bCs w:val="0"/>
          <w:sz w:val="32"/>
          <w:szCs w:val="32"/>
          <w:highlight w:val="none"/>
        </w:rPr>
      </w:pPr>
      <w:r>
        <w:rPr>
          <w:rFonts w:hint="default" w:ascii="Times New Roman" w:hAnsi="Times New Roman" w:eastAsia="仿宋_GB2312" w:cs="Times New Roman"/>
          <w:sz w:val="32"/>
          <w:szCs w:val="32"/>
          <w:highlight w:val="none"/>
        </w:rPr>
        <w:t>根据双方签订《盘龙区政府向社会力量购买服务项目合同》，</w:t>
      </w:r>
      <w:r>
        <w:rPr>
          <w:rFonts w:hint="default" w:ascii="Times New Roman" w:hAnsi="Times New Roman" w:eastAsia="仿宋_GB2312" w:cs="Times New Roman"/>
          <w:sz w:val="32"/>
          <w:szCs w:val="32"/>
          <w:highlight w:val="none"/>
          <w:lang w:eastAsia="zh-CN"/>
        </w:rPr>
        <w:t>区国管公司开展以下</w:t>
      </w:r>
      <w:r>
        <w:rPr>
          <w:rFonts w:hint="default" w:ascii="Times New Roman" w:hAnsi="Times New Roman" w:eastAsia="仿宋_GB2312" w:cs="Times New Roman"/>
          <w:b w:val="0"/>
          <w:bCs w:val="0"/>
          <w:sz w:val="32"/>
          <w:szCs w:val="32"/>
          <w:highlight w:val="none"/>
          <w:lang w:eastAsia="zh-CN"/>
        </w:rPr>
        <w:t>工作：一是</w:t>
      </w:r>
      <w:r>
        <w:rPr>
          <w:rFonts w:hint="eastAsia" w:ascii="Times New Roman" w:hAnsi="Times New Roman" w:eastAsia="仿宋_GB2312" w:cs="Times New Roman"/>
          <w:b w:val="0"/>
          <w:bCs w:val="0"/>
          <w:sz w:val="32"/>
          <w:szCs w:val="32"/>
          <w:highlight w:val="none"/>
        </w:rPr>
        <w:t>对盘龙区深化国有企业改革工作提供咨询等相关服务。</w:t>
      </w:r>
      <w:r>
        <w:rPr>
          <w:rFonts w:hint="default" w:ascii="Times New Roman" w:hAnsi="Times New Roman" w:eastAsia="仿宋_GB2312" w:cs="Times New Roman"/>
          <w:b w:val="0"/>
          <w:bCs w:val="0"/>
          <w:sz w:val="32"/>
          <w:szCs w:val="32"/>
          <w:highlight w:val="none"/>
          <w:lang w:eastAsia="zh-CN"/>
        </w:rPr>
        <w:t>二是</w:t>
      </w:r>
      <w:r>
        <w:rPr>
          <w:rFonts w:hint="eastAsia" w:ascii="Times New Roman" w:hAnsi="Times New Roman" w:eastAsia="仿宋_GB2312" w:cs="Times New Roman"/>
          <w:b w:val="0"/>
          <w:bCs w:val="0"/>
          <w:sz w:val="32"/>
          <w:szCs w:val="32"/>
          <w:highlight w:val="none"/>
        </w:rPr>
        <w:t>协助开展国有资产管理工作。</w:t>
      </w:r>
      <w:r>
        <w:rPr>
          <w:rFonts w:hint="default" w:ascii="Times New Roman" w:hAnsi="Times New Roman" w:eastAsia="仿宋_GB2312" w:cs="Times New Roman"/>
          <w:b w:val="0"/>
          <w:bCs w:val="0"/>
          <w:sz w:val="32"/>
          <w:szCs w:val="32"/>
          <w:highlight w:val="none"/>
          <w:lang w:eastAsia="zh-CN"/>
        </w:rPr>
        <w:t>三是</w:t>
      </w:r>
      <w:r>
        <w:rPr>
          <w:rFonts w:hint="eastAsia" w:ascii="Times New Roman" w:hAnsi="Times New Roman" w:eastAsia="仿宋_GB2312" w:cs="Times New Roman"/>
          <w:b w:val="0"/>
          <w:bCs w:val="0"/>
          <w:sz w:val="32"/>
          <w:szCs w:val="32"/>
          <w:highlight w:val="none"/>
        </w:rPr>
        <w:t>协助提供咨询、分析等服务。</w:t>
      </w:r>
      <w:r>
        <w:rPr>
          <w:rFonts w:hint="default" w:ascii="Times New Roman" w:hAnsi="Times New Roman" w:eastAsia="仿宋_GB2312" w:cs="Times New Roman"/>
          <w:b w:val="0"/>
          <w:bCs w:val="0"/>
          <w:sz w:val="32"/>
          <w:szCs w:val="32"/>
          <w:highlight w:val="none"/>
          <w:lang w:eastAsia="zh-CN"/>
        </w:rPr>
        <w:t>四是</w:t>
      </w:r>
      <w:r>
        <w:rPr>
          <w:rFonts w:hint="eastAsia" w:ascii="Times New Roman" w:hAnsi="Times New Roman" w:eastAsia="仿宋_GB2312" w:cs="Times New Roman"/>
          <w:b w:val="0"/>
          <w:bCs w:val="0"/>
          <w:sz w:val="32"/>
          <w:szCs w:val="32"/>
          <w:highlight w:val="none"/>
        </w:rPr>
        <w:t>提供投融资咨询意见。</w:t>
      </w:r>
      <w:r>
        <w:rPr>
          <w:rFonts w:hint="default" w:ascii="Times New Roman" w:hAnsi="Times New Roman" w:eastAsia="仿宋_GB2312" w:cs="Times New Roman"/>
          <w:b w:val="0"/>
          <w:bCs w:val="0"/>
          <w:sz w:val="32"/>
          <w:szCs w:val="32"/>
          <w:highlight w:val="none"/>
          <w:lang w:eastAsia="zh-CN"/>
        </w:rPr>
        <w:t>五是</w:t>
      </w:r>
      <w:r>
        <w:rPr>
          <w:rFonts w:hint="eastAsia" w:ascii="Times New Roman" w:hAnsi="Times New Roman" w:eastAsia="仿宋_GB2312" w:cs="Times New Roman"/>
          <w:b w:val="0"/>
          <w:bCs w:val="0"/>
          <w:sz w:val="32"/>
          <w:szCs w:val="32"/>
          <w:highlight w:val="none"/>
        </w:rPr>
        <w:t>协助开展年度培训及教育工作。</w:t>
      </w:r>
      <w:r>
        <w:rPr>
          <w:rFonts w:hint="eastAsia" w:ascii="Times New Roman" w:hAnsi="Times New Roman" w:eastAsia="仿宋_GB2312" w:cs="Times New Roman"/>
          <w:b w:val="0"/>
          <w:bCs w:val="0"/>
          <w:sz w:val="32"/>
          <w:szCs w:val="32"/>
          <w:highlight w:val="none"/>
          <w:lang w:eastAsia="zh-CN"/>
        </w:rPr>
        <w:t>六是</w:t>
      </w:r>
      <w:r>
        <w:rPr>
          <w:rFonts w:hint="eastAsia" w:ascii="Times New Roman" w:hAnsi="Times New Roman" w:eastAsia="仿宋_GB2312" w:cs="Times New Roman"/>
          <w:b w:val="0"/>
          <w:bCs w:val="0"/>
          <w:sz w:val="32"/>
          <w:szCs w:val="32"/>
          <w:highlight w:val="none"/>
        </w:rPr>
        <w:t>其它需提供的服务工作。</w:t>
      </w:r>
    </w:p>
    <w:p>
      <w:pPr>
        <w:keepNext w:val="0"/>
        <w:keepLines w:val="0"/>
        <w:pageBreakBefore w:val="0"/>
        <w:widowControl w:val="0"/>
        <w:kinsoku/>
        <w:wordWrap/>
        <w:overflowPunct/>
        <w:bidi w:val="0"/>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3.资金来源及使用情况</w:t>
      </w:r>
    </w:p>
    <w:p>
      <w:pPr>
        <w:keepNext w:val="0"/>
        <w:keepLines w:val="0"/>
        <w:pageBreakBefore w:val="0"/>
        <w:widowControl w:val="0"/>
        <w:kinsoku/>
        <w:wordWrap/>
        <w:overflowPunct/>
        <w:bidi w:val="0"/>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财政资金</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4.组织及管理情况</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包括项目组织情况、项目实施流程、资金拨付流程</w:t>
      </w:r>
      <w:r>
        <w:rPr>
          <w:rFonts w:hint="default" w:ascii="Times New Roman" w:hAnsi="Times New Roman" w:eastAsia="仿宋_GB2312" w:cs="Times New Roman"/>
          <w:sz w:val="32"/>
          <w:szCs w:val="32"/>
          <w:highlight w:val="none"/>
          <w:lang w:eastAsia="zh-CN"/>
        </w:rPr>
        <w:t>、工作完成情况、考核评价</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区国管公司按照双方签订的《盘龙区政府向社会力量购买服务项目合同》完成工作任务，并完成资金的拨付审批程序后按合同金额进行资金的拨付</w:t>
      </w:r>
      <w:r>
        <w:rPr>
          <w:rFonts w:hint="default" w:ascii="Times New Roman" w:hAnsi="Times New Roman" w:eastAsia="仿宋_GB2312" w:cs="Times New Roman"/>
          <w:sz w:val="32"/>
          <w:szCs w:val="32"/>
          <w:highlight w:val="none"/>
          <w:lang w:eastAsia="zh-CN"/>
        </w:rPr>
        <w:t>并进行考核评价</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楷体_GB2312" w:hAnsi="楷体_GB2312" w:eastAsia="楷体_GB2312" w:cs="楷体_GB2312"/>
          <w:sz w:val="32"/>
          <w:szCs w:val="32"/>
          <w:highlight w:val="none"/>
        </w:rPr>
      </w:pPr>
      <w:r>
        <w:rPr>
          <w:rFonts w:hint="default" w:ascii="楷体_GB2312" w:hAnsi="楷体_GB2312" w:eastAsia="楷体_GB2312" w:cs="楷体_GB2312"/>
          <w:sz w:val="32"/>
          <w:szCs w:val="32"/>
          <w:highlight w:val="none"/>
        </w:rPr>
        <w:t>（二）绩效目标</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年度目标：20</w:t>
      </w:r>
      <w:r>
        <w:rPr>
          <w:rFonts w:hint="eastAsia" w:ascii="Times New Roman" w:hAnsi="Times New Roman" w:eastAsia="仿宋_GB2312" w:cs="Times New Roman"/>
          <w:sz w:val="32"/>
          <w:szCs w:val="32"/>
          <w:highlight w:val="none"/>
          <w:lang w:val="en-US" w:eastAsia="zh-CN"/>
        </w:rPr>
        <w:t>20</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rPr>
        <w:t>万元购买区国管公司服务。</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1.数量指标：根据</w:t>
      </w:r>
      <w:r>
        <w:rPr>
          <w:rFonts w:hint="eastAsia" w:ascii="Times New Roman" w:hAnsi="Times New Roman" w:eastAsia="仿宋_GB2312" w:cs="Times New Roman"/>
          <w:sz w:val="32"/>
          <w:szCs w:val="32"/>
          <w:highlight w:val="none"/>
          <w:lang w:eastAsia="zh-CN"/>
        </w:rPr>
        <w:t>双方</w:t>
      </w:r>
      <w:r>
        <w:rPr>
          <w:rFonts w:hint="default" w:ascii="Times New Roman" w:hAnsi="Times New Roman" w:eastAsia="仿宋_GB2312" w:cs="Times New Roman"/>
          <w:sz w:val="32"/>
          <w:szCs w:val="32"/>
          <w:highlight w:val="none"/>
        </w:rPr>
        <w:t>签订的《盘龙区政府向社会力量购买服务项目合同》，区国管公司完成购买服务项目。</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2.时效指标：根据</w:t>
      </w:r>
      <w:r>
        <w:rPr>
          <w:rFonts w:hint="eastAsia" w:ascii="Times New Roman" w:hAnsi="Times New Roman" w:eastAsia="仿宋_GB2312" w:cs="Times New Roman"/>
          <w:sz w:val="32"/>
          <w:szCs w:val="32"/>
          <w:highlight w:val="none"/>
          <w:lang w:eastAsia="zh-CN"/>
        </w:rPr>
        <w:t>双方</w:t>
      </w:r>
      <w:r>
        <w:rPr>
          <w:rFonts w:hint="default" w:ascii="Times New Roman" w:hAnsi="Times New Roman" w:eastAsia="仿宋_GB2312" w:cs="Times New Roman"/>
          <w:sz w:val="32"/>
          <w:szCs w:val="32"/>
          <w:highlight w:val="none"/>
        </w:rPr>
        <w:t>签订的《盘龙区政府向社会力量购买服务项目合同》，区国管公司较好的完成工作任务。</w:t>
      </w:r>
    </w:p>
    <w:p>
      <w:pPr>
        <w:keepNext w:val="0"/>
        <w:keepLines w:val="0"/>
        <w:pageBreakBefore w:val="0"/>
        <w:widowControl w:val="0"/>
        <w:kinsoku/>
        <w:wordWrap/>
        <w:overflowPunct/>
        <w:bidi w:val="0"/>
        <w:snapToGrid/>
        <w:spacing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3.质量指标：</w:t>
      </w:r>
      <w:r>
        <w:rPr>
          <w:rFonts w:hint="eastAsia" w:ascii="Times New Roman" w:hAnsi="Times New Roman" w:eastAsia="仿宋_GB2312" w:cs="Times New Roman"/>
          <w:sz w:val="32"/>
          <w:szCs w:val="32"/>
          <w:highlight w:val="none"/>
          <w:lang w:eastAsia="zh-CN"/>
        </w:rPr>
        <w:t>按照双方签订的合同及国资委的要求按质量完成服务项目</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4.成本指标：购买</w:t>
      </w:r>
      <w:r>
        <w:rPr>
          <w:rFonts w:hint="default" w:ascii="Times New Roman" w:hAnsi="Times New Roman" w:eastAsia="仿宋_GB2312" w:cs="Times New Roman"/>
          <w:sz w:val="32"/>
          <w:szCs w:val="32"/>
          <w:highlight w:val="none"/>
          <w:lang w:eastAsia="zh-CN"/>
        </w:rPr>
        <w:t>服务</w:t>
      </w:r>
      <w:r>
        <w:rPr>
          <w:rFonts w:hint="eastAsia" w:ascii="Times New Roman" w:hAnsi="Times New Roman" w:eastAsia="仿宋_GB2312" w:cs="Times New Roman"/>
          <w:sz w:val="32"/>
          <w:szCs w:val="32"/>
          <w:highlight w:val="none"/>
          <w:lang w:eastAsia="zh-CN"/>
        </w:rPr>
        <w:t>项目</w:t>
      </w:r>
      <w:r>
        <w:rPr>
          <w:rFonts w:hint="default" w:ascii="Times New Roman" w:hAnsi="Times New Roman" w:eastAsia="仿宋_GB2312" w:cs="Times New Roman"/>
          <w:sz w:val="32"/>
          <w:szCs w:val="32"/>
          <w:highlight w:val="none"/>
          <w:lang w:eastAsia="zh-CN"/>
        </w:rPr>
        <w:t>费</w:t>
      </w:r>
      <w:r>
        <w:rPr>
          <w:rFonts w:hint="eastAsia"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rPr>
        <w:t>万元。</w:t>
      </w:r>
    </w:p>
    <w:p>
      <w:pPr>
        <w:keepNext w:val="0"/>
        <w:keepLines w:val="0"/>
        <w:pageBreakBefore w:val="0"/>
        <w:widowControl w:val="0"/>
        <w:kinsoku/>
        <w:wordWrap/>
        <w:overflowPunct/>
        <w:bidi w:val="0"/>
        <w:snapToGrid/>
        <w:spacing w:line="600" w:lineRule="exact"/>
        <w:ind w:firstLine="640" w:firstLineChars="200"/>
        <w:jc w:val="both"/>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5.经济效益指标：结合企业的定位与分类，进一步优化区属国有企业经营目标分类考核体系，</w:t>
      </w:r>
      <w:r>
        <w:rPr>
          <w:rFonts w:eastAsia="仿宋_GB2312"/>
          <w:sz w:val="32"/>
          <w:szCs w:val="32"/>
          <w:highlight w:val="none"/>
        </w:rPr>
        <w:t>根据《盘龙区区属国有企业2018年绩效目标分类考核管理办法》（盘国资〔2018〕136号）</w:t>
      </w:r>
      <w:r>
        <w:rPr>
          <w:rFonts w:hint="eastAsia" w:eastAsia="仿宋_GB2312"/>
          <w:sz w:val="32"/>
          <w:szCs w:val="32"/>
          <w:highlight w:val="none"/>
          <w:lang w:eastAsia="zh-CN"/>
        </w:rPr>
        <w:t>，</w:t>
      </w:r>
      <w:r>
        <w:rPr>
          <w:rFonts w:hint="eastAsia" w:eastAsia="仿宋_GB2312"/>
          <w:sz w:val="32"/>
          <w:szCs w:val="32"/>
          <w:highlight w:val="none"/>
        </w:rPr>
        <w:t>坚持分类考核</w:t>
      </w:r>
      <w:r>
        <w:rPr>
          <w:rFonts w:hint="eastAsia" w:eastAsia="仿宋_GB2312"/>
          <w:sz w:val="32"/>
          <w:szCs w:val="32"/>
          <w:highlight w:val="none"/>
          <w:lang w:eastAsia="zh-CN"/>
        </w:rPr>
        <w:t>，</w:t>
      </w:r>
      <w:r>
        <w:rPr>
          <w:rFonts w:eastAsia="仿宋_GB2312"/>
          <w:sz w:val="32"/>
          <w:szCs w:val="32"/>
          <w:highlight w:val="none"/>
        </w:rPr>
        <w:t>将企业分为了商业类企业、公益类企业进行考核。</w:t>
      </w:r>
      <w:r>
        <w:rPr>
          <w:rFonts w:hint="eastAsia" w:eastAsia="仿宋_GB2312"/>
          <w:sz w:val="32"/>
          <w:szCs w:val="32"/>
          <w:highlight w:val="none"/>
        </w:rPr>
        <w:t>企业绩效目标考核内容包括经营业绩考核和综合评价,</w:t>
      </w:r>
      <w:r>
        <w:rPr>
          <w:rFonts w:hint="default" w:ascii="Times New Roman" w:hAnsi="Times New Roman" w:eastAsia="仿宋_GB2312" w:cs="Times New Roman"/>
          <w:sz w:val="32"/>
          <w:szCs w:val="32"/>
          <w:highlight w:val="none"/>
          <w:lang w:val="zh-CN"/>
        </w:rPr>
        <w:t>完成对区属各国有企业</w:t>
      </w:r>
      <w:r>
        <w:rPr>
          <w:rFonts w:hint="default" w:ascii="Times New Roman" w:hAnsi="Times New Roman" w:eastAsia="仿宋_GB2312" w:cs="Times New Roman"/>
          <w:sz w:val="32"/>
          <w:szCs w:val="32"/>
          <w:highlight w:val="none"/>
          <w:lang w:val="en-US" w:eastAsia="zh-CN"/>
        </w:rPr>
        <w:t>2019年度绩效目标分类考核及企业负责人年度考核工作，</w:t>
      </w:r>
      <w:r>
        <w:rPr>
          <w:rFonts w:hint="eastAsia" w:ascii="Times New Roman" w:hAnsi="Times New Roman" w:eastAsia="仿宋_GB2312" w:cs="Times New Roman"/>
          <w:sz w:val="32"/>
          <w:szCs w:val="32"/>
          <w:highlight w:val="none"/>
          <w:lang w:val="en-US" w:eastAsia="zh-CN"/>
        </w:rPr>
        <w:t>各区属国有企业实现国有资产保值增值，同时</w:t>
      </w:r>
      <w:r>
        <w:rPr>
          <w:rFonts w:hint="eastAsia" w:eastAsia="仿宋_GB2312"/>
          <w:sz w:val="32"/>
          <w:szCs w:val="32"/>
          <w:highlight w:val="none"/>
        </w:rPr>
        <w:t>结合办法</w:t>
      </w:r>
      <w:r>
        <w:rPr>
          <w:rFonts w:hint="eastAsia" w:ascii="Times New Roman" w:hAnsi="Times New Roman" w:eastAsia="仿宋_GB2312" w:cs="Times New Roman"/>
          <w:color w:val="000000"/>
          <w:kern w:val="2"/>
          <w:sz w:val="32"/>
          <w:szCs w:val="32"/>
          <w:highlight w:val="none"/>
          <w:lang w:val="zh-CN" w:eastAsia="zh-CN" w:bidi="ar"/>
        </w:rPr>
        <w:t>配合区国资委</w:t>
      </w:r>
      <w:r>
        <w:rPr>
          <w:rFonts w:hint="eastAsia" w:eastAsia="仿宋_GB2312"/>
          <w:sz w:val="32"/>
          <w:szCs w:val="32"/>
          <w:highlight w:val="none"/>
        </w:rPr>
        <w:t>完善2020年指标</w:t>
      </w:r>
      <w:r>
        <w:rPr>
          <w:rFonts w:hint="eastAsia" w:eastAsia="仿宋_GB2312"/>
          <w:sz w:val="32"/>
          <w:szCs w:val="32"/>
          <w:highlight w:val="none"/>
          <w:lang w:eastAsia="zh-CN"/>
        </w:rPr>
        <w:t>，</w:t>
      </w:r>
      <w:r>
        <w:rPr>
          <w:rFonts w:hint="default" w:ascii="Times New Roman" w:hAnsi="Times New Roman" w:eastAsia="仿宋_GB2312" w:cs="Times New Roman"/>
          <w:kern w:val="0"/>
          <w:sz w:val="32"/>
          <w:szCs w:val="32"/>
          <w:highlight w:val="none"/>
        </w:rPr>
        <w:t>进一步加强区属国有企业社会责任</w:t>
      </w:r>
      <w:r>
        <w:rPr>
          <w:rFonts w:hint="eastAsia" w:ascii="Times New Roman" w:hAnsi="Times New Roman" w:eastAsia="仿宋_GB2312" w:cs="Times New Roman"/>
          <w:kern w:val="0"/>
          <w:sz w:val="32"/>
          <w:szCs w:val="32"/>
          <w:highlight w:val="none"/>
          <w:lang w:eastAsia="zh-CN"/>
        </w:rPr>
        <w:t>，促</w:t>
      </w:r>
      <w:r>
        <w:rPr>
          <w:rFonts w:hint="default" w:ascii="Times New Roman" w:hAnsi="Times New Roman" w:eastAsia="仿宋_GB2312" w:cs="Times New Roman"/>
          <w:kern w:val="0"/>
          <w:sz w:val="32"/>
          <w:szCs w:val="32"/>
          <w:highlight w:val="none"/>
        </w:rPr>
        <w:t>经济效益和社会效益的平衡</w:t>
      </w:r>
      <w:r>
        <w:rPr>
          <w:rFonts w:hint="eastAsia" w:ascii="Times New Roman" w:hAnsi="Times New Roman" w:eastAsia="仿宋_GB2312" w:cs="Times New Roman"/>
          <w:kern w:val="0"/>
          <w:sz w:val="32"/>
          <w:szCs w:val="32"/>
          <w:highlight w:val="none"/>
          <w:lang w:eastAsia="zh-CN"/>
        </w:rPr>
        <w:t>。</w:t>
      </w:r>
    </w:p>
    <w:p>
      <w:pPr>
        <w:keepNext w:val="0"/>
        <w:keepLines w:val="0"/>
        <w:pageBreakBefore w:val="0"/>
        <w:widowControl w:val="0"/>
        <w:kinsoku/>
        <w:wordWrap/>
        <w:overflowPunct/>
        <w:topLinePunct/>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6.社会效益指标：通过购买服务，</w:t>
      </w:r>
      <w:r>
        <w:rPr>
          <w:rFonts w:hint="default" w:ascii="Times New Roman" w:hAnsi="Times New Roman" w:eastAsia="仿宋_GB2312" w:cs="Times New Roman"/>
          <w:sz w:val="32"/>
          <w:szCs w:val="32"/>
          <w:highlight w:val="none"/>
          <w:lang w:eastAsia="zh-CN"/>
        </w:rPr>
        <w:t>协助区国资委</w:t>
      </w:r>
      <w:r>
        <w:rPr>
          <w:rFonts w:hint="eastAsia" w:ascii="Times New Roman" w:hAnsi="Times New Roman" w:eastAsia="仿宋_GB2312" w:cs="Times New Roman"/>
          <w:sz w:val="32"/>
          <w:szCs w:val="32"/>
          <w:highlight w:val="none"/>
          <w:lang w:eastAsia="zh-CN"/>
        </w:rPr>
        <w:t>有序推进国有企业改革，</w:t>
      </w:r>
      <w:r>
        <w:rPr>
          <w:rFonts w:hint="default" w:ascii="Times New Roman" w:hAnsi="Times New Roman" w:eastAsia="仿宋_GB2312" w:cs="Times New Roman"/>
          <w:sz w:val="32"/>
          <w:szCs w:val="32"/>
          <w:highlight w:val="none"/>
        </w:rPr>
        <w:t>加强对区属国有企业的监管，有利于转变企业发展方式，提升服务、增强可持续发展能力和市场竞争力。</w:t>
      </w:r>
    </w:p>
    <w:p>
      <w:pPr>
        <w:keepNext w:val="0"/>
        <w:keepLines w:val="0"/>
        <w:pageBreakBefore w:val="0"/>
        <w:widowControl w:val="0"/>
        <w:kinsoku/>
        <w:wordWrap/>
        <w:overflowPunct/>
        <w:autoSpaceDE w:val="0"/>
        <w:autoSpaceDN w:val="0"/>
        <w:bidi w:val="0"/>
        <w:adjustRightInd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7.可持续影响指标：对盘龙区国有企业规范管理，</w:t>
      </w:r>
      <w:r>
        <w:rPr>
          <w:rFonts w:hint="eastAsia" w:ascii="Times New Roman" w:hAnsi="Times New Roman" w:eastAsia="仿宋_GB2312" w:cs="Times New Roman"/>
          <w:sz w:val="32"/>
          <w:szCs w:val="32"/>
          <w:highlight w:val="none"/>
          <w:lang w:eastAsia="zh-CN"/>
        </w:rPr>
        <w:t>推进国有企业改革，</w:t>
      </w:r>
      <w:r>
        <w:rPr>
          <w:rFonts w:hint="default" w:ascii="Times New Roman" w:hAnsi="Times New Roman" w:eastAsia="仿宋_GB2312" w:cs="Times New Roman"/>
          <w:sz w:val="32"/>
          <w:szCs w:val="32"/>
          <w:highlight w:val="none"/>
        </w:rPr>
        <w:t>促进区属国有企业健康、可持续发展，促进国有资产的保值增值，</w:t>
      </w:r>
      <w:r>
        <w:rPr>
          <w:rFonts w:hint="default" w:ascii="Times New Roman" w:hAnsi="Times New Roman" w:eastAsia="仿宋_GB2312" w:cs="Times New Roman"/>
          <w:sz w:val="32"/>
          <w:szCs w:val="32"/>
          <w:highlight w:val="none"/>
          <w:lang w:eastAsia="zh-CN"/>
        </w:rPr>
        <w:t>做优做强区属国有企业</w:t>
      </w:r>
      <w:r>
        <w:rPr>
          <w:rFonts w:hint="default" w:ascii="Times New Roman" w:hAnsi="Times New Roman" w:eastAsia="仿宋_GB2312" w:cs="Times New Roman"/>
          <w:sz w:val="32"/>
          <w:szCs w:val="32"/>
          <w:highlight w:val="none"/>
        </w:rPr>
        <w:t>。</w:t>
      </w:r>
    </w:p>
    <w:p>
      <w:pPr>
        <w:keepNext w:val="0"/>
        <w:keepLines w:val="0"/>
        <w:pageBreakBefore w:val="0"/>
        <w:widowControl w:val="0"/>
        <w:suppressLineNumbers w:val="0"/>
        <w:kinsoku/>
        <w:wordWrap/>
        <w:overflowPunct/>
        <w:bidi w:val="0"/>
        <w:snapToGrid/>
        <w:spacing w:before="0" w:beforeAutospacing="0" w:after="0" w:afterAutospacing="0" w:line="600" w:lineRule="exact"/>
        <w:ind w:right="0" w:firstLine="640" w:firstLineChars="200"/>
        <w:jc w:val="both"/>
        <w:textAlignment w:val="auto"/>
        <w:rPr>
          <w:rFonts w:hint="default" w:ascii="Times New Roman" w:hAnsi="Times New Roman" w:eastAsia="仿宋_GB2312" w:cs="Times New Roman"/>
          <w:kern w:val="2"/>
          <w:sz w:val="32"/>
          <w:szCs w:val="32"/>
          <w:highlight w:val="none"/>
          <w:lang w:val="en-US"/>
        </w:rPr>
      </w:pPr>
      <w:r>
        <w:rPr>
          <w:rFonts w:hint="default" w:ascii="Times New Roman" w:hAnsi="Times New Roman" w:eastAsia="仿宋_GB2312" w:cs="Times New Roman"/>
          <w:sz w:val="32"/>
          <w:szCs w:val="32"/>
          <w:highlight w:val="none"/>
        </w:rPr>
        <w:t>8.满意度指标: 根据双方签订的《盘龙区政府向社会力量购买服务项目合同》</w:t>
      </w:r>
      <w:r>
        <w:rPr>
          <w:rFonts w:hint="eastAsia" w:ascii="Times New Roman" w:hAnsi="Times New Roman" w:eastAsia="仿宋_GB2312" w:cs="Times New Roman"/>
          <w:sz w:val="32"/>
          <w:szCs w:val="32"/>
          <w:highlight w:val="none"/>
          <w:lang w:eastAsia="zh-CN"/>
        </w:rPr>
        <w:t>较好的完成购买</w:t>
      </w:r>
      <w:r>
        <w:rPr>
          <w:rFonts w:hint="default" w:ascii="Times New Roman" w:hAnsi="Times New Roman" w:eastAsia="仿宋_GB2312" w:cs="Times New Roman"/>
          <w:sz w:val="32"/>
          <w:szCs w:val="32"/>
          <w:highlight w:val="none"/>
        </w:rPr>
        <w:t>服务项目</w:t>
      </w:r>
      <w:r>
        <w:rPr>
          <w:rFonts w:hint="eastAsia"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三</w:t>
      </w:r>
      <w:r>
        <w:rPr>
          <w:rFonts w:hint="default" w:ascii="Times New Roman" w:hAnsi="Times New Roman" w:eastAsia="黑体" w:cs="Times New Roman"/>
          <w:sz w:val="32"/>
          <w:szCs w:val="32"/>
          <w:highlight w:val="none"/>
        </w:rPr>
        <w:t>、绩效评价工作情况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Cs w:val="32"/>
          <w:highlight w:val="none"/>
        </w:rPr>
      </w:pPr>
      <w:r>
        <w:rPr>
          <w:rFonts w:hint="default" w:ascii="Times New Roman" w:hAnsi="Times New Roman" w:eastAsia="仿宋_GB2312" w:cs="Times New Roman"/>
          <w:sz w:val="32"/>
          <w:szCs w:val="32"/>
          <w:highlight w:val="none"/>
        </w:rPr>
        <w:t>在区国管公司按时按质完成的工作的前提下全面了解项目管理过程是否规范、产出目标是否完成以及效果目标是否实现等方面的内容，总结经验，查找不足，为以后年度的开展提供可行性参考建议。在此基础上，重点分析项目预算编制的合理性、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楷体_GB2312" w:hAnsi="楷体_GB2312" w:eastAsia="楷体_GB2312" w:cs="楷体_GB2312"/>
          <w:sz w:val="32"/>
          <w:szCs w:val="32"/>
          <w:highlight w:val="none"/>
        </w:rPr>
      </w:pPr>
      <w:r>
        <w:rPr>
          <w:rFonts w:hint="default" w:ascii="楷体_GB2312" w:hAnsi="楷体_GB2312" w:eastAsia="楷体_GB2312" w:cs="楷体_GB2312"/>
          <w:sz w:val="32"/>
          <w:szCs w:val="32"/>
          <w:highlight w:val="none"/>
        </w:rPr>
        <w:t>（二）绩效评价工作方案制定过程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eastAsia="zh-CN"/>
        </w:rPr>
        <w:t>根据双方</w:t>
      </w:r>
      <w:r>
        <w:rPr>
          <w:rFonts w:hint="default" w:ascii="Times New Roman" w:hAnsi="Times New Roman" w:eastAsia="仿宋_GB2312" w:cs="Times New Roman"/>
          <w:sz w:val="32"/>
          <w:szCs w:val="32"/>
          <w:highlight w:val="none"/>
        </w:rPr>
        <w:t>签订的《盘龙区政府向社会力量购买服务项目合同》中的项目对</w:t>
      </w:r>
      <w:r>
        <w:rPr>
          <w:rFonts w:hint="eastAsia" w:ascii="Times New Roman" w:hAnsi="Times New Roman" w:eastAsia="仿宋_GB2312" w:cs="Times New Roman"/>
          <w:sz w:val="32"/>
          <w:szCs w:val="32"/>
          <w:highlight w:val="none"/>
          <w:lang w:eastAsia="zh-CN"/>
        </w:rPr>
        <w:t>服务项目</w:t>
      </w:r>
      <w:r>
        <w:rPr>
          <w:rFonts w:hint="default" w:ascii="Times New Roman" w:hAnsi="Times New Roman" w:eastAsia="仿宋_GB2312" w:cs="Times New Roman"/>
          <w:sz w:val="32"/>
          <w:szCs w:val="32"/>
          <w:highlight w:val="none"/>
        </w:rPr>
        <w:t>实施管理情况、项目绩效表现情况、项目绩效与完成工作评价。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2.按照与区国管公司签订的《盘龙区政府向社会力量购买服务项目合同》合同金额支付购买区国管公司服务</w:t>
      </w:r>
      <w:r>
        <w:rPr>
          <w:rFonts w:hint="eastAsia" w:ascii="Times New Roman" w:hAnsi="Times New Roman" w:eastAsia="仿宋_GB2312" w:cs="Times New Roman"/>
          <w:sz w:val="32"/>
          <w:szCs w:val="32"/>
          <w:highlight w:val="none"/>
          <w:lang w:val="en-US" w:eastAsia="zh-CN"/>
        </w:rPr>
        <w:t>400</w:t>
      </w:r>
      <w:r>
        <w:rPr>
          <w:rFonts w:hint="default" w:ascii="Times New Roman" w:hAnsi="Times New Roman" w:eastAsia="仿宋_GB2312" w:cs="Times New Roman"/>
          <w:sz w:val="32"/>
          <w:szCs w:val="32"/>
          <w:highlight w:val="none"/>
        </w:rPr>
        <w:t>万元。</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楷体_GB2312" w:hAnsi="楷体_GB2312" w:eastAsia="楷体_GB2312" w:cs="楷体_GB2312"/>
          <w:sz w:val="32"/>
          <w:szCs w:val="32"/>
          <w:highlight w:val="none"/>
        </w:rPr>
      </w:pPr>
      <w:r>
        <w:rPr>
          <w:rFonts w:hint="default" w:ascii="楷体_GB2312" w:hAnsi="楷体_GB2312" w:eastAsia="楷体_GB2312" w:cs="楷体_GB2312"/>
          <w:sz w:val="32"/>
          <w:szCs w:val="32"/>
          <w:highlight w:val="none"/>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1.绩效评价原则。采取了科学规范、公开公正、绩效相关等原则。</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2.绩效评价方法。包括指标评价、数据采集中所采用的方法。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楷体_GB2312" w:hAnsi="楷体_GB2312" w:eastAsia="楷体_GB2312" w:cs="楷体_GB2312"/>
          <w:sz w:val="32"/>
          <w:szCs w:val="32"/>
          <w:highlight w:val="none"/>
        </w:rPr>
      </w:pPr>
      <w:r>
        <w:rPr>
          <w:rFonts w:hint="default" w:ascii="楷体_GB2312" w:hAnsi="楷体_GB2312" w:eastAsia="楷体_GB2312" w:cs="楷体_GB2312"/>
          <w:sz w:val="32"/>
          <w:szCs w:val="32"/>
          <w:highlight w:val="none"/>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1.按照项目进度制定年度预算。 </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2.确定评价对象。</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3.成立领导小组，确保项目工作的顺利开展。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为确实加强对项目工作的领导，确保实现项目预期工作目标，区国资</w:t>
      </w:r>
      <w:r>
        <w:rPr>
          <w:rFonts w:hint="default" w:ascii="Times New Roman" w:hAnsi="Times New Roman" w:eastAsia="仿宋_GB2312" w:cs="Times New Roman"/>
          <w:sz w:val="32"/>
          <w:szCs w:val="32"/>
          <w:highlight w:val="none"/>
          <w:lang w:eastAsia="zh-CN"/>
        </w:rPr>
        <w:t>委</w:t>
      </w:r>
      <w:r>
        <w:rPr>
          <w:rFonts w:hint="default" w:ascii="Times New Roman" w:hAnsi="Times New Roman" w:eastAsia="仿宋_GB2312" w:cs="Times New Roman"/>
          <w:sz w:val="32"/>
          <w:szCs w:val="32"/>
          <w:highlight w:val="none"/>
        </w:rPr>
        <w:t>成立了绩效考核领导小组，结合工作实际，对区国管公司完成的具体目标制定考核要求。</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4.加强监管，严格考核，促进项目工作按时按质完成。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w:t>
      </w:r>
      <w:r>
        <w:rPr>
          <w:rFonts w:hint="eastAsia" w:ascii="Times New Roman" w:hAnsi="Times New Roman" w:eastAsia="仿宋_GB2312" w:cs="Times New Roman"/>
          <w:sz w:val="32"/>
          <w:szCs w:val="32"/>
          <w:highlight w:val="none"/>
          <w:lang w:eastAsia="zh-CN"/>
        </w:rPr>
        <w:t>双方</w:t>
      </w:r>
      <w:r>
        <w:rPr>
          <w:rFonts w:hint="default" w:ascii="Times New Roman" w:hAnsi="Times New Roman" w:eastAsia="仿宋_GB2312" w:cs="Times New Roman"/>
          <w:sz w:val="32"/>
          <w:szCs w:val="32"/>
          <w:highlight w:val="none"/>
        </w:rPr>
        <w:t>签订的《盘龙区政府向社会力量购买服务项目合同》，对完成的具体目标制定考核绩效考核指标进行分解，认真对照考核评价项目内容，开展收集、整理相关资料，做工作总结，建立工作台账，做绩效评价的相关工作，进一步加强监管，把控质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5.撰写报告。</w:t>
      </w:r>
    </w:p>
    <w:p>
      <w:pPr>
        <w:keepNext w:val="0"/>
        <w:keepLines w:val="0"/>
        <w:pageBreakBefore w:val="0"/>
        <w:kinsoku/>
        <w:wordWrap/>
        <w:overflowPunct/>
        <w:topLinePunct/>
        <w:autoSpaceDE/>
        <w:autoSpaceDN/>
        <w:bidi w:val="0"/>
        <w:snapToGrid/>
        <w:spacing w:line="600" w:lineRule="exact"/>
        <w:ind w:firstLine="640" w:firstLineChars="200"/>
        <w:jc w:val="both"/>
        <w:textAlignment w:val="auto"/>
        <w:rPr>
          <w:rFonts w:hint="default" w:ascii="Times New Roman" w:hAnsi="Times New Roman" w:eastAsia="黑体" w:cs="Times New Roman"/>
          <w:color w:val="000000"/>
          <w:sz w:val="32"/>
          <w:szCs w:val="32"/>
          <w:highlight w:val="none"/>
        </w:rPr>
      </w:pPr>
      <w:r>
        <w:rPr>
          <w:rFonts w:hint="eastAsia" w:ascii="Times New Roman" w:hAnsi="Times New Roman" w:eastAsia="黑体" w:cs="Times New Roman"/>
          <w:color w:val="000000"/>
          <w:sz w:val="32"/>
          <w:szCs w:val="32"/>
          <w:highlight w:val="none"/>
          <w:lang w:eastAsia="zh-CN"/>
        </w:rPr>
        <w:t>四</w:t>
      </w:r>
      <w:r>
        <w:rPr>
          <w:rFonts w:hint="default" w:ascii="Times New Roman" w:hAnsi="Times New Roman" w:eastAsia="黑体" w:cs="Times New Roman"/>
          <w:color w:val="000000"/>
          <w:sz w:val="32"/>
          <w:szCs w:val="32"/>
          <w:highlight w:val="none"/>
        </w:rPr>
        <w:t>、评价结论和绩效分析</w:t>
      </w:r>
    </w:p>
    <w:p>
      <w:pPr>
        <w:keepNext w:val="0"/>
        <w:keepLines w:val="0"/>
        <w:pageBreakBefore w:val="0"/>
        <w:kinsoku/>
        <w:wordWrap/>
        <w:overflowPunct/>
        <w:topLinePunct/>
        <w:autoSpaceDE/>
        <w:autoSpaceDN/>
        <w:bidi w:val="0"/>
        <w:snapToGrid/>
        <w:spacing w:line="600" w:lineRule="exact"/>
        <w:ind w:firstLine="640" w:firstLineChars="200"/>
        <w:jc w:val="both"/>
        <w:textAlignment w:val="auto"/>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（一）评价结论</w:t>
      </w:r>
    </w:p>
    <w:p>
      <w:pPr>
        <w:keepNext w:val="0"/>
        <w:keepLines w:val="0"/>
        <w:pageBreakBefore w:val="0"/>
        <w:kinsoku/>
        <w:wordWrap/>
        <w:overflowPunct/>
        <w:topLinePunct/>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评价结果：根据项目支出绩效评价指标体系框架评价得分为9</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.3分。</w:t>
      </w:r>
    </w:p>
    <w:p>
      <w:pPr>
        <w:keepNext w:val="0"/>
        <w:keepLines w:val="0"/>
        <w:pageBreakBefore w:val="0"/>
        <w:kinsoku/>
        <w:wordWrap/>
        <w:overflowPunct/>
        <w:topLinePunct/>
        <w:autoSpaceDE/>
        <w:autoSpaceDN/>
        <w:bidi w:val="0"/>
        <w:snapToGrid/>
        <w:spacing w:line="600" w:lineRule="exact"/>
        <w:ind w:firstLine="640" w:firstLineChars="200"/>
        <w:jc w:val="both"/>
        <w:textAlignment w:val="auto"/>
        <w:rPr>
          <w:rFonts w:hint="default" w:ascii="楷体_GB2312" w:hAnsi="楷体_GB2312" w:eastAsia="楷体_GB2312" w:cs="楷体_GB2312"/>
          <w:sz w:val="32"/>
          <w:szCs w:val="32"/>
          <w:highlight w:val="none"/>
        </w:rPr>
      </w:pPr>
      <w:r>
        <w:rPr>
          <w:rFonts w:hint="default" w:ascii="楷体_GB2312" w:hAnsi="楷体_GB2312" w:eastAsia="楷体_GB2312" w:cs="楷体_GB2312"/>
          <w:sz w:val="32"/>
          <w:szCs w:val="32"/>
          <w:highlight w:val="none"/>
        </w:rPr>
        <w:t>（二）具体绩效分析</w:t>
      </w:r>
    </w:p>
    <w:p>
      <w:pPr>
        <w:keepNext w:val="0"/>
        <w:keepLines w:val="0"/>
        <w:pageBreakBefore w:val="0"/>
        <w:kinsoku/>
        <w:wordWrap/>
        <w:overflowPunct/>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1.工作完成情况</w:t>
      </w:r>
    </w:p>
    <w:p>
      <w:pPr>
        <w:keepNext w:val="0"/>
        <w:keepLines w:val="0"/>
        <w:pageBreakBefore w:val="0"/>
        <w:kinsoku/>
        <w:wordWrap/>
        <w:overflowPunct/>
        <w:autoSpaceDE/>
        <w:autoSpaceDN/>
        <w:bidi w:val="0"/>
        <w:snapToGrid/>
        <w:spacing w:line="60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sz w:val="32"/>
          <w:szCs w:val="32"/>
          <w:highlight w:val="none"/>
        </w:rPr>
        <w:t>根据《昆明市盘龙区关于全面深化区属国有企业改革实施意见》（盘通〔2017〕14号）精神，区国资</w:t>
      </w:r>
      <w:r>
        <w:rPr>
          <w:rFonts w:hint="default" w:ascii="Times New Roman" w:hAnsi="Times New Roman" w:eastAsia="仿宋_GB2312" w:cs="Times New Roman"/>
          <w:sz w:val="32"/>
          <w:szCs w:val="32"/>
          <w:highlight w:val="none"/>
          <w:lang w:eastAsia="zh-CN"/>
        </w:rPr>
        <w:t>委</w:t>
      </w:r>
      <w:r>
        <w:rPr>
          <w:rFonts w:hint="default" w:ascii="Times New Roman" w:hAnsi="Times New Roman" w:eastAsia="仿宋_GB2312" w:cs="Times New Roman"/>
          <w:sz w:val="32"/>
          <w:szCs w:val="32"/>
          <w:highlight w:val="none"/>
        </w:rPr>
        <w:t>与区国管公司签订的《盘龙区政府向社会力量购买服务项目合同》，区国管公司</w:t>
      </w:r>
      <w:r>
        <w:rPr>
          <w:rFonts w:hint="default" w:ascii="Times New Roman" w:hAnsi="Times New Roman" w:eastAsia="仿宋_GB2312" w:cs="Times New Roman"/>
          <w:color w:val="000000"/>
          <w:sz w:val="32"/>
          <w:szCs w:val="32"/>
          <w:highlight w:val="none"/>
        </w:rPr>
        <w:t>在区委、区政府、区国资</w:t>
      </w:r>
      <w:r>
        <w:rPr>
          <w:rFonts w:hint="default" w:ascii="Times New Roman" w:hAnsi="Times New Roman" w:eastAsia="仿宋_GB2312" w:cs="Times New Roman"/>
          <w:color w:val="000000"/>
          <w:sz w:val="32"/>
          <w:szCs w:val="32"/>
          <w:highlight w:val="none"/>
          <w:lang w:eastAsia="zh-CN"/>
        </w:rPr>
        <w:t>委</w:t>
      </w:r>
      <w:r>
        <w:rPr>
          <w:rFonts w:hint="default" w:ascii="Times New Roman" w:hAnsi="Times New Roman" w:eastAsia="仿宋_GB2312" w:cs="Times New Roman"/>
          <w:color w:val="000000"/>
          <w:sz w:val="32"/>
          <w:szCs w:val="32"/>
          <w:highlight w:val="none"/>
        </w:rPr>
        <w:t>的领导下</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认真学习相关文件精神，紧扣区委、区政府、区国资</w:t>
      </w:r>
      <w:r>
        <w:rPr>
          <w:rFonts w:hint="default" w:ascii="Times New Roman" w:hAnsi="Times New Roman" w:eastAsia="仿宋_GB2312" w:cs="Times New Roman"/>
          <w:color w:val="000000"/>
          <w:sz w:val="32"/>
          <w:szCs w:val="32"/>
          <w:highlight w:val="none"/>
          <w:lang w:eastAsia="zh-CN"/>
        </w:rPr>
        <w:t>委</w:t>
      </w:r>
      <w:r>
        <w:rPr>
          <w:rFonts w:hint="default" w:ascii="Times New Roman" w:hAnsi="Times New Roman" w:eastAsia="仿宋_GB2312" w:cs="Times New Roman"/>
          <w:color w:val="000000"/>
          <w:sz w:val="32"/>
          <w:szCs w:val="32"/>
          <w:highlight w:val="none"/>
        </w:rPr>
        <w:t>的工作重心工作部署和要求</w:t>
      </w:r>
      <w:r>
        <w:rPr>
          <w:rFonts w:hint="eastAsia"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确定目标任务，较好的完成了以下工作，具体如下：</w:t>
      </w:r>
    </w:p>
    <w:p>
      <w:pPr>
        <w:keepNext w:val="0"/>
        <w:keepLines w:val="0"/>
        <w:pageBreakBefore w:val="0"/>
        <w:numPr>
          <w:ilvl w:val="0"/>
          <w:numId w:val="0"/>
        </w:numPr>
        <w:kinsoku/>
        <w:wordWrap/>
        <w:overflowPunct/>
        <w:autoSpaceDE/>
        <w:autoSpaceDN/>
        <w:bidi w:val="0"/>
        <w:spacing w:beforeLines="0" w:afterLines="0" w:line="600" w:lineRule="exact"/>
        <w:ind w:firstLine="640" w:firstLineChars="200"/>
        <w:jc w:val="left"/>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（1）经营目标考核</w:t>
      </w:r>
    </w:p>
    <w:p>
      <w:pPr>
        <w:keepNext w:val="0"/>
        <w:keepLines w:val="0"/>
        <w:pageBreakBefore w:val="0"/>
        <w:kinsoku/>
        <w:wordWrap/>
        <w:overflowPunct/>
        <w:autoSpaceDE/>
        <w:autoSpaceDN/>
        <w:bidi w:val="0"/>
        <w:spacing w:line="600" w:lineRule="exact"/>
        <w:ind w:firstLine="640" w:firstLineChars="200"/>
        <w:jc w:val="both"/>
        <w:textAlignment w:val="auto"/>
        <w:rPr>
          <w:rFonts w:hint="default" w:ascii="Times New Roman" w:hAnsi="Times New Roman" w:eastAsia="仿宋_GB2312" w:cs="Times New Roman"/>
          <w:sz w:val="32"/>
          <w:szCs w:val="32"/>
          <w:highlight w:val="none"/>
          <w:lang w:val="en-US"/>
        </w:rPr>
      </w:pPr>
      <w:r>
        <w:rPr>
          <w:rFonts w:hint="eastAsia" w:eastAsia="仿宋_GB2312"/>
          <w:sz w:val="32"/>
          <w:szCs w:val="32"/>
          <w:lang w:eastAsia="zh-CN"/>
        </w:rPr>
        <w:t>为</w:t>
      </w:r>
      <w:r>
        <w:rPr>
          <w:rFonts w:eastAsia="仿宋_GB2312"/>
          <w:sz w:val="32"/>
          <w:szCs w:val="32"/>
        </w:rPr>
        <w:t>促进考核作用的发挥，建立以绩效目标为核心的激励约束机制，落实国有资产保值增值责任，</w:t>
      </w:r>
      <w:r>
        <w:rPr>
          <w:rFonts w:hint="eastAsia" w:ascii="Times New Roman" w:hAnsi="Times New Roman" w:eastAsia="仿宋_GB2312" w:cs="Times New Roman"/>
          <w:sz w:val="32"/>
          <w:szCs w:val="32"/>
          <w:highlight w:val="none"/>
          <w:lang w:val="zh-CN"/>
        </w:rPr>
        <w:t>按</w:t>
      </w:r>
      <w:r>
        <w:rPr>
          <w:rFonts w:hint="default" w:ascii="Times New Roman" w:hAnsi="Times New Roman" w:eastAsia="仿宋_GB2312" w:cs="Times New Roman"/>
          <w:sz w:val="32"/>
          <w:szCs w:val="32"/>
          <w:highlight w:val="none"/>
          <w:lang w:val="zh-CN"/>
        </w:rPr>
        <w:t>照要求</w:t>
      </w:r>
      <w:r>
        <w:rPr>
          <w:rFonts w:hint="default" w:ascii="Times New Roman" w:hAnsi="Times New Roman" w:eastAsia="仿宋_GB2312" w:cs="Times New Roman"/>
          <w:color w:val="000000"/>
          <w:kern w:val="2"/>
          <w:sz w:val="32"/>
          <w:szCs w:val="32"/>
          <w:highlight w:val="none"/>
          <w:lang w:val="zh-CN" w:eastAsia="zh-CN" w:bidi="ar"/>
        </w:rPr>
        <w:t>积极</w:t>
      </w:r>
      <w:r>
        <w:rPr>
          <w:rFonts w:hint="eastAsia" w:ascii="Times New Roman" w:hAnsi="Times New Roman" w:eastAsia="仿宋_GB2312" w:cs="Times New Roman"/>
          <w:color w:val="000000"/>
          <w:kern w:val="2"/>
          <w:sz w:val="32"/>
          <w:szCs w:val="32"/>
          <w:highlight w:val="none"/>
          <w:lang w:val="zh-CN" w:eastAsia="zh-CN" w:bidi="ar"/>
        </w:rPr>
        <w:t>配合国资委</w:t>
      </w:r>
      <w:r>
        <w:rPr>
          <w:rFonts w:hint="default" w:ascii="Times New Roman" w:hAnsi="Times New Roman" w:eastAsia="仿宋_GB2312" w:cs="Times New Roman"/>
          <w:sz w:val="32"/>
          <w:szCs w:val="32"/>
          <w:highlight w:val="none"/>
          <w:lang w:val="zh-CN"/>
        </w:rPr>
        <w:t>完成对区属各国有企业</w:t>
      </w:r>
      <w:r>
        <w:rPr>
          <w:rFonts w:hint="default" w:ascii="Times New Roman" w:hAnsi="Times New Roman" w:eastAsia="仿宋_GB2312" w:cs="Times New Roman"/>
          <w:sz w:val="32"/>
          <w:szCs w:val="32"/>
          <w:highlight w:val="none"/>
          <w:lang w:val="en-US" w:eastAsia="zh-CN"/>
        </w:rPr>
        <w:t>2019年度绩效目标分类考核及企业负责人年度考核工作，</w:t>
      </w:r>
      <w:r>
        <w:rPr>
          <w:rFonts w:hint="eastAsia" w:ascii="Times New Roman" w:hAnsi="Times New Roman" w:eastAsia="仿宋_GB2312" w:cs="Times New Roman"/>
          <w:sz w:val="32"/>
          <w:szCs w:val="32"/>
          <w:highlight w:val="none"/>
          <w:lang w:val="en-US" w:eastAsia="zh-CN"/>
        </w:rPr>
        <w:t>各区属国有企业实现国有资产保值增值，</w:t>
      </w:r>
      <w:r>
        <w:rPr>
          <w:rFonts w:hint="default" w:ascii="Times New Roman" w:hAnsi="Times New Roman" w:eastAsia="仿宋_GB2312" w:cs="Times New Roman"/>
          <w:sz w:val="32"/>
          <w:szCs w:val="32"/>
          <w:highlight w:val="none"/>
          <w:lang w:val="en-US" w:eastAsia="zh-CN"/>
        </w:rPr>
        <w:t>经研究同意后完成了考核结果兑现</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同时完成与</w:t>
      </w:r>
      <w:r>
        <w:rPr>
          <w:rFonts w:hint="default" w:ascii="Times New Roman" w:hAnsi="Times New Roman" w:eastAsia="仿宋_GB2312" w:cs="Times New Roman"/>
          <w:sz w:val="32"/>
          <w:szCs w:val="32"/>
          <w:highlight w:val="none"/>
          <w:lang w:val="zh-CN"/>
        </w:rPr>
        <w:t>各国有企业</w:t>
      </w:r>
      <w:r>
        <w:rPr>
          <w:rFonts w:hint="default" w:ascii="Times New Roman" w:hAnsi="Times New Roman" w:eastAsia="仿宋_GB2312" w:cs="Times New Roman"/>
          <w:sz w:val="32"/>
          <w:szCs w:val="32"/>
          <w:highlight w:val="none"/>
          <w:lang w:val="en-US" w:eastAsia="zh-CN"/>
        </w:rPr>
        <w:t>2020年度绩效目标分类考核目标责任书签订</w:t>
      </w:r>
      <w:r>
        <w:rPr>
          <w:rFonts w:hint="eastAsia" w:ascii="Times New Roman" w:hAnsi="Times New Roman" w:eastAsia="仿宋_GB2312" w:cs="Times New Roman"/>
          <w:sz w:val="32"/>
          <w:szCs w:val="32"/>
          <w:highlight w:val="none"/>
          <w:lang w:val="en-US" w:eastAsia="zh-CN"/>
        </w:rPr>
        <w:t>。</w:t>
      </w:r>
    </w:p>
    <w:p>
      <w:pPr>
        <w:keepNext w:val="0"/>
        <w:keepLines w:val="0"/>
        <w:pageBreakBefore w:val="0"/>
        <w:numPr>
          <w:ilvl w:val="0"/>
          <w:numId w:val="0"/>
        </w:numPr>
        <w:kinsoku/>
        <w:wordWrap/>
        <w:overflowPunct/>
        <w:autoSpaceDE/>
        <w:autoSpaceDN/>
        <w:bidi w:val="0"/>
        <w:spacing w:beforeLines="0" w:afterLines="0" w:line="60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（2）国有资本经营预算管理</w:t>
      </w:r>
    </w:p>
    <w:p>
      <w:pPr>
        <w:keepNext w:val="0"/>
        <w:keepLines w:val="0"/>
        <w:pageBreakBefore w:val="0"/>
        <w:kinsoku/>
        <w:wordWrap/>
        <w:overflowPunct/>
        <w:autoSpaceDE/>
        <w:autoSpaceDN/>
        <w:bidi w:val="0"/>
        <w:spacing w:line="60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eastAsia="仿宋_GB2312"/>
          <w:sz w:val="32"/>
          <w:szCs w:val="32"/>
        </w:rPr>
        <w:t>根据《盘龙区区属国有企业国有资本收益收取管理暂行办法》，盘龙区本级从自2014年起实施区属国有资本经营预算，组织和监督区属国有企业上缴国有资本收益，并全额缴入区级国库。</w:t>
      </w:r>
      <w:r>
        <w:rPr>
          <w:rFonts w:hint="eastAsia" w:eastAsia="仿宋_GB2312"/>
          <w:sz w:val="32"/>
          <w:szCs w:val="32"/>
        </w:rPr>
        <w:t>2020年上缴2019年度区属国有企业国有资本收益205万元。</w:t>
      </w:r>
    </w:p>
    <w:p>
      <w:pPr>
        <w:keepNext w:val="0"/>
        <w:keepLines w:val="0"/>
        <w:pageBreakBefore w:val="0"/>
        <w:numPr>
          <w:ilvl w:val="0"/>
          <w:numId w:val="0"/>
        </w:numPr>
        <w:kinsoku/>
        <w:wordWrap/>
        <w:overflowPunct/>
        <w:autoSpaceDE/>
        <w:autoSpaceDN/>
        <w:bidi w:val="0"/>
        <w:spacing w:beforeLines="0" w:afterLines="0" w:line="60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开展全区经营性资产相关管理工作</w:t>
      </w:r>
    </w:p>
    <w:p>
      <w:pPr>
        <w:keepNext w:val="0"/>
        <w:keepLines w:val="0"/>
        <w:pageBreakBefore w:val="0"/>
        <w:numPr>
          <w:ilvl w:val="0"/>
          <w:numId w:val="0"/>
        </w:numPr>
        <w:kinsoku/>
        <w:wordWrap/>
        <w:overflowPunct/>
        <w:autoSpaceDE/>
        <w:autoSpaceDN/>
        <w:bidi w:val="0"/>
        <w:spacing w:beforeLines="0" w:afterLines="0" w:line="600" w:lineRule="exact"/>
        <w:ind w:firstLine="640" w:firstLineChars="200"/>
        <w:jc w:val="both"/>
        <w:textAlignment w:val="auto"/>
        <w:rPr>
          <w:rFonts w:hint="eastAsia" w:ascii="Times New Roman" w:hAnsi="Times New Roman" w:eastAsia="仿宋_GB2312" w:cs="Times New Roman"/>
          <w:sz w:val="32"/>
          <w:szCs w:val="32"/>
          <w:highlight w:val="none"/>
          <w:lang w:val="zh-CN" w:eastAsia="zh-CN"/>
        </w:rPr>
      </w:pPr>
      <w:r>
        <w:rPr>
          <w:rFonts w:hint="eastAsia" w:ascii="Times New Roman" w:hAnsi="Times New Roman" w:eastAsia="仿宋_GB2312" w:cs="Times New Roman"/>
          <w:sz w:val="32"/>
          <w:szCs w:val="32"/>
          <w:highlight w:val="none"/>
          <w:lang w:val="zh-CN" w:eastAsia="zh-CN"/>
        </w:rPr>
        <w:t>为支持企业有效应对疫情稳定经济增长，根据省、市相关要求，盘龙区2020年行政事业单位落实减免政策惠及租户60户，共计减免租金1028.85万元。其中：中小微企业29户，减免租金744.75万元；个体户31户，减免租金284.1万元。2020年，按照要求拟定《盘龙区行政事业单位经营性资产管理办法（试行）》（盘政办通〔2021〕15号），并于2021年正式施行。新办法进一步细化、完善了行政事业单位经营性国有资产的监督管理规定，加强了经营性国有资产管理，提高经营性国有资产运营效率，实现国有资产保值增值。2020年，落实租金减免政策后，行政事业单位经营性资产共实现非税收入202.14万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highlight w:val="none"/>
          <w:lang w:val="en-US" w:eastAsia="zh-CN"/>
        </w:rPr>
        <w:t>（4）安全生产、消防安全工作</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s="Calibri"/>
          <w:kern w:val="0"/>
          <w:sz w:val="32"/>
          <w:szCs w:val="32"/>
          <w:highlight w:val="none"/>
          <w:lang w:eastAsia="zh-CN"/>
        </w:rPr>
      </w:pPr>
      <w:r>
        <w:rPr>
          <w:rFonts w:hint="default" w:ascii="Times New Roman" w:hAnsi="Times New Roman" w:eastAsia="仿宋_GB2312" w:cs="Times New Roman"/>
          <w:sz w:val="32"/>
          <w:szCs w:val="32"/>
          <w:highlight w:val="none"/>
          <w:lang w:eastAsia="zh-CN"/>
        </w:rPr>
        <w:t>配合</w:t>
      </w:r>
      <w:r>
        <w:rPr>
          <w:rFonts w:hint="default" w:ascii="Times New Roman" w:hAnsi="Times New Roman" w:eastAsia="仿宋_GB2312" w:cs="Times New Roman"/>
          <w:sz w:val="32"/>
          <w:szCs w:val="32"/>
          <w:highlight w:val="none"/>
        </w:rPr>
        <w:t>区国资委组织各区属国有企业</w:t>
      </w:r>
      <w:r>
        <w:rPr>
          <w:rFonts w:ascii="Times New Roman" w:hAnsi="Times New Roman" w:eastAsia="仿宋_GB2312"/>
          <w:sz w:val="32"/>
          <w:szCs w:val="32"/>
          <w:highlight w:val="none"/>
        </w:rPr>
        <w:t>组织学习，定期召开专题会议。</w:t>
      </w:r>
      <w:r>
        <w:rPr>
          <w:rFonts w:ascii="Times New Roman" w:hAnsi="Times New Roman" w:eastAsia="仿宋_GB2312"/>
          <w:kern w:val="0"/>
          <w:sz w:val="32"/>
          <w:szCs w:val="32"/>
        </w:rPr>
        <w:t>定期组织</w:t>
      </w:r>
      <w:r>
        <w:rPr>
          <w:rFonts w:hint="eastAsia" w:ascii="Times New Roman" w:hAnsi="Times New Roman" w:eastAsia="仿宋_GB2312"/>
          <w:kern w:val="0"/>
          <w:sz w:val="32"/>
          <w:szCs w:val="32"/>
        </w:rPr>
        <w:t>会议，</w:t>
      </w:r>
      <w:r>
        <w:rPr>
          <w:rFonts w:ascii="Times New Roman" w:hAnsi="Times New Roman" w:eastAsia="仿宋_GB2312"/>
          <w:kern w:val="0"/>
          <w:sz w:val="32"/>
          <w:szCs w:val="32"/>
        </w:rPr>
        <w:t>学习</w:t>
      </w:r>
      <w:r>
        <w:rPr>
          <w:rFonts w:hint="eastAsia" w:ascii="Times New Roman" w:hAnsi="Times New Roman" w:eastAsia="仿宋_GB2312"/>
          <w:kern w:val="0"/>
          <w:sz w:val="32"/>
          <w:szCs w:val="32"/>
        </w:rPr>
        <w:t>传达</w:t>
      </w:r>
      <w:r>
        <w:rPr>
          <w:rFonts w:ascii="Times New Roman" w:hAnsi="Times New Roman" w:eastAsia="仿宋_GB2312"/>
          <w:kern w:val="0"/>
          <w:sz w:val="32"/>
          <w:szCs w:val="32"/>
        </w:rPr>
        <w:t>中央、省、市、区关于安全生产相关文件</w:t>
      </w:r>
      <w:r>
        <w:rPr>
          <w:rFonts w:hint="eastAsia" w:ascii="Times New Roman" w:hAnsi="Times New Roman" w:eastAsia="仿宋_GB2312"/>
          <w:kern w:val="0"/>
          <w:sz w:val="32"/>
          <w:szCs w:val="32"/>
        </w:rPr>
        <w:t>精神</w:t>
      </w:r>
      <w:r>
        <w:rPr>
          <w:rFonts w:ascii="Times New Roman" w:hAnsi="Times New Roman" w:eastAsia="仿宋_GB2312"/>
          <w:kern w:val="0"/>
          <w:sz w:val="32"/>
          <w:szCs w:val="32"/>
        </w:rPr>
        <w:t>，深入学习吸取安全生产重特大事故教训案例，推动国有企业党政领导干部及安全管理人员进一步强化红线意识和底线思维。做好日常检查及整改工作。</w:t>
      </w:r>
      <w:r>
        <w:rPr>
          <w:rFonts w:hint="eastAsia" w:ascii="Times New Roman" w:hAnsi="Times New Roman" w:eastAsia="仿宋_GB2312"/>
          <w:kern w:val="0"/>
          <w:sz w:val="32"/>
          <w:szCs w:val="32"/>
          <w:lang w:eastAsia="zh-CN"/>
        </w:rPr>
        <w:t>配合</w:t>
      </w:r>
      <w:r>
        <w:rPr>
          <w:rFonts w:hint="eastAsia" w:ascii="Times New Roman" w:hAnsi="Times New Roman" w:eastAsia="仿宋_GB2312"/>
          <w:sz w:val="32"/>
          <w:szCs w:val="32"/>
          <w:lang w:eastAsia="zh-CN"/>
        </w:rPr>
        <w:t>组织</w:t>
      </w:r>
      <w:r>
        <w:rPr>
          <w:rFonts w:ascii="Times New Roman" w:hAnsi="Times New Roman" w:eastAsia="仿宋_GB2312"/>
          <w:sz w:val="32"/>
          <w:szCs w:val="32"/>
        </w:rPr>
        <w:t>各企业</w:t>
      </w:r>
      <w:r>
        <w:rPr>
          <w:rFonts w:hint="eastAsia" w:ascii="Times New Roman" w:hAnsi="Times New Roman" w:eastAsia="仿宋_GB2312"/>
          <w:sz w:val="32"/>
          <w:szCs w:val="32"/>
          <w:lang w:eastAsia="zh-CN"/>
        </w:rPr>
        <w:t>开展</w:t>
      </w:r>
      <w:r>
        <w:rPr>
          <w:rFonts w:ascii="Times New Roman" w:hAnsi="Times New Roman" w:eastAsia="仿宋_GB2312"/>
          <w:sz w:val="32"/>
          <w:szCs w:val="32"/>
        </w:rPr>
        <w:t>日常</w:t>
      </w:r>
      <w:r>
        <w:rPr>
          <w:rFonts w:hint="eastAsia" w:ascii="Times New Roman" w:hAnsi="Times New Roman" w:eastAsia="仿宋_GB2312"/>
          <w:sz w:val="32"/>
          <w:szCs w:val="32"/>
        </w:rPr>
        <w:t>排查</w:t>
      </w:r>
      <w:r>
        <w:rPr>
          <w:rFonts w:hint="eastAsia" w:ascii="Times New Roman" w:hAnsi="Times New Roman" w:eastAsia="仿宋_GB2312"/>
          <w:sz w:val="32"/>
          <w:szCs w:val="32"/>
          <w:lang w:eastAsia="zh-CN"/>
        </w:rPr>
        <w:t>及</w:t>
      </w:r>
      <w:r>
        <w:rPr>
          <w:rFonts w:ascii="Times New Roman" w:hAnsi="Times New Roman" w:eastAsia="仿宋_GB2312"/>
          <w:sz w:val="32"/>
          <w:szCs w:val="32"/>
        </w:rPr>
        <w:t>定期</w:t>
      </w:r>
      <w:r>
        <w:rPr>
          <w:rFonts w:hint="eastAsia" w:ascii="Times New Roman" w:hAnsi="Times New Roman" w:eastAsia="仿宋_GB2312"/>
          <w:sz w:val="32"/>
          <w:szCs w:val="32"/>
        </w:rPr>
        <w:t>、</w:t>
      </w:r>
      <w:r>
        <w:rPr>
          <w:rFonts w:ascii="Times New Roman" w:hAnsi="Times New Roman" w:eastAsia="仿宋_GB2312"/>
          <w:sz w:val="32"/>
          <w:szCs w:val="32"/>
        </w:rPr>
        <w:t>不定期集中检查，做到定期安全隐患排查及集中整治。</w:t>
      </w:r>
      <w:r>
        <w:rPr>
          <w:rFonts w:ascii="Times New Roman" w:hAnsi="Times New Roman" w:eastAsia="仿宋_GB2312"/>
          <w:kern w:val="0"/>
          <w:sz w:val="32"/>
          <w:szCs w:val="32"/>
        </w:rPr>
        <w:t>各企业对发现的隐患或问题形成清单，</w:t>
      </w:r>
      <w:r>
        <w:rPr>
          <w:rFonts w:hint="eastAsia" w:ascii="Times New Roman" w:hAnsi="Times New Roman" w:eastAsia="仿宋_GB2312"/>
          <w:kern w:val="0"/>
          <w:sz w:val="32"/>
          <w:szCs w:val="32"/>
        </w:rPr>
        <w:t>逐步健全</w:t>
      </w:r>
      <w:r>
        <w:rPr>
          <w:rFonts w:ascii="Times New Roman" w:hAnsi="Times New Roman" w:eastAsia="仿宋_GB2312"/>
          <w:kern w:val="0"/>
          <w:sz w:val="32"/>
          <w:szCs w:val="32"/>
        </w:rPr>
        <w:t>完善台账，实行销号管理</w:t>
      </w:r>
      <w:r>
        <w:rPr>
          <w:rFonts w:hint="eastAsia" w:ascii="Times New Roman" w:hAnsi="Times New Roman" w:eastAsia="仿宋_GB2312"/>
          <w:kern w:val="0"/>
          <w:sz w:val="32"/>
          <w:szCs w:val="32"/>
          <w:lang w:eastAsia="zh-CN"/>
        </w:rPr>
        <w:t>，做好安全生产、消防安全工作，共同构建和</w:t>
      </w:r>
      <w:r>
        <w:rPr>
          <w:rFonts w:hint="eastAsia" w:eastAsia="仿宋_GB2312" w:cs="Calibri"/>
          <w:kern w:val="0"/>
          <w:sz w:val="32"/>
          <w:szCs w:val="32"/>
          <w:highlight w:val="none"/>
          <w:lang w:eastAsia="zh-CN"/>
        </w:rPr>
        <w:t>谐盘龙。</w:t>
      </w:r>
    </w:p>
    <w:p>
      <w:pPr>
        <w:keepNext w:val="0"/>
        <w:keepLines w:val="0"/>
        <w:pageBreakBefore w:val="0"/>
        <w:widowControl/>
        <w:numPr>
          <w:ilvl w:val="0"/>
          <w:numId w:val="0"/>
        </w:numPr>
        <w:kinsoku/>
        <w:wordWrap/>
        <w:overflowPunct/>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投融资服务</w:t>
      </w:r>
    </w:p>
    <w:p>
      <w:pPr>
        <w:keepNext w:val="0"/>
        <w:keepLines w:val="0"/>
        <w:pageBreakBefore w:val="0"/>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jc w:val="both"/>
        <w:textAlignment w:val="auto"/>
        <w:outlineLvl w:val="0"/>
        <w:rPr>
          <w:rFonts w:eastAsia="仿宋_GB2312"/>
          <w:bCs/>
          <w:sz w:val="32"/>
          <w:szCs w:val="32"/>
        </w:rPr>
      </w:pPr>
      <w:r>
        <w:rPr>
          <w:rFonts w:eastAsia="仿宋_GB2312"/>
          <w:sz w:val="32"/>
          <w:szCs w:val="32"/>
        </w:rPr>
        <w:t>为加强区属国有企业债务风险管控，出台《关于进一步防范化解区属国有企业债务风险的通知》，通过风险提示函，提示企业建立风险预警机制，健全内部控制体系，筑牢“防止国有资产流失”的底线</w:t>
      </w:r>
      <w:r>
        <w:rPr>
          <w:rFonts w:hint="eastAsia" w:eastAsia="仿宋_GB2312"/>
          <w:sz w:val="32"/>
          <w:szCs w:val="32"/>
          <w:lang w:eastAsia="zh-CN"/>
        </w:rPr>
        <w:t>，</w:t>
      </w:r>
      <w:r>
        <w:rPr>
          <w:rFonts w:eastAsia="仿宋_GB2312"/>
          <w:bCs/>
          <w:sz w:val="32"/>
          <w:szCs w:val="32"/>
        </w:rPr>
        <w:t>加强各类风险防控。</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jc w:val="both"/>
        <w:textAlignment w:val="auto"/>
        <w:outlineLvl w:val="0"/>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lang w:val="zh-CN"/>
        </w:rPr>
        <w:t>（</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val="zh-CN"/>
        </w:rPr>
        <w:t>支持企业有效应对疫情促进复工复产</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jc w:val="both"/>
        <w:textAlignment w:val="auto"/>
        <w:outlineLvl w:val="0"/>
        <w:rPr>
          <w:rFonts w:hint="eastAsia" w:eastAsia="仿宋_GB2312"/>
          <w:sz w:val="32"/>
          <w:szCs w:val="32"/>
        </w:rPr>
      </w:pPr>
      <w:r>
        <w:rPr>
          <w:rFonts w:hint="eastAsia" w:ascii="仿宋_GB2312" w:hAnsi="仿宋_GB2312" w:eastAsia="仿宋_GB2312" w:cs="仿宋_GB2312"/>
          <w:sz w:val="32"/>
          <w:szCs w:val="32"/>
          <w:highlight w:val="none"/>
          <w:lang w:eastAsia="zh-CN"/>
        </w:rPr>
        <w:t>积极主动学习中央、省、市、</w:t>
      </w:r>
      <w:r>
        <w:rPr>
          <w:rFonts w:hint="eastAsia" w:ascii="仿宋_GB2312" w:hAnsi="仿宋_GB2312" w:eastAsia="仿宋_GB2312" w:cs="仿宋_GB2312"/>
          <w:sz w:val="32"/>
          <w:szCs w:val="32"/>
          <w:highlight w:val="none"/>
        </w:rPr>
        <w:t>区</w:t>
      </w:r>
      <w:r>
        <w:rPr>
          <w:rFonts w:hint="eastAsia" w:ascii="仿宋_GB2312" w:hAnsi="仿宋_GB2312" w:eastAsia="仿宋_GB2312" w:cs="仿宋_GB2312"/>
          <w:sz w:val="32"/>
          <w:szCs w:val="32"/>
          <w:highlight w:val="none"/>
          <w:lang w:eastAsia="zh-CN"/>
        </w:rPr>
        <w:t>支持企业有效应对疫情促进复工</w:t>
      </w:r>
      <w:r>
        <w:rPr>
          <w:rFonts w:hint="default" w:ascii="Times New Roman" w:hAnsi="Times New Roman" w:eastAsia="仿宋_GB2312" w:cs="Times New Roman"/>
          <w:sz w:val="32"/>
          <w:szCs w:val="32"/>
          <w:highlight w:val="none"/>
          <w:lang w:eastAsia="zh-CN"/>
        </w:rPr>
        <w:t>复产相关政策，</w:t>
      </w:r>
      <w:r>
        <w:rPr>
          <w:rFonts w:hint="eastAsia" w:eastAsia="仿宋_GB2312"/>
          <w:sz w:val="32"/>
          <w:szCs w:val="32"/>
          <w:lang w:eastAsia="zh-CN"/>
        </w:rPr>
        <w:t>配合区国资委做好</w:t>
      </w:r>
      <w:r>
        <w:rPr>
          <w:rFonts w:hint="eastAsia" w:eastAsia="仿宋_GB2312"/>
          <w:sz w:val="32"/>
          <w:szCs w:val="32"/>
        </w:rPr>
        <w:t>关于简化租金减免办理审批流程相关事宜，严格执行市级文件开展减免租金工作，确保国有资产减租政策落实到位。</w:t>
      </w:r>
      <w:r>
        <w:rPr>
          <w:rFonts w:hint="eastAsia" w:eastAsia="仿宋_GB2312"/>
          <w:sz w:val="32"/>
          <w:szCs w:val="32"/>
          <w:highlight w:val="none"/>
        </w:rPr>
        <w:t>盘</w:t>
      </w:r>
      <w:r>
        <w:rPr>
          <w:rFonts w:eastAsia="仿宋_GB2312"/>
          <w:sz w:val="32"/>
          <w:szCs w:val="32"/>
          <w:highlight w:val="none"/>
        </w:rPr>
        <w:t>龙区</w:t>
      </w:r>
      <w:r>
        <w:rPr>
          <w:rFonts w:hint="eastAsia" w:eastAsia="仿宋_GB2312"/>
          <w:sz w:val="32"/>
          <w:szCs w:val="32"/>
          <w:highlight w:val="none"/>
        </w:rPr>
        <w:t>区属国有企业</w:t>
      </w:r>
      <w:r>
        <w:rPr>
          <w:rFonts w:eastAsia="仿宋_GB2312"/>
          <w:sz w:val="32"/>
          <w:szCs w:val="32"/>
          <w:highlight w:val="none"/>
        </w:rPr>
        <w:t>落实减免政策惠及租户</w:t>
      </w:r>
      <w:r>
        <w:rPr>
          <w:rFonts w:hint="eastAsia" w:eastAsia="仿宋_GB2312"/>
          <w:sz w:val="32"/>
          <w:szCs w:val="32"/>
          <w:highlight w:val="none"/>
        </w:rPr>
        <w:t>400户</w:t>
      </w:r>
      <w:r>
        <w:rPr>
          <w:rFonts w:eastAsia="仿宋_GB2312"/>
          <w:sz w:val="32"/>
          <w:szCs w:val="32"/>
          <w:highlight w:val="none"/>
        </w:rPr>
        <w:t>，减免租金</w:t>
      </w:r>
      <w:r>
        <w:rPr>
          <w:rFonts w:hint="eastAsia" w:eastAsia="仿宋_GB2312"/>
          <w:sz w:val="32"/>
          <w:szCs w:val="32"/>
          <w:highlight w:val="none"/>
          <w:lang w:val="en-US" w:eastAsia="zh-CN"/>
        </w:rPr>
        <w:t>3091.42</w:t>
      </w:r>
      <w:r>
        <w:rPr>
          <w:rFonts w:eastAsia="仿宋_GB2312"/>
          <w:sz w:val="32"/>
          <w:szCs w:val="32"/>
          <w:highlight w:val="none"/>
        </w:rPr>
        <w:t>万元</w:t>
      </w:r>
      <w:r>
        <w:rPr>
          <w:rFonts w:hint="eastAsia" w:eastAsia="仿宋_GB2312"/>
          <w:sz w:val="32"/>
          <w:szCs w:val="32"/>
          <w:highlight w:val="none"/>
          <w:lang w:eastAsia="zh-CN"/>
        </w:rPr>
        <w:t>（</w:t>
      </w:r>
      <w:r>
        <w:rPr>
          <w:rFonts w:hint="eastAsia" w:eastAsia="仿宋_GB2312"/>
          <w:sz w:val="32"/>
          <w:szCs w:val="32"/>
          <w:highlight w:val="none"/>
        </w:rPr>
        <w:t>中小</w:t>
      </w:r>
      <w:r>
        <w:rPr>
          <w:rFonts w:eastAsia="仿宋_GB2312"/>
          <w:sz w:val="32"/>
          <w:szCs w:val="32"/>
          <w:highlight w:val="none"/>
        </w:rPr>
        <w:t>企业</w:t>
      </w:r>
      <w:r>
        <w:rPr>
          <w:rFonts w:hint="eastAsia" w:eastAsia="仿宋_GB2312"/>
          <w:sz w:val="32"/>
          <w:szCs w:val="32"/>
          <w:highlight w:val="none"/>
        </w:rPr>
        <w:t>39户</w:t>
      </w:r>
      <w:r>
        <w:rPr>
          <w:rFonts w:eastAsia="仿宋_GB2312"/>
          <w:sz w:val="32"/>
          <w:szCs w:val="32"/>
          <w:highlight w:val="none"/>
        </w:rPr>
        <w:t>，减免租金</w:t>
      </w:r>
      <w:r>
        <w:rPr>
          <w:rFonts w:hint="eastAsia" w:eastAsia="仿宋_GB2312"/>
          <w:sz w:val="32"/>
          <w:szCs w:val="32"/>
          <w:highlight w:val="none"/>
        </w:rPr>
        <w:t>1493.83</w:t>
      </w:r>
      <w:r>
        <w:rPr>
          <w:rFonts w:eastAsia="仿宋_GB2312"/>
          <w:sz w:val="32"/>
          <w:szCs w:val="32"/>
          <w:highlight w:val="none"/>
        </w:rPr>
        <w:t>万元；个体户</w:t>
      </w:r>
      <w:r>
        <w:rPr>
          <w:rFonts w:hint="eastAsia" w:eastAsia="仿宋_GB2312"/>
          <w:sz w:val="32"/>
          <w:szCs w:val="32"/>
          <w:highlight w:val="none"/>
        </w:rPr>
        <w:t>361户</w:t>
      </w:r>
      <w:r>
        <w:rPr>
          <w:rFonts w:eastAsia="仿宋_GB2312"/>
          <w:sz w:val="32"/>
          <w:szCs w:val="32"/>
          <w:highlight w:val="none"/>
        </w:rPr>
        <w:t>，减免租金</w:t>
      </w:r>
      <w:r>
        <w:rPr>
          <w:rFonts w:hint="eastAsia" w:eastAsia="仿宋_GB2312"/>
          <w:sz w:val="32"/>
          <w:szCs w:val="32"/>
          <w:highlight w:val="none"/>
          <w:lang w:val="en-US" w:eastAsia="zh-CN"/>
        </w:rPr>
        <w:t>1597.59</w:t>
      </w:r>
      <w:r>
        <w:rPr>
          <w:rFonts w:eastAsia="仿宋_GB2312"/>
          <w:sz w:val="32"/>
          <w:szCs w:val="32"/>
          <w:highlight w:val="none"/>
        </w:rPr>
        <w:t>万元</w:t>
      </w:r>
      <w:r>
        <w:rPr>
          <w:rFonts w:hint="eastAsia" w:eastAsia="仿宋_GB2312"/>
          <w:sz w:val="32"/>
          <w:szCs w:val="32"/>
          <w:highlight w:val="none"/>
          <w:lang w:eastAsia="zh-CN"/>
        </w:rPr>
        <w:t>），</w:t>
      </w:r>
      <w:r>
        <w:rPr>
          <w:rFonts w:hint="eastAsia" w:eastAsia="仿宋_GB2312"/>
          <w:sz w:val="32"/>
          <w:szCs w:val="32"/>
        </w:rPr>
        <w:t>并对各相关单位减免房租工作开展专项检查，确保政策落地见效。</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jc w:val="both"/>
        <w:textAlignment w:val="auto"/>
        <w:outlineLvl w:val="0"/>
        <w:rPr>
          <w:rFonts w:eastAsia="仿宋_GB2312"/>
          <w:sz w:val="32"/>
          <w:szCs w:val="32"/>
        </w:rPr>
      </w:pPr>
      <w:r>
        <w:rPr>
          <w:rFonts w:hint="eastAsia" w:ascii="Times New Roman" w:eastAsia="仿宋_GB2312"/>
          <w:sz w:val="32"/>
          <w:szCs w:val="32"/>
          <w:lang w:eastAsia="zh-CN"/>
        </w:rPr>
        <w:t>（</w:t>
      </w:r>
      <w:r>
        <w:rPr>
          <w:rFonts w:hint="eastAsia" w:ascii="Times New Roman" w:eastAsia="仿宋_GB2312"/>
          <w:sz w:val="32"/>
          <w:szCs w:val="32"/>
          <w:lang w:val="en-US" w:eastAsia="zh-CN"/>
        </w:rPr>
        <w:t>7）</w:t>
      </w:r>
      <w:r>
        <w:rPr>
          <w:rFonts w:hint="eastAsia" w:ascii="Times New Roman" w:eastAsia="仿宋_GB2312"/>
          <w:sz w:val="32"/>
          <w:szCs w:val="32"/>
        </w:rPr>
        <w:t>盘龙区国有企业退休人员社会化管理工作</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jc w:val="both"/>
        <w:textAlignment w:val="auto"/>
        <w:outlineLvl w:val="0"/>
        <w:rPr>
          <w:rFonts w:eastAsia="仿宋_GB2312"/>
          <w:sz w:val="32"/>
          <w:szCs w:val="32"/>
        </w:rPr>
      </w:pPr>
      <w:r>
        <w:rPr>
          <w:rFonts w:ascii="Times New Roman" w:eastAsia="仿宋_GB2312"/>
          <w:sz w:val="32"/>
          <w:szCs w:val="32"/>
        </w:rPr>
        <w:t>贯彻落实</w:t>
      </w:r>
      <w:r>
        <w:rPr>
          <w:rFonts w:hint="eastAsia" w:ascii="Times New Roman" w:eastAsia="仿宋_GB2312"/>
          <w:sz w:val="32"/>
          <w:szCs w:val="32"/>
        </w:rPr>
        <w:t>国务院和省委、省政府关于加快推进国有企业办社会职能和解决历史遗留问题工作部署，根据国家、省、市要求，按照时间节点落实责任，明确任务目标。</w:t>
      </w:r>
      <w:r>
        <w:rPr>
          <w:rFonts w:hint="eastAsia" w:ascii="Times New Roman" w:eastAsia="仿宋_GB2312"/>
          <w:sz w:val="32"/>
          <w:szCs w:val="32"/>
          <w:lang w:eastAsia="zh-CN"/>
        </w:rPr>
        <w:t>一是配合国资委</w:t>
      </w:r>
      <w:r>
        <w:rPr>
          <w:rFonts w:eastAsia="仿宋_GB2312"/>
          <w:sz w:val="32"/>
          <w:szCs w:val="32"/>
        </w:rPr>
        <w:t>制定《昆明市盘龙区国有企业退休人员社会化管理工作实施细则》，</w:t>
      </w:r>
      <w:r>
        <w:rPr>
          <w:rFonts w:hint="eastAsia" w:ascii="Times New Roman" w:hAnsi="仿宋_GB2312" w:eastAsia="仿宋_GB2312" w:cs="仿宋_GB2312"/>
          <w:sz w:val="32"/>
          <w:szCs w:val="32"/>
        </w:rPr>
        <w:t>明确工作流程和工作职责</w:t>
      </w:r>
      <w:r>
        <w:rPr>
          <w:rFonts w:hint="eastAsia" w:ascii="Times New Roman" w:hAnsi="仿宋_GB2312" w:eastAsia="仿宋_GB2312" w:cs="仿宋_GB2312"/>
          <w:sz w:val="32"/>
          <w:szCs w:val="32"/>
          <w:lang w:eastAsia="zh-CN"/>
        </w:rPr>
        <w:t>。</w:t>
      </w:r>
      <w:r>
        <w:rPr>
          <w:rFonts w:hint="eastAsia" w:ascii="Times New Roman" w:hAnsi="仿宋_GB2312" w:eastAsia="仿宋_GB2312" w:cs="仿宋_GB2312"/>
          <w:sz w:val="32"/>
          <w:szCs w:val="32"/>
        </w:rPr>
        <w:t>二是</w:t>
      </w:r>
      <w:r>
        <w:rPr>
          <w:rFonts w:eastAsia="仿宋_GB2312"/>
          <w:sz w:val="32"/>
          <w:szCs w:val="32"/>
        </w:rPr>
        <w:t>积极学习中央、省、市关于国有企业退休人员社会化管理工作的决策部署，定期组织召开国有企业退休人员社会化管理工作推进会，</w:t>
      </w:r>
      <w:r>
        <w:rPr>
          <w:rFonts w:hint="eastAsia" w:ascii="Times New Roman" w:hAnsi="仿宋_GB2312" w:eastAsia="仿宋_GB2312" w:cs="仿宋_GB2312"/>
          <w:sz w:val="32"/>
          <w:szCs w:val="32"/>
        </w:rPr>
        <w:t>积极落实接收主体职责。</w:t>
      </w:r>
      <w:r>
        <w:rPr>
          <w:rFonts w:hint="eastAsia" w:ascii="Times New Roman" w:hAnsi="仿宋_GB2312" w:eastAsia="仿宋_GB2312" w:cs="仿宋_GB2312"/>
          <w:sz w:val="32"/>
          <w:szCs w:val="32"/>
          <w:lang w:eastAsia="zh-CN"/>
        </w:rPr>
        <w:t>三是</w:t>
      </w:r>
      <w:r>
        <w:rPr>
          <w:rFonts w:hint="eastAsia" w:ascii="Times New Roman" w:hAnsi="仿宋_GB2312" w:eastAsia="仿宋_GB2312" w:cs="仿宋_GB2312"/>
          <w:sz w:val="32"/>
          <w:szCs w:val="32"/>
        </w:rPr>
        <w:t>做好领导小组办公室工作，做到上情下达，确保政策落到实处，问题及时解决。</w:t>
      </w:r>
      <w:r>
        <w:rPr>
          <w:rFonts w:hint="eastAsia" w:ascii="Times New Roman" w:hAnsi="仿宋_GB2312" w:eastAsia="仿宋_GB2312" w:cs="仿宋_GB2312"/>
          <w:sz w:val="32"/>
          <w:szCs w:val="32"/>
          <w:lang w:eastAsia="zh-CN"/>
        </w:rPr>
        <w:t>四</w:t>
      </w:r>
      <w:r>
        <w:rPr>
          <w:rFonts w:hint="eastAsia" w:ascii="Times New Roman" w:hAnsi="仿宋_GB2312" w:eastAsia="仿宋_GB2312" w:cs="仿宋_GB2312"/>
          <w:sz w:val="32"/>
          <w:szCs w:val="32"/>
        </w:rPr>
        <w:t>是简化流程，优化服务。简化工作流程。牵头建立“一站式”服务，组建工作</w:t>
      </w:r>
      <w:r>
        <w:rPr>
          <w:rFonts w:eastAsia="仿宋_GB2312"/>
          <w:sz w:val="32"/>
          <w:szCs w:val="32"/>
        </w:rPr>
        <w:t>专班。主动与辖区部分企业的退休人员社会化管理负责人沟通，就当前工作完成进度和转入后续的问题共同商定解决方案，确保企业与政府之间的信息反馈渠道畅通。</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jc w:val="both"/>
        <w:textAlignment w:val="auto"/>
        <w:outlineLvl w:val="0"/>
        <w:rPr>
          <w:rFonts w:eastAsia="仿宋_GB2312"/>
          <w:sz w:val="32"/>
          <w:szCs w:val="32"/>
        </w:rPr>
      </w:pPr>
      <w:r>
        <w:rPr>
          <w:rFonts w:hint="eastAsia" w:eastAsia="仿宋_GB2312"/>
          <w:sz w:val="32"/>
          <w:szCs w:val="32"/>
        </w:rPr>
        <w:t>截止</w:t>
      </w:r>
      <w:r>
        <w:rPr>
          <w:rFonts w:hint="eastAsia" w:ascii="Times New Roman" w:hAnsi="Times New Roman" w:eastAsia="仿宋_GB2312"/>
          <w:sz w:val="32"/>
          <w:szCs w:val="32"/>
        </w:rPr>
        <w:t>2020</w:t>
      </w:r>
      <w:r>
        <w:rPr>
          <w:rFonts w:hint="eastAsia" w:eastAsia="仿宋_GB2312"/>
          <w:sz w:val="32"/>
          <w:szCs w:val="32"/>
        </w:rPr>
        <w:t>年</w:t>
      </w:r>
      <w:r>
        <w:rPr>
          <w:rFonts w:hint="eastAsia" w:ascii="Times New Roman" w:hAnsi="Times New Roman" w:eastAsia="仿宋_GB2312"/>
          <w:sz w:val="32"/>
          <w:szCs w:val="32"/>
        </w:rPr>
        <w:t>12</w:t>
      </w:r>
      <w:r>
        <w:rPr>
          <w:rFonts w:hint="eastAsia" w:eastAsia="仿宋_GB2312"/>
          <w:sz w:val="32"/>
          <w:szCs w:val="32"/>
        </w:rPr>
        <w:t>月</w:t>
      </w:r>
      <w:r>
        <w:rPr>
          <w:rFonts w:hint="eastAsia" w:ascii="Times New Roman" w:hAnsi="Times New Roman" w:eastAsia="仿宋_GB2312"/>
          <w:sz w:val="32"/>
          <w:szCs w:val="32"/>
        </w:rPr>
        <w:t>31</w:t>
      </w:r>
      <w:r>
        <w:rPr>
          <w:rFonts w:hint="eastAsia" w:eastAsia="仿宋_GB2312"/>
          <w:sz w:val="32"/>
          <w:szCs w:val="32"/>
        </w:rPr>
        <w:t>日，已累计接收国有企业退休人员</w:t>
      </w:r>
      <w:r>
        <w:rPr>
          <w:rFonts w:hint="eastAsia" w:ascii="Times New Roman" w:hAnsi="Times New Roman" w:eastAsia="仿宋_GB2312"/>
          <w:sz w:val="32"/>
          <w:szCs w:val="32"/>
          <w:lang w:val="en-US" w:eastAsia="zh-CN"/>
        </w:rPr>
        <w:t>33266</w:t>
      </w:r>
      <w:r>
        <w:rPr>
          <w:rFonts w:hint="eastAsia" w:eastAsia="仿宋_GB2312"/>
          <w:sz w:val="32"/>
          <w:szCs w:val="32"/>
        </w:rPr>
        <w:t>人，其中：驻昆央企</w:t>
      </w:r>
      <w:r>
        <w:rPr>
          <w:rFonts w:hint="eastAsia" w:ascii="Times New Roman" w:hAnsi="Times New Roman" w:eastAsia="仿宋_GB2312"/>
          <w:sz w:val="32"/>
          <w:szCs w:val="32"/>
          <w:lang w:val="en-US" w:eastAsia="zh-CN"/>
        </w:rPr>
        <w:t>21582</w:t>
      </w:r>
      <w:r>
        <w:rPr>
          <w:rFonts w:hint="eastAsia" w:eastAsia="仿宋_GB2312"/>
          <w:sz w:val="32"/>
          <w:szCs w:val="32"/>
        </w:rPr>
        <w:t>人、省属企业</w:t>
      </w:r>
      <w:r>
        <w:rPr>
          <w:rFonts w:hint="eastAsia" w:ascii="Times New Roman" w:hAnsi="Times New Roman" w:eastAsia="仿宋_GB2312"/>
          <w:sz w:val="32"/>
          <w:szCs w:val="32"/>
          <w:lang w:val="en-US" w:eastAsia="zh-CN"/>
        </w:rPr>
        <w:t>8756</w:t>
      </w:r>
      <w:r>
        <w:rPr>
          <w:rFonts w:hint="eastAsia" w:eastAsia="仿宋_GB2312"/>
          <w:sz w:val="32"/>
          <w:szCs w:val="32"/>
        </w:rPr>
        <w:t>人、市属企业</w:t>
      </w:r>
      <w:r>
        <w:rPr>
          <w:rFonts w:hint="eastAsia" w:ascii="Times New Roman" w:hAnsi="Times New Roman" w:eastAsia="仿宋_GB2312"/>
          <w:sz w:val="32"/>
          <w:szCs w:val="32"/>
        </w:rPr>
        <w:t>2838</w:t>
      </w:r>
      <w:r>
        <w:rPr>
          <w:rFonts w:hint="eastAsia" w:eastAsia="仿宋_GB2312"/>
          <w:sz w:val="32"/>
          <w:szCs w:val="32"/>
        </w:rPr>
        <w:t>人、区属企业</w:t>
      </w:r>
      <w:r>
        <w:rPr>
          <w:rFonts w:hint="eastAsia" w:ascii="Times New Roman" w:hAnsi="Times New Roman" w:eastAsia="仿宋_GB2312"/>
          <w:sz w:val="32"/>
          <w:szCs w:val="32"/>
        </w:rPr>
        <w:t>90</w:t>
      </w:r>
      <w:r>
        <w:rPr>
          <w:rFonts w:hint="eastAsia" w:eastAsia="仿宋_GB2312"/>
          <w:sz w:val="32"/>
          <w:szCs w:val="32"/>
        </w:rPr>
        <w:t>人，完成进度</w:t>
      </w:r>
      <w:r>
        <w:rPr>
          <w:rFonts w:hint="eastAsia" w:ascii="Times New Roman" w:hAnsi="Times New Roman" w:eastAsia="仿宋_GB2312"/>
          <w:sz w:val="32"/>
          <w:szCs w:val="32"/>
        </w:rPr>
        <w:t>100%</w:t>
      </w:r>
      <w:r>
        <w:rPr>
          <w:rFonts w:hint="eastAsia" w:eastAsia="仿宋_GB2312"/>
          <w:sz w:val="32"/>
          <w:szCs w:val="32"/>
        </w:rPr>
        <w:t>。</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2.具体评分项目及分值</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与部门中长期规划目标匹配性分值1分，得分1分；与政府相关规划、决策匹配性分值2分，得分2分；与部门职责适应性分值1分，得分1分；立项程序规范性分值4分，得分4分。</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绩效目标相关性分值2分，得分2分；绩效目标完整性分值2分，得分2分；目标与预算的匹配性分值2分，得分2分；指标细化分解情况分值3分，得分2.5分；指标与目标的匹配性分值3分，得分3分。以上项目需进一步细化指标，所以按评判标准分别扣除相应得分。</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预算编制合理性分值1分，得分1分，预算调整规范性分值3分，得分3分。</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资金使用情况分值2分，得分2分；财务管理制度健全性分值1分，得分1分；资金拨付程序完整性分值1分，得分1分；财务制度执行有效性分值2分，得分2分。</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项目实施单位管理制度健全性分值1分，得分1分；管理方监管措施健全性分值1分，得分1分；项目实施单位管理制度执行情况分值1分，得分1分；监管措施执行情况分值1分，得分1分；项目执行情况分值3分，得分3分；台账记录规范性分值3分，得分1.8分；以上项目需进一步完善台账，所以按评判标准分别扣除相应得分。</w:t>
      </w:r>
    </w:p>
    <w:p>
      <w:pPr>
        <w:keepNext w:val="0"/>
        <w:keepLines w:val="0"/>
        <w:pageBreakBefore w:val="0"/>
        <w:numPr>
          <w:ilvl w:val="0"/>
          <w:numId w:val="0"/>
        </w:numPr>
        <w:pBdr>
          <w:bottom w:val="single" w:color="FFFFFF" w:sz="4" w:space="31"/>
        </w:pBdr>
        <w:tabs>
          <w:tab w:val="left" w:pos="4830"/>
          <w:tab w:val="left" w:pos="8640"/>
        </w:tabs>
        <w:kinsoku/>
        <w:wordWrap/>
        <w:overflowPunct/>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项目产出分值30分，得分29分；项目效益分值30分，得分</w:t>
      </w:r>
      <w:r>
        <w:rPr>
          <w:rFonts w:hint="default"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rPr>
        <w:t>分，加强对购买服务质量的把控，所以按评判标准分别扣除相应得分。</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成本效益分析</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按照合同约定按时支付资金，转化资金使用效果，保障区国管公司的工作能够顺利推进，从而提高工作质量。</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eastAsia" w:ascii="楷体_GB2312" w:hAnsi="楷体_GB2312" w:eastAsia="楷体_GB2312" w:cs="楷体_GB2312"/>
          <w:sz w:val="32"/>
          <w:szCs w:val="32"/>
          <w:highlight w:val="none"/>
        </w:rPr>
      </w:pPr>
      <w:r>
        <w:rPr>
          <w:rFonts w:hint="eastAsia" w:ascii="Times New Roman" w:hAnsi="Times New Roman" w:eastAsia="黑体" w:cs="Times New Roman"/>
          <w:sz w:val="32"/>
          <w:szCs w:val="32"/>
          <w:highlight w:val="none"/>
          <w:lang w:eastAsia="zh-CN"/>
        </w:rPr>
        <w:t>六、</w:t>
      </w:r>
      <w:r>
        <w:rPr>
          <w:rFonts w:hint="default" w:ascii="Times New Roman" w:hAnsi="Times New Roman" w:eastAsia="黑体" w:cs="Times New Roman"/>
          <w:sz w:val="32"/>
          <w:szCs w:val="32"/>
          <w:highlight w:val="none"/>
        </w:rPr>
        <w:t>主要经验及做法、存在的问题和建议</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lang w:eastAsia="zh-CN"/>
        </w:rPr>
        <w:t>（一）</w:t>
      </w:r>
      <w:r>
        <w:rPr>
          <w:rFonts w:hint="eastAsia" w:ascii="楷体_GB2312" w:hAnsi="楷体_GB2312" w:eastAsia="楷体_GB2312" w:cs="楷体_GB2312"/>
          <w:sz w:val="32"/>
          <w:szCs w:val="32"/>
          <w:highlight w:val="none"/>
        </w:rPr>
        <w:t>主要经验及做法</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要求区国管公司做好</w:t>
      </w:r>
      <w:r>
        <w:rPr>
          <w:rFonts w:hint="eastAsia" w:ascii="Times New Roman" w:hAnsi="Times New Roman" w:eastAsia="仿宋_GB2312" w:cs="Times New Roman"/>
          <w:sz w:val="32"/>
          <w:szCs w:val="32"/>
          <w:highlight w:val="none"/>
          <w:lang w:eastAsia="zh-CN"/>
        </w:rPr>
        <w:t>涉及购买服务项目工作</w:t>
      </w:r>
      <w:r>
        <w:rPr>
          <w:rFonts w:hint="default" w:ascii="Times New Roman" w:hAnsi="Times New Roman" w:eastAsia="仿宋_GB2312" w:cs="Times New Roman"/>
          <w:sz w:val="32"/>
          <w:szCs w:val="32"/>
          <w:highlight w:val="none"/>
        </w:rPr>
        <w:t>，加强对区国管公司的监管从而提高购买服务工作的质量。</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eastAsia" w:ascii="楷体_GB2312" w:hAnsi="楷体_GB2312" w:eastAsia="楷体_GB2312" w:cs="楷体_GB2312"/>
          <w:sz w:val="32"/>
          <w:szCs w:val="32"/>
          <w:highlight w:val="none"/>
          <w:lang w:eastAsia="zh-CN"/>
        </w:rPr>
        <w:t>（二）</w:t>
      </w:r>
      <w:r>
        <w:rPr>
          <w:rFonts w:hint="default" w:ascii="楷体_GB2312" w:hAnsi="楷体_GB2312" w:eastAsia="楷体_GB2312" w:cs="楷体_GB2312"/>
          <w:sz w:val="32"/>
          <w:szCs w:val="32"/>
          <w:highlight w:val="none"/>
        </w:rPr>
        <w:t>存在的问题</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需强化对区国管公司提供的购买服务的项目进行监管追踪及提供的项目进行评价，实施管理及追踪。</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（三）</w:t>
      </w:r>
      <w:r>
        <w:rPr>
          <w:rFonts w:hint="default" w:ascii="楷体_GB2312" w:hAnsi="楷体_GB2312" w:eastAsia="楷体_GB2312" w:cs="楷体_GB2312"/>
          <w:sz w:val="32"/>
          <w:szCs w:val="32"/>
          <w:highlight w:val="none"/>
          <w:lang w:eastAsia="zh-CN"/>
        </w:rPr>
        <w:t>改进措施及建议</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加强对区国管公司所提供的购买服务的项目进行管理，以及加强对购买服务质量的把控，强化对项目实施过程及后期的追踪，及时发现和了解服务中中存在的问题并及时解决，全面推进区国管公司更好的完成工作任务，促进企业健康发展。</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0" w:firstLineChars="0"/>
        <w:jc w:val="center"/>
        <w:textAlignment w:val="auto"/>
        <w:outlineLvl w:val="0"/>
        <w:rPr>
          <w:rFonts w:hint="default" w:ascii="Times New Roman" w:hAnsi="Times New Roman" w:eastAsia="方正小标宋简体" w:cs="Times New Roman"/>
          <w:sz w:val="32"/>
          <w:szCs w:val="32"/>
          <w:highlight w:val="none"/>
        </w:rPr>
      </w:pPr>
      <w:r>
        <w:rPr>
          <w:rFonts w:hint="default" w:ascii="Times New Roman" w:hAnsi="Times New Roman" w:eastAsia="方正小标宋简体" w:cs="Times New Roman"/>
          <w:sz w:val="32"/>
          <w:szCs w:val="32"/>
          <w:highlight w:val="none"/>
        </w:rPr>
        <w:t>绩效评价报告正文后附以下佐证材料</w:t>
      </w:r>
    </w:p>
    <w:p>
      <w:pPr>
        <w:keepNext w:val="0"/>
        <w:keepLines w:val="0"/>
        <w:pageBreakBefore w:val="0"/>
        <w:widowControl w:val="0"/>
        <w:numPr>
          <w:ilvl w:val="0"/>
          <w:numId w:val="0"/>
        </w:numPr>
        <w:pBdr>
          <w:bottom w:val="single" w:color="FFFFFF" w:sz="4" w:space="31"/>
        </w:pBdr>
        <w:tabs>
          <w:tab w:val="left" w:pos="4830"/>
          <w:tab w:val="left" w:pos="8640"/>
        </w:tabs>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昆明市盘龙区关于全面深化区属国有企业改革的实施意见。</w:t>
      </w:r>
    </w:p>
    <w:p/>
    <w:p/>
    <w:p/>
    <w:p/>
    <w:p/>
    <w:p/>
    <w:p/>
    <w:p/>
    <w:p>
      <w:pPr>
        <w:widowControl/>
        <w:jc w:val="center"/>
        <w:rPr>
          <w:rFonts w:ascii="方正小标宋_GBK" w:eastAsia="方正小标宋_GBK"/>
          <w:sz w:val="28"/>
          <w:szCs w:val="28"/>
        </w:rPr>
      </w:pPr>
      <w:r>
        <w:rPr>
          <w:rFonts w:hint="eastAsia" w:ascii="方正小标宋_GBK" w:eastAsia="方正小标宋_GBK"/>
          <w:sz w:val="28"/>
          <w:szCs w:val="28"/>
          <w:lang w:eastAsia="zh-CN"/>
        </w:rPr>
        <w:t>附件</w:t>
      </w:r>
      <w:r>
        <w:rPr>
          <w:rFonts w:hint="eastAsia" w:ascii="方正小标宋_GBK" w:eastAsia="方正小标宋_GBK"/>
          <w:sz w:val="28"/>
          <w:szCs w:val="28"/>
          <w:lang w:val="en-US" w:eastAsia="zh-CN"/>
        </w:rPr>
        <w:t>6：国资业务费（评估）</w:t>
      </w:r>
      <w:r>
        <w:rPr>
          <w:rFonts w:hint="eastAsia" w:ascii="方正小标宋_GBK" w:eastAsia="方正小标宋_GBK"/>
          <w:sz w:val="28"/>
          <w:szCs w:val="28"/>
        </w:rPr>
        <w:t>项目支出绩效评价共性指标体系框架</w:t>
      </w:r>
    </w:p>
    <w:tbl>
      <w:tblPr>
        <w:tblStyle w:val="8"/>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671"/>
        <w:gridCol w:w="1174"/>
        <w:gridCol w:w="913"/>
        <w:gridCol w:w="1291"/>
        <w:gridCol w:w="519"/>
        <w:gridCol w:w="559"/>
        <w:gridCol w:w="2001"/>
        <w:gridCol w:w="1940"/>
        <w:gridCol w:w="1344"/>
      </w:tblGrid>
      <w:tr>
        <w:tblPrEx>
          <w:tblLayout w:type="fixed"/>
          <w:tblCellMar>
            <w:top w:w="0" w:type="dxa"/>
            <w:left w:w="108" w:type="dxa"/>
            <w:bottom w:w="0" w:type="dxa"/>
            <w:right w:w="108" w:type="dxa"/>
          </w:tblCellMar>
        </w:tblPrEx>
        <w:trPr>
          <w:trHeight w:val="540" w:hRule="atLeast"/>
        </w:trPr>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91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2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51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0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3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856"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1174" w:type="dxa"/>
            <w:vMerge w:val="restart"/>
            <w:tcBorders>
              <w:top w:val="nil"/>
              <w:left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Layout w:type="fixed"/>
          <w:tblCellMar>
            <w:top w:w="0" w:type="dxa"/>
            <w:left w:w="108" w:type="dxa"/>
            <w:bottom w:w="0" w:type="dxa"/>
            <w:right w:w="108" w:type="dxa"/>
          </w:tblCellMar>
        </w:tblPrEx>
        <w:trPr>
          <w:trHeight w:val="864"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A121.与政府相关规划、决策匹配性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Layout w:type="fixed"/>
          <w:tblCellMar>
            <w:top w:w="0" w:type="dxa"/>
            <w:left w:w="108" w:type="dxa"/>
            <w:bottom w:w="0" w:type="dxa"/>
            <w:right w:w="108" w:type="dxa"/>
          </w:tblCellMar>
        </w:tblPrEx>
        <w:trPr>
          <w:trHeight w:val="54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Layout w:type="fixed"/>
          <w:tblCellMar>
            <w:top w:w="0" w:type="dxa"/>
            <w:left w:w="108" w:type="dxa"/>
            <w:bottom w:w="0" w:type="dxa"/>
            <w:right w:w="108" w:type="dxa"/>
          </w:tblCellMar>
        </w:tblPrEx>
        <w:trPr>
          <w:trHeight w:val="50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4</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申请、批复文件</w:t>
            </w:r>
          </w:p>
        </w:tc>
      </w:tr>
      <w:tr>
        <w:tblPrEx>
          <w:tblLayout w:type="fixed"/>
          <w:tblCellMar>
            <w:top w:w="0" w:type="dxa"/>
            <w:left w:w="108" w:type="dxa"/>
            <w:bottom w:w="0" w:type="dxa"/>
            <w:right w:w="108" w:type="dxa"/>
          </w:tblCellMar>
        </w:tblPrEx>
        <w:trPr>
          <w:trHeight w:val="74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913"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29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51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0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4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Layout w:type="fixed"/>
          <w:tblCellMar>
            <w:top w:w="0" w:type="dxa"/>
            <w:left w:w="108" w:type="dxa"/>
            <w:bottom w:w="0" w:type="dxa"/>
            <w:right w:w="108" w:type="dxa"/>
          </w:tblCellMar>
        </w:tblPrEx>
        <w:trPr>
          <w:trHeight w:val="966"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Layout w:type="fixed"/>
          <w:tblCellMar>
            <w:top w:w="0" w:type="dxa"/>
            <w:left w:w="108" w:type="dxa"/>
            <w:bottom w:w="0" w:type="dxa"/>
            <w:right w:w="108" w:type="dxa"/>
          </w:tblCellMar>
        </w:tblPrEx>
        <w:trPr>
          <w:trHeight w:val="76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8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Layout w:type="fixed"/>
          <w:tblCellMar>
            <w:top w:w="0" w:type="dxa"/>
            <w:left w:w="108" w:type="dxa"/>
            <w:bottom w:w="0" w:type="dxa"/>
            <w:right w:w="108" w:type="dxa"/>
          </w:tblCellMar>
        </w:tblPrEx>
        <w:trPr>
          <w:trHeight w:val="720"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0.5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Layout w:type="fixed"/>
          <w:tblCellMar>
            <w:top w:w="0" w:type="dxa"/>
            <w:left w:w="108" w:type="dxa"/>
            <w:bottom w:w="0" w:type="dxa"/>
            <w:right w:w="108" w:type="dxa"/>
          </w:tblCellMar>
        </w:tblPrEx>
        <w:trPr>
          <w:trHeight w:val="19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344" w:type="dxa"/>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97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2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40" w:type="dxa"/>
            <w:tcBorders>
              <w:top w:val="nil"/>
              <w:left w:val="nil"/>
              <w:bottom w:val="single" w:color="auto" w:sz="4" w:space="0"/>
              <w:right w:val="single" w:color="auto" w:sz="4" w:space="0"/>
            </w:tcBorders>
            <w:shd w:val="clear" w:color="auto" w:fill="auto"/>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Layout w:type="fixed"/>
          <w:tblCellMar>
            <w:top w:w="0" w:type="dxa"/>
            <w:left w:w="108" w:type="dxa"/>
            <w:bottom w:w="0" w:type="dxa"/>
            <w:right w:w="108" w:type="dxa"/>
          </w:tblCellMar>
        </w:tblPrEx>
        <w:trPr>
          <w:trHeight w:val="7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Layout w:type="fixed"/>
          <w:tblCellMar>
            <w:top w:w="0" w:type="dxa"/>
            <w:left w:w="108" w:type="dxa"/>
            <w:bottom w:w="0" w:type="dxa"/>
            <w:right w:w="108" w:type="dxa"/>
          </w:tblCellMar>
        </w:tblPrEx>
        <w:trPr>
          <w:trHeight w:val="7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Layout w:type="fixed"/>
          <w:tblCellMar>
            <w:top w:w="0" w:type="dxa"/>
            <w:left w:w="108" w:type="dxa"/>
            <w:bottom w:w="0" w:type="dxa"/>
            <w:right w:w="108" w:type="dxa"/>
          </w:tblCellMar>
        </w:tblPrEx>
        <w:trPr>
          <w:trHeight w:val="120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Layout w:type="fixed"/>
          <w:tblCellMar>
            <w:top w:w="0" w:type="dxa"/>
            <w:left w:w="108" w:type="dxa"/>
            <w:bottom w:w="0" w:type="dxa"/>
            <w:right w:w="108" w:type="dxa"/>
          </w:tblCellMar>
        </w:tblPrEx>
        <w:trPr>
          <w:trHeight w:val="88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Layout w:type="fixed"/>
          <w:tblCellMar>
            <w:top w:w="0" w:type="dxa"/>
            <w:left w:w="108" w:type="dxa"/>
            <w:bottom w:w="0" w:type="dxa"/>
            <w:right w:w="108" w:type="dxa"/>
          </w:tblCellMar>
        </w:tblPrEx>
        <w:trPr>
          <w:trHeight w:val="94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Layout w:type="fixed"/>
          <w:tblCellMar>
            <w:top w:w="0" w:type="dxa"/>
            <w:left w:w="108" w:type="dxa"/>
            <w:bottom w:w="0" w:type="dxa"/>
            <w:right w:w="108" w:type="dxa"/>
          </w:tblCellMar>
        </w:tblPrEx>
        <w:trPr>
          <w:trHeight w:val="65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B323.项目执行情况</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Layout w:type="fixed"/>
          <w:tblCellMar>
            <w:top w:w="0" w:type="dxa"/>
            <w:left w:w="108" w:type="dxa"/>
            <w:bottom w:w="0" w:type="dxa"/>
            <w:right w:w="108" w:type="dxa"/>
          </w:tblCellMar>
        </w:tblPrEx>
        <w:trPr>
          <w:trHeight w:val="686"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291"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24.台账记录规范性</w:t>
            </w:r>
          </w:p>
        </w:tc>
        <w:tc>
          <w:tcPr>
            <w:tcW w:w="519" w:type="dxa"/>
            <w:vMerge w:val="restart"/>
            <w:tcBorders>
              <w:top w:val="nil"/>
              <w:left w:val="nil"/>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vMerge w:val="restart"/>
            <w:tcBorders>
              <w:top w:val="nil"/>
              <w:left w:val="nil"/>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p>
            <w:pPr>
              <w:widowControl/>
              <w:spacing w:line="240" w:lineRule="exact"/>
              <w:jc w:val="center"/>
              <w:rPr>
                <w:rFonts w:ascii="宋体" w:hAnsi="宋体" w:cs="宋体"/>
                <w:color w:val="000000"/>
                <w:kern w:val="0"/>
                <w:sz w:val="18"/>
                <w:szCs w:val="18"/>
              </w:rPr>
            </w:pPr>
            <w:r>
              <w:rPr>
                <w:rFonts w:hint="eastAsia" w:ascii="宋体" w:hAnsi="宋体" w:cs="宋体"/>
                <w:color w:val="FF0000"/>
                <w:kern w:val="0"/>
                <w:sz w:val="18"/>
                <w:szCs w:val="18"/>
              </w:rPr>
              <w:t>　</w:t>
            </w:r>
          </w:p>
        </w:tc>
        <w:tc>
          <w:tcPr>
            <w:tcW w:w="2001"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40"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344"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Layout w:type="fixed"/>
          <w:tblCellMar>
            <w:top w:w="0" w:type="dxa"/>
            <w:left w:w="108" w:type="dxa"/>
            <w:bottom w:w="0" w:type="dxa"/>
            <w:right w:w="108" w:type="dxa"/>
          </w:tblCellMar>
        </w:tblPrEx>
        <w:trPr>
          <w:trHeight w:val="9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FF0000"/>
                <w:kern w:val="0"/>
                <w:sz w:val="18"/>
                <w:szCs w:val="18"/>
              </w:rPr>
            </w:pPr>
          </w:p>
        </w:tc>
        <w:tc>
          <w:tcPr>
            <w:tcW w:w="1291"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c>
          <w:tcPr>
            <w:tcW w:w="519" w:type="dxa"/>
            <w:vMerge w:val="continue"/>
            <w:tcBorders>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FF0000"/>
                <w:kern w:val="0"/>
                <w:sz w:val="18"/>
                <w:szCs w:val="18"/>
              </w:rPr>
            </w:pPr>
          </w:p>
        </w:tc>
        <w:tc>
          <w:tcPr>
            <w:tcW w:w="559" w:type="dxa"/>
            <w:vMerge w:val="continue"/>
            <w:tcBorders>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FF0000"/>
                <w:kern w:val="0"/>
                <w:sz w:val="18"/>
                <w:szCs w:val="18"/>
              </w:rPr>
            </w:pPr>
          </w:p>
        </w:tc>
        <w:tc>
          <w:tcPr>
            <w:tcW w:w="2001"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c>
          <w:tcPr>
            <w:tcW w:w="1940"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c>
          <w:tcPr>
            <w:tcW w:w="1344"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2267"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1174"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w:t>
            </w:r>
          </w:p>
        </w:tc>
        <w:tc>
          <w:tcPr>
            <w:tcW w:w="91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ascii="宋体" w:hAnsi="宋体" w:cs="宋体"/>
                <w:color w:val="000000"/>
                <w:kern w:val="0"/>
                <w:sz w:val="18"/>
                <w:szCs w:val="18"/>
              </w:rPr>
              <w:t xml:space="preserve"> </w:t>
            </w:r>
          </w:p>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C20.质量指标</w:t>
            </w:r>
          </w:p>
        </w:tc>
        <w:tc>
          <w:tcPr>
            <w:tcW w:w="129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第三方提供服务</w:t>
            </w:r>
          </w:p>
        </w:tc>
        <w:tc>
          <w:tcPr>
            <w:tcW w:w="51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30　</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加强与第三方公司的对接从而提高购买服务工作的质量</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满足要求得满分，可根据提供的服务扣减相应的分数，扣完为止。</w:t>
            </w:r>
          </w:p>
        </w:tc>
        <w:tc>
          <w:tcPr>
            <w:tcW w:w="1344" w:type="dxa"/>
            <w:tcBorders>
              <w:top w:val="nil"/>
              <w:left w:val="nil"/>
              <w:bottom w:val="single" w:color="auto" w:sz="4" w:space="0"/>
              <w:right w:val="single" w:color="auto" w:sz="4" w:space="0"/>
            </w:tcBorders>
            <w:shd w:val="clear" w:color="auto" w:fill="auto"/>
            <w:vAlign w:val="center"/>
          </w:tcPr>
          <w:p>
            <w:pPr>
              <w:pStyle w:val="5"/>
              <w:keepNext w:val="0"/>
              <w:keepLines w:val="0"/>
              <w:widowControl/>
              <w:spacing w:line="240" w:lineRule="exact"/>
              <w:rPr>
                <w:rFonts w:ascii="宋体" w:hAnsi="宋体" w:eastAsia="宋体" w:cs="宋体"/>
                <w:b w:val="0"/>
                <w:bCs w:val="0"/>
                <w:color w:val="000000"/>
                <w:kern w:val="0"/>
                <w:sz w:val="18"/>
                <w:szCs w:val="18"/>
              </w:rPr>
            </w:pPr>
            <w:r>
              <w:rPr>
                <w:rFonts w:hint="eastAsia" w:ascii="宋体" w:hAnsi="宋体" w:eastAsia="宋体" w:cs="宋体"/>
                <w:b w:val="0"/>
                <w:bCs w:val="0"/>
                <w:color w:val="000000"/>
                <w:kern w:val="0"/>
                <w:sz w:val="18"/>
                <w:szCs w:val="18"/>
              </w:rPr>
              <w:t>台账记录</w:t>
            </w:r>
          </w:p>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217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C2.项目效益（30%）（说明：该指标主要反映部门（单位）项目的实施效果。</w:t>
            </w:r>
          </w:p>
        </w:tc>
        <w:tc>
          <w:tcPr>
            <w:tcW w:w="91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29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确保经营性资产的租赁价格贴近市场，并明确了拟购置资产的购置价格，保障了国有资产保值增值</w:t>
            </w:r>
          </w:p>
        </w:tc>
        <w:tc>
          <w:tcPr>
            <w:tcW w:w="51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200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通过购买服务，是否加强了国有资本和全区国有资产的监管及促进国有资产保值增值。</w:t>
            </w:r>
          </w:p>
        </w:tc>
        <w:tc>
          <w:tcPr>
            <w:tcW w:w="194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满足要求，得满分</w:t>
            </w:r>
          </w:p>
        </w:tc>
        <w:tc>
          <w:tcPr>
            <w:tcW w:w="134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台账记录</w:t>
            </w:r>
          </w:p>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540" w:hRule="atLeast"/>
        </w:trPr>
        <w:tc>
          <w:tcPr>
            <w:tcW w:w="67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11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91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1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5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99.5</w:t>
            </w:r>
          </w:p>
        </w:tc>
        <w:tc>
          <w:tcPr>
            <w:tcW w:w="200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34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spacing w:before="120" w:after="120" w:line="480" w:lineRule="auto"/>
        <w:rPr>
          <w:rFonts w:ascii="Times New Roman" w:hAnsi="Times New Roman" w:eastAsia="仿宋_GB2312"/>
          <w:b/>
          <w:bCs/>
          <w:sz w:val="52"/>
          <w:szCs w:val="52"/>
        </w:rPr>
      </w:pPr>
    </w:p>
    <w:p>
      <w:pPr>
        <w:pStyle w:val="2"/>
        <w:rPr>
          <w:sz w:val="52"/>
          <w:szCs w:val="52"/>
        </w:rPr>
      </w:pPr>
    </w:p>
    <w:p>
      <w:pPr>
        <w:jc w:val="center"/>
        <w:rPr>
          <w:rFonts w:ascii="Times New Roman" w:hAnsi="Times New Roman" w:eastAsia="黑体"/>
          <w:bCs/>
          <w:sz w:val="52"/>
          <w:szCs w:val="52"/>
        </w:rPr>
      </w:pPr>
      <w:r>
        <w:rPr>
          <w:rFonts w:hint="eastAsia" w:ascii="Times New Roman" w:hAnsi="Times New Roman" w:eastAsia="黑体"/>
          <w:bCs/>
          <w:sz w:val="52"/>
          <w:szCs w:val="52"/>
          <w:lang w:eastAsia="zh-CN"/>
        </w:rPr>
        <w:t>国资业务费（评估）</w:t>
      </w:r>
      <w:r>
        <w:rPr>
          <w:rFonts w:ascii="Times New Roman" w:hAnsi="Times New Roman" w:eastAsia="黑体"/>
          <w:bCs/>
          <w:sz w:val="52"/>
          <w:szCs w:val="52"/>
        </w:rPr>
        <w:t>项目支出</w:t>
      </w:r>
    </w:p>
    <w:p>
      <w:pPr>
        <w:jc w:val="center"/>
        <w:rPr>
          <w:rFonts w:ascii="Times New Roman" w:hAnsi="Times New Roman" w:eastAsia="黑体"/>
          <w:bCs/>
          <w:sz w:val="52"/>
          <w:szCs w:val="52"/>
        </w:rPr>
      </w:pPr>
      <w:r>
        <w:rPr>
          <w:rFonts w:ascii="Times New Roman" w:hAnsi="Times New Roman" w:eastAsia="黑体"/>
          <w:bCs/>
          <w:sz w:val="52"/>
          <w:szCs w:val="52"/>
        </w:rPr>
        <w:t>绩效自评报告（20</w:t>
      </w:r>
      <w:r>
        <w:rPr>
          <w:rFonts w:hint="eastAsia" w:ascii="Times New Roman" w:hAnsi="Times New Roman" w:eastAsia="黑体"/>
          <w:bCs/>
          <w:sz w:val="52"/>
          <w:szCs w:val="52"/>
        </w:rPr>
        <w:t>20</w:t>
      </w:r>
      <w:r>
        <w:rPr>
          <w:rFonts w:ascii="Times New Roman" w:hAnsi="Times New Roman" w:eastAsia="黑体"/>
          <w:bCs/>
          <w:sz w:val="52"/>
          <w:szCs w:val="52"/>
        </w:rPr>
        <w:t>年度）</w:t>
      </w:r>
    </w:p>
    <w:p>
      <w:pPr>
        <w:spacing w:before="120" w:after="120" w:line="480" w:lineRule="auto"/>
        <w:rPr>
          <w:rFonts w:ascii="Times New Roman" w:hAnsi="Times New Roman" w:eastAsia="黑体"/>
          <w:b/>
          <w:bCs/>
          <w:sz w:val="52"/>
          <w:szCs w:val="52"/>
        </w:rPr>
      </w:pP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w w:val="80"/>
          <w:sz w:val="28"/>
          <w:szCs w:val="28"/>
        </w:rPr>
      </w:pPr>
      <w:r>
        <w:rPr>
          <w:rFonts w:ascii="Times New Roman" w:hAnsi="Times New Roman" w:eastAsia="黑体"/>
          <w:b/>
          <w:bCs/>
          <w:sz w:val="28"/>
          <w:szCs w:val="28"/>
        </w:rPr>
        <mc:AlternateContent>
          <mc:Choice Requires="wps">
            <w:drawing>
              <wp:anchor distT="0" distB="0" distL="114300" distR="114300" simplePos="0" relativeHeight="25168998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25" name="直接箭头连接符 2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8998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IufBk4wEAAKADAAAOAAAAZHJzL2Uyb0RvYy54bWytU0uO&#10;EzEQ3SNxB8t70klEENNKZxYJwwZBJOAAFdvdbck/uUw6uQQXQGIFrIDV7DkNDMeg7GQyw7BBiF64&#10;y66qV/Wey/PznTVsqyJq7xo+GY05U054qV3X8NevLh485gwTOAnGO9XwvUJ+vrh/bz6EWk19741U&#10;kRGIw3oIDe9TCnVVoeiVBRz5oBw5Wx8tJNrGrpIRBkK3ppqOx4+qwUcZohcKkU5XBydfFPy2VSK9&#10;aFtUiZmGU2+prLGsm7xWiznUXYTQa3FsA/6hCwvaUdET1AoSsDdR/wFltYgefZtGwtvKt60WqnAg&#10;NpPxHTYvewiqcCFxMJxkwv8HK55v15Fp2fDpjDMHlu7o6t3lj7cfr75++f7h8ue399n+/ImRn8Qa&#10;AtaUs3TreNxhWMfMfNdGm//Eie2KwPuTwGqXmKDD6cOz2WxG9yCufdVNYoiYnipvWTYajimC7vq0&#10;9M7RNfo4KQLD9hkmKk2J1wm5qnFsaPjZLLMQQIPUGkhk2kDU0HUlF73R8kIbkzMwdpuliWwLeTTK&#10;lwkS7m9hucgKsD/EFddhaHoF8omTLO0DaeZounluwSrJmVH0GLJFgFAn0OZvIqm0cdRB1vigarY2&#10;Xu6L2OWcxqD0eBzZPGe39yX75mEtf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6lyg1wAAAAkB&#10;AAAPAAAAAAAAAAEAIAAAACIAAABkcnMvZG93bnJldi54bWxQSwECFAAUAAAACACHTuJAiLnwZOMB&#10;AACg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eastAsia="黑体"/>
          <w:b/>
          <w:bCs/>
          <w:sz w:val="28"/>
          <w:szCs w:val="28"/>
        </w:rPr>
        <w:t>部门名称</w:t>
      </w:r>
      <w:r>
        <w:rPr>
          <w:rFonts w:ascii="Times New Roman" w:hAnsi="Times New Roman" w:eastAsia="黑体"/>
          <w:b/>
          <w:bCs/>
          <w:w w:val="80"/>
          <w:sz w:val="28"/>
          <w:szCs w:val="28"/>
        </w:rPr>
        <w:t>（公章）：昆明市盘龙区人民政府国有资产监督管理委员会</w:t>
      </w:r>
    </w:p>
    <w:p>
      <w:pPr>
        <w:adjustRightInd w:val="0"/>
        <w:snapToGrid w:val="0"/>
        <w:spacing w:line="360" w:lineRule="auto"/>
        <w:ind w:left="1260" w:leftChars="600"/>
        <w:rPr>
          <w:rFonts w:ascii="Times New Roman" w:hAnsi="Times New Roman" w:eastAsia="黑体"/>
          <w:b/>
          <w:bCs/>
          <w:w w:val="80"/>
          <w:sz w:val="28"/>
          <w:szCs w:val="28"/>
        </w:rPr>
      </w:pPr>
      <w:r>
        <w:rPr>
          <w:rFonts w:ascii="Times New Roman" w:hAnsi="Times New Roman" w:eastAsia="黑体"/>
          <w:b/>
          <w:bCs/>
          <w:sz w:val="28"/>
          <w:szCs w:val="28"/>
        </w:rPr>
        <mc:AlternateContent>
          <mc:Choice Requires="wps">
            <w:drawing>
              <wp:anchor distT="0" distB="0" distL="114300" distR="114300" simplePos="0" relativeHeight="25169100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6" name="直接箭头连接符 2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9100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mLoxS5AEAAKADAAAOAAAAZHJzL2Uyb0RvYy54bWytU0uO&#10;EzEQ3SNxB8t70klERkwrnVkkDBsEkYADVGx3tyX/5DLp5BJcAIkVsAJWs5/TwHAMyk4mw2eDEL1w&#10;l11Vr+o9l+cXO2vYVkXU3jV8MhpzppzwUruu4a9eXj54xBkmcBKMd6rhe4X8YnH/3nwItZr63hup&#10;IiMQh/UQGt6nFOqqQtErCzjyQTlytj5aSLSNXSUjDIRuTTUdj8+qwUcZohcKkU5XBydfFPy2VSI9&#10;b1tUiZmGU2+prLGsm7xWiznUXYTQa3FsA/6hCwvaUdET1AoSsNdR/wFltYgefZtGwtvKt60WqnAg&#10;NpPxb2xe9BBU4ULiYDjJhP8PVjzbriPTsuHTM84cWLqjm7dX3958uPny+ev7q+/X77L96SMjP4k1&#10;BKwpZ+nW8bjDsI6Z+a6NNv+JE9sVgfcngdUuMUGH04fns9mM7kHc+qq7xBAxPVHesmw0HFME3fVp&#10;6Z2ja/RxUgSG7VNMVJoSbxNyVePY0PDz2XRG4ECD1BpIZNpA1NB1JRe90fJSG5MzMHabpYlsC3k0&#10;ypcJEu4vYbnICrA/xBXXYWh6BfKxkyztA2nmaLp5bsEqyZlR9BiyRYBQJ9DmbyKptHHUQdb4oGq2&#10;Nl7ui9jlnMag9Hgc2TxnP+9L9t3DWvw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GEXYNcAAAAJ&#10;AQAADwAAAAAAAAABACAAAAAiAAAAZHJzL2Rvd25yZXYueG1sUEsBAhQAFAAAAAgAh07iQKYujFLk&#10;AQAAoAMAAA4AAAAAAAAAAQAgAAAAJgEAAGRycy9lMm9Eb2MueG1sUEsFBgAAAAAGAAYAWQEAAHwF&#10;AAAAAA==&#10;">
                <v:fill on="f" focussize="0,0"/>
                <v:stroke color="#000000" joinstyle="round"/>
                <v:imagedata o:title=""/>
                <o:lock v:ext="edit" aspectratio="f"/>
              </v:shape>
            </w:pict>
          </mc:Fallback>
        </mc:AlternateContent>
      </w:r>
      <w:r>
        <w:rPr>
          <w:rFonts w:ascii="Times New Roman" w:hAnsi="Times New Roman" w:eastAsia="黑体"/>
          <w:b/>
          <w:bCs/>
          <w:sz w:val="28"/>
          <w:szCs w:val="28"/>
        </w:rPr>
        <w:t>项目单位：</w:t>
      </w:r>
      <w:r>
        <w:rPr>
          <w:rFonts w:ascii="Times New Roman" w:hAnsi="Times New Roman" w:eastAsia="黑体"/>
          <w:b/>
          <w:bCs/>
          <w:w w:val="80"/>
          <w:sz w:val="28"/>
          <w:szCs w:val="28"/>
        </w:rPr>
        <w:t>昆明市盘龙区人民政府国有资产监督管理委员会</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9203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7" name="直接箭头连接符 27"/>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9203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8o6dA5AEAAKADAAAOAAAAZHJzL2Uyb0RvYy54bWytU0uO&#10;EzEQ3SNxB8t70klEgGmlM4uEYYMgEnCAiu3utuSfXCadXIILILECVjCr2XMaGI5B2clk+GwQohfu&#10;sqvqVb3n8vx8Zw3bqojau4ZPRmPOlBNeatc1/NXLi3uPOMMEToLxTjV8r5CfL+7emQ+hVlPfeyNV&#10;ZATisB5Cw/uUQl1VKHplAUc+KEfO1kcLibaxq2SEgdCtqabj8YNq8FGG6IVCpNPVwckXBb9tlUjP&#10;2xZVYqbh1FsqayzrJq/VYg51FyH0WhzbgH/owoJ2VPQEtYIE7HXUf0BZLaJH36aR8LbybauFKhyI&#10;zWT8G5sXPQRVuJA4GE4y4f+DFc+268i0bPj0IWcOLN3R9durb28+XF9+/vr+6vuXd9n+9JGRn8Qa&#10;AtaUs3TreNxhWMfMfNdGm//Eie2KwPuTwGqXmKDD6f2z2WxG9yBufNVtYoiYnihvWTYajimC7vq0&#10;9M7RNfo4KQLD9ikmKk2JNwm5qnFsaPjZbDojcKBBag0kMm0gaui6koveaHmhjckZGLvN0kS2hTwa&#10;5csECfeXsFxkBdgf4orrMDS9AvnYSZb2gTRzNN08t2CV5MwoegzZIkCoE2jzN5FU2jjqIGt8UDVb&#10;Gy/3RexyTmNQejyObJ6zn/cl+/ZhLX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tCC/u9cAAAAJ&#10;AQAADwAAAAAAAAABACAAAAAiAAAAZHJzL2Rvd25yZXYueG1sUEsBAhQAFAAAAAgAh07iQLyjp0Dk&#10;AQAAoAMAAA4AAAAAAAAAAQAgAAAAJgEAAGRycy9lMm9Eb2MueG1sUEsFBgAAAAAGAAYAWQEAAHwF&#10;AAAAAA==&#10;">
                <v:fill on="f" focussize="0,0"/>
                <v:stroke color="#000000" joinstyle="round"/>
                <v:imagedata o:title=""/>
                <o:lock v:ext="edit" aspectratio="f"/>
              </v:shape>
            </w:pict>
          </mc:Fallback>
        </mc:AlternateContent>
      </w:r>
      <w:r>
        <w:rPr>
          <w:rFonts w:ascii="Times New Roman" w:hAnsi="Times New Roman" w:eastAsia="黑体"/>
          <w:b/>
          <w:bCs/>
          <w:sz w:val="28"/>
          <w:szCs w:val="28"/>
        </w:rPr>
        <w:t xml:space="preserve">主管部门： </w:t>
      </w:r>
      <w:r>
        <w:rPr>
          <w:rFonts w:hint="eastAsia" w:ascii="Times New Roman" w:hAnsi="Times New Roman" w:eastAsia="黑体"/>
          <w:b/>
          <w:bCs/>
          <w:w w:val="80"/>
          <w:sz w:val="28"/>
          <w:szCs w:val="28"/>
          <w:lang w:eastAsia="zh-CN"/>
        </w:rPr>
        <w:t>昆明市盘龙区财政局</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b/>
          <w:bCs/>
          <w:sz w:val="28"/>
          <w:szCs w:val="28"/>
        </w:rPr>
        <mc:AlternateContent>
          <mc:Choice Requires="wps">
            <w:drawing>
              <wp:anchor distT="0" distB="0" distL="114300" distR="114300" simplePos="0" relativeHeight="25169305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8" name="直接箭头连接符 28"/>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9305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qaCmv4wEAAKA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2fApdcqBpR5dvbv88fbj1dcv3z9c/vz2PtufPzHyk1hD&#10;wJpilm4djzsM65iZ79po8584sV0ReH8SWO0SE3Q4fXg2m82oD+LaV90EhojpqfKWZaPhmCLork9L&#10;7xy10cdJERi2zzBRagq8DshZjWNDw89m0xmBAw1SayCRaQNRQ9eVWPRGywttTI7A2G2WJrIt5NEo&#10;XyZIuL9dy0lWgP3hXnEdhqZXIJ84ydI+kGaOppvnEqySnBlFjyFbBAh1Am3+5ialNo4qyBofVM3W&#10;xst9Ebuc0xiUGo8jm+fs9r5E3zysx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Kmgpr+MB&#10;AACg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eastAsia="黑体"/>
          <w:b/>
          <w:bCs/>
          <w:sz w:val="28"/>
          <w:szCs w:val="28"/>
        </w:rPr>
        <w:t>项目名称： 国资业务费</w:t>
      </w:r>
      <w:r>
        <w:rPr>
          <w:rFonts w:hint="eastAsia" w:ascii="Times New Roman" w:hAnsi="Times New Roman" w:eastAsia="黑体"/>
          <w:b/>
          <w:bCs/>
          <w:sz w:val="28"/>
          <w:szCs w:val="28"/>
          <w:lang w:eastAsia="zh-CN"/>
        </w:rPr>
        <w:t>评估项目</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9408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9" name="直接箭头连接符 29"/>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9408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w5QK94wEAAKADAAAOAAAAZHJzL2Uyb0RvYy54bWytU0uO&#10;EzEQ3SNxB8t70klEEGmlM4uEYYMgEnCAiu3utuSfXCadXIILILECVsBq9pwGhmNQdjIZPhuE6IW7&#10;7Kp6Ve+5vLjYW8N2KqL2ruGT0Zgz5YSX2nUNf/ni8t5DzjCBk2C8Uw0/KOQXy7t3FkOo1dT33kgV&#10;GYE4rIfQ8D6lUFcVil5ZwJEPypGz9dFCom3sKhlhIHRrqul4/KAafJQheqEQ6XR9dPJlwW9bJdKz&#10;tkWVmGk49ZbKGsu6zWu1XEDdRQi9Fqc24B+6sKAdFT1DrSEBexX1H1BWi+jRt2kkvK1822qhCgdi&#10;Mxn/xuZ5D0EVLiQOhrNM+P9gxdPdJjItGz6dc+bA0h1dv7n69vr99edPX99dff/yNtsfPzDyk1hD&#10;wJpyVm4TTzsMm5iZ79to8584sX0R+HAWWO0TE3Q4vT+fzWZ0D+LGV90mhojpsfKWZaPhmCLork8r&#10;7xxdo4+TIjDsnmCi0pR4k5CrGseGhs9n0xmBAw1SayCRaQNRQ9eVXPRGy0ttTM7A2G1XJrId5NEo&#10;XyZIuL+E5SJrwP4YV1zHoekVyEdOsnQIpJmj6ea5BaskZ0bRY8gWAUKdQJu/iaTSxlEHWeOjqtna&#10;enkoYpdzGoPS42lk85z9vC/Ztw9r+Q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MOUCveMB&#10;AACgAwAADgAAAAAAAAABACAAAAAmAQAAZHJzL2Uyb0RvYy54bWxQSwUGAAAAAAYABgBZAQAAewUA&#10;AAAA&#10;">
                <v:fill on="f" focussize="0,0"/>
                <v:stroke color="#000000" joinstyle="round"/>
                <v:imagedata o:title=""/>
                <o:lock v:ext="edit" aspectratio="f"/>
              </v:shape>
            </w:pict>
          </mc:Fallback>
        </mc:AlternateContent>
      </w:r>
      <w:r>
        <w:rPr>
          <w:rFonts w:ascii="Times New Roman" w:hAnsi="Times New Roman" w:eastAsia="黑体"/>
          <w:b/>
          <w:bCs/>
          <w:sz w:val="28"/>
          <w:szCs w:val="28"/>
        </w:rPr>
        <w:t xml:space="preserve">绩效自评日期：  </w:t>
      </w:r>
      <w:r>
        <w:rPr>
          <w:rFonts w:hint="eastAsia" w:ascii="Times New Roman" w:hAnsi="Times New Roman" w:eastAsia="黑体"/>
          <w:b/>
          <w:bCs/>
          <w:sz w:val="28"/>
          <w:szCs w:val="28"/>
        </w:rPr>
        <w:t>2021</w:t>
      </w:r>
      <w:r>
        <w:rPr>
          <w:rFonts w:ascii="Times New Roman" w:hAnsi="Times New Roman" w:eastAsia="黑体"/>
          <w:b/>
          <w:bCs/>
          <w:sz w:val="28"/>
          <w:szCs w:val="28"/>
        </w:rPr>
        <w:t>年</w:t>
      </w:r>
      <w:r>
        <w:rPr>
          <w:rFonts w:hint="eastAsia" w:ascii="Times New Roman" w:hAnsi="Times New Roman" w:eastAsia="黑体"/>
          <w:b/>
          <w:bCs/>
          <w:sz w:val="28"/>
          <w:szCs w:val="28"/>
        </w:rPr>
        <w:t>5</w:t>
      </w:r>
      <w:r>
        <w:rPr>
          <w:rFonts w:ascii="Times New Roman" w:hAnsi="Times New Roman" w:eastAsia="黑体"/>
          <w:b/>
          <w:bCs/>
          <w:sz w:val="28"/>
          <w:szCs w:val="28"/>
        </w:rPr>
        <w:t xml:space="preserve">月    </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rPr>
        <w:t>1</w:t>
      </w:r>
      <w:r>
        <w:rPr>
          <w:rFonts w:ascii="Times New Roman" w:hAnsi="Times New Roman" w:eastAsia="黑体"/>
          <w:b/>
          <w:bCs/>
          <w:sz w:val="28"/>
          <w:szCs w:val="28"/>
        </w:rPr>
        <w:t>年</w:t>
      </w:r>
      <w:r>
        <w:rPr>
          <w:rFonts w:hint="eastAsia" w:ascii="Times New Roman" w:hAnsi="Times New Roman" w:eastAsia="黑体"/>
          <w:b/>
          <w:bCs/>
          <w:sz w:val="28"/>
          <w:szCs w:val="28"/>
        </w:rPr>
        <w:t>5</w:t>
      </w:r>
      <w:r>
        <w:rPr>
          <w:rFonts w:ascii="Times New Roman" w:hAnsi="Times New Roman" w:eastAsia="黑体"/>
          <w:b/>
          <w:bCs/>
          <w:sz w:val="28"/>
          <w:szCs w:val="28"/>
        </w:rPr>
        <w:t>月</w:t>
      </w:r>
    </w:p>
    <w:p>
      <w:pPr>
        <w:rPr>
          <w:rFonts w:ascii="Times New Roman" w:hAnsi="Times New Roman" w:eastAsia="黑体"/>
          <w:b/>
          <w:bCs/>
          <w:sz w:val="28"/>
          <w:szCs w:val="28"/>
        </w:rPr>
      </w:pPr>
    </w:p>
    <w:p>
      <w:pPr>
        <w:rPr>
          <w:rFonts w:ascii="Times New Roman" w:hAnsi="Times New Roman" w:eastAsia="黑体"/>
          <w:b/>
          <w:bCs/>
          <w:sz w:val="28"/>
          <w:szCs w:val="28"/>
        </w:rPr>
      </w:pPr>
    </w:p>
    <w:p>
      <w:pPr>
        <w:spacing w:line="600" w:lineRule="exact"/>
        <w:rPr>
          <w:rFonts w:ascii="Times New Roman" w:hAnsi="Times New Roman" w:eastAsia="黑体"/>
          <w:b/>
          <w:bCs/>
          <w:sz w:val="28"/>
          <w:szCs w:val="28"/>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620"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1620"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621"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620" w:type="dxa"/>
            <w:vAlign w:val="center"/>
          </w:tcPr>
          <w:p>
            <w:pPr>
              <w:pStyle w:val="10"/>
              <w:widowControl w:val="0"/>
              <w:spacing w:after="0" w:line="600" w:lineRule="exact"/>
              <w:jc w:val="both"/>
              <w:rPr>
                <w:rFonts w:hint="eastAsia" w:ascii="Times New Roman" w:hAnsi="Times New Roman" w:eastAsia="黑体" w:cs="Times New Roman"/>
                <w:kern w:val="2"/>
                <w:sz w:val="24"/>
                <w:szCs w:val="24"/>
                <w:lang w:val="en-US" w:eastAsia="zh-CN"/>
              </w:rPr>
            </w:pPr>
            <w:r>
              <w:rPr>
                <w:rFonts w:hint="eastAsia" w:ascii="Times New Roman" w:hAnsi="Times New Roman" w:eastAsia="黑体" w:cs="Times New Roman"/>
                <w:kern w:val="2"/>
                <w:sz w:val="24"/>
                <w:szCs w:val="24"/>
                <w:lang w:val="en-US" w:eastAsia="zh-CN"/>
              </w:rPr>
              <w:t>朱俊琦</w:t>
            </w:r>
          </w:p>
        </w:tc>
        <w:tc>
          <w:tcPr>
            <w:tcW w:w="1620" w:type="dxa"/>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p>
        </w:tc>
        <w:tc>
          <w:tcPr>
            <w:tcW w:w="1621" w:type="dxa"/>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r>
              <w:rPr>
                <w:rFonts w:hint="eastAsia" w:ascii="Times New Roman" w:hAnsi="Times New Roman" w:eastAsia="黑体" w:cs="Times New Roman"/>
                <w:kern w:val="2"/>
                <w:sz w:val="24"/>
                <w:szCs w:val="24"/>
                <w:lang w:val="zh-TW" w:eastAsia="zh-CN"/>
              </w:rPr>
              <w:t>资产管理部</w:t>
            </w:r>
          </w:p>
        </w:tc>
        <w:tc>
          <w:tcPr>
            <w:tcW w:w="1621" w:type="dxa"/>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620" w:type="dxa"/>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c>
          <w:tcPr>
            <w:tcW w:w="1620" w:type="dxa"/>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c>
          <w:tcPr>
            <w:tcW w:w="1621" w:type="dxa"/>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c>
          <w:tcPr>
            <w:tcW w:w="1621" w:type="dxa"/>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620" w:type="dxa"/>
          </w:tcPr>
          <w:p>
            <w:pPr>
              <w:pStyle w:val="10"/>
              <w:widowControl w:val="0"/>
              <w:spacing w:after="0" w:line="600" w:lineRule="exact"/>
              <w:jc w:val="both"/>
              <w:rPr>
                <w:rFonts w:hint="eastAsia" w:ascii="Times New Roman" w:hAnsi="Times New Roman" w:eastAsia="黑体" w:cs="Times New Roman"/>
                <w:kern w:val="2"/>
                <w:sz w:val="24"/>
                <w:szCs w:val="24"/>
                <w:lang w:eastAsia="zh-CN"/>
              </w:rPr>
            </w:pPr>
          </w:p>
        </w:tc>
        <w:tc>
          <w:tcPr>
            <w:tcW w:w="1620" w:type="dxa"/>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p>
        </w:tc>
        <w:tc>
          <w:tcPr>
            <w:tcW w:w="1621" w:type="dxa"/>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p>
        </w:tc>
        <w:tc>
          <w:tcPr>
            <w:tcW w:w="1621" w:type="dxa"/>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ind w:firstLine="6240" w:firstLineChars="2600"/>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 xml:space="preserve">年  </w:t>
            </w:r>
            <w:r>
              <w:rPr>
                <w:rFonts w:hint="eastAsia" w:ascii="Times New Roman" w:hAnsi="Times New Roman" w:eastAsia="黑体" w:cs="Times New Roman"/>
                <w:kern w:val="2"/>
                <w:sz w:val="24"/>
                <w:szCs w:val="24"/>
              </w:rPr>
              <w:t xml:space="preserve"> </w:t>
            </w:r>
            <w:r>
              <w:rPr>
                <w:rFonts w:ascii="Times New Roman" w:hAnsi="Times New Roman" w:eastAsia="黑体" w:cs="Times New Roman"/>
                <w:kern w:val="2"/>
                <w:sz w:val="24"/>
                <w:szCs w:val="24"/>
                <w:lang w:val="zh-TW"/>
              </w:rPr>
              <w:t xml:space="preserve">月 </w:t>
            </w:r>
            <w:r>
              <w:rPr>
                <w:rFonts w:hint="eastAsia" w:ascii="Times New Roman" w:hAnsi="Times New Roman" w:eastAsia="黑体" w:cs="Times New Roman"/>
                <w:kern w:val="2"/>
                <w:sz w:val="24"/>
                <w:szCs w:val="24"/>
              </w:rPr>
              <w:t xml:space="preserve"> </w:t>
            </w:r>
            <w:r>
              <w:rPr>
                <w:rFonts w:ascii="Times New Roman" w:hAnsi="Times New Roman" w:eastAsia="黑体" w:cs="Times New Roman"/>
                <w:kern w:val="2"/>
                <w:sz w:val="24"/>
                <w:szCs w:val="24"/>
                <w:lang w:val="zh-TW"/>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ind w:firstLine="6240" w:firstLineChars="2600"/>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 xml:space="preserve">年  </w:t>
            </w:r>
            <w:r>
              <w:rPr>
                <w:rFonts w:hint="eastAsia" w:ascii="Times New Roman" w:hAnsi="Times New Roman" w:eastAsia="黑体" w:cs="Times New Roman"/>
                <w:kern w:val="2"/>
                <w:sz w:val="24"/>
                <w:szCs w:val="24"/>
              </w:rPr>
              <w:t xml:space="preserve"> </w:t>
            </w:r>
            <w:r>
              <w:rPr>
                <w:rFonts w:ascii="Times New Roman" w:hAnsi="Times New Roman" w:eastAsia="黑体" w:cs="Times New Roman"/>
                <w:kern w:val="2"/>
                <w:sz w:val="24"/>
                <w:szCs w:val="24"/>
                <w:lang w:val="zh-TW"/>
              </w:rPr>
              <w:t xml:space="preserve">月  </w:t>
            </w:r>
            <w:r>
              <w:rPr>
                <w:rFonts w:hint="eastAsia" w:ascii="Times New Roman" w:hAnsi="Times New Roman" w:eastAsia="黑体" w:cs="Times New Roman"/>
                <w:kern w:val="2"/>
                <w:sz w:val="24"/>
                <w:szCs w:val="24"/>
              </w:rPr>
              <w:t xml:space="preserve"> </w:t>
            </w:r>
            <w:r>
              <w:rPr>
                <w:rFonts w:ascii="Times New Roman" w:hAnsi="Times New Roman" w:eastAsia="黑体" w:cs="Times New Roman"/>
                <w:kern w:val="2"/>
                <w:sz w:val="24"/>
                <w:szCs w:val="24"/>
                <w:lang w:val="zh-TW"/>
              </w:rPr>
              <w:t>日</w:t>
            </w:r>
          </w:p>
        </w:tc>
      </w:tr>
    </w:tbl>
    <w:p>
      <w:pPr>
        <w:pStyle w:val="10"/>
        <w:widowControl w:val="0"/>
        <w:spacing w:after="0" w:line="600" w:lineRule="exact"/>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600" w:lineRule="exact"/>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11"/>
        <w:jc w:val="center"/>
        <w:rPr>
          <w:rFonts w:ascii="Times New Roman" w:hAnsi="Times New Roman" w:cs="Times New Roman"/>
          <w:color w:val="auto"/>
        </w:rPr>
      </w:pPr>
      <w:r>
        <w:rPr>
          <w:rFonts w:ascii="Times New Roman" w:hAnsi="Times New Roman" w:cs="Times New Roman"/>
          <w:color w:val="auto"/>
          <w:lang w:val="zh-CN"/>
        </w:rPr>
        <w:t>目</w:t>
      </w:r>
      <w:r>
        <w:rPr>
          <w:rFonts w:hint="eastAsia" w:ascii="Times New Roman" w:hAnsi="Times New Roman" w:cs="Times New Roman"/>
          <w:color w:val="auto"/>
        </w:rPr>
        <w:t xml:space="preserve">  </w:t>
      </w:r>
      <w:r>
        <w:rPr>
          <w:rFonts w:ascii="Times New Roman" w:hAnsi="Times New Roman" w:cs="Times New Roman"/>
          <w:color w:val="auto"/>
          <w:lang w:val="zh-CN"/>
        </w:rPr>
        <w:t>录</w:t>
      </w:r>
    </w:p>
    <w:p>
      <w:pPr>
        <w:spacing w:line="440" w:lineRule="exact"/>
        <w:ind w:firstLine="420" w:firstLineChars="200"/>
        <w:rPr>
          <w:rFonts w:ascii="Times New Roman" w:hAnsi="Times New Roman" w:eastAsia="黑体"/>
          <w:szCs w:val="32"/>
        </w:rPr>
      </w:pPr>
      <w:r>
        <w:rPr>
          <w:rFonts w:hint="eastAsia" w:ascii="Times New Roman" w:hAnsi="Times New Roman" w:eastAsia="黑体"/>
          <w:szCs w:val="32"/>
          <w:lang w:eastAsia="zh-CN"/>
        </w:rPr>
        <w:t>一、</w:t>
      </w:r>
      <w:r>
        <w:rPr>
          <w:rFonts w:ascii="Times New Roman" w:hAnsi="Times New Roman" w:eastAsia="黑体"/>
          <w:szCs w:val="32"/>
        </w:rPr>
        <w:t>摘要</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hint="eastAsia" w:ascii="Times New Roman" w:hAnsi="Times New Roman" w:eastAsia="黑体"/>
          <w:szCs w:val="32"/>
          <w:lang w:eastAsia="zh-CN"/>
        </w:rPr>
        <w:t>二、</w:t>
      </w:r>
      <w:r>
        <w:rPr>
          <w:rFonts w:ascii="Times New Roman" w:hAnsi="Times New Roman" w:eastAsia="黑体"/>
          <w:szCs w:val="32"/>
        </w:rPr>
        <w:t>项目基本情况</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（一）项目</w:t>
      </w:r>
      <w:r>
        <w:rPr>
          <w:rFonts w:hint="eastAsia" w:ascii="Times New Roman" w:hAnsi="Times New Roman" w:eastAsia="黑体"/>
          <w:szCs w:val="32"/>
          <w:lang w:eastAsia="zh-CN"/>
        </w:rPr>
        <w:t>概况</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 xml:space="preserve">（二）绩效目标 </w:t>
      </w:r>
    </w:p>
    <w:p>
      <w:pPr>
        <w:spacing w:line="440" w:lineRule="exact"/>
        <w:ind w:firstLine="420" w:firstLineChars="200"/>
        <w:rPr>
          <w:rFonts w:ascii="Times New Roman" w:hAnsi="Times New Roman" w:eastAsia="黑体"/>
          <w:szCs w:val="32"/>
        </w:rPr>
      </w:pPr>
      <w:r>
        <w:rPr>
          <w:rFonts w:hint="eastAsia" w:ascii="Times New Roman" w:hAnsi="Times New Roman" w:eastAsia="黑体"/>
          <w:szCs w:val="32"/>
          <w:lang w:eastAsia="zh-CN"/>
        </w:rPr>
        <w:t>三、</w:t>
      </w:r>
      <w:r>
        <w:rPr>
          <w:rFonts w:ascii="Times New Roman" w:hAnsi="Times New Roman" w:eastAsia="黑体"/>
          <w:szCs w:val="32"/>
        </w:rPr>
        <w:t>绩效评价工作情况</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(一)</w:t>
      </w:r>
      <w:r>
        <w:rPr>
          <w:rFonts w:hint="eastAsia" w:ascii="Times New Roman" w:hAnsi="Times New Roman" w:eastAsia="黑体"/>
          <w:szCs w:val="32"/>
          <w:lang w:eastAsia="zh-CN"/>
        </w:rPr>
        <w:t>绩效</w:t>
      </w:r>
      <w:r>
        <w:rPr>
          <w:rFonts w:ascii="Times New Roman" w:hAnsi="Times New Roman" w:eastAsia="黑体"/>
          <w:szCs w:val="32"/>
        </w:rPr>
        <w:t>评价目的</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(二)绩效评价工作方案制定过程</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(三)绩效评价原则、评价方法</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(四)绩效评价实施过程</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hint="eastAsia" w:ascii="Times New Roman" w:hAnsi="Times New Roman" w:eastAsia="黑体"/>
          <w:szCs w:val="32"/>
          <w:lang w:eastAsia="zh-CN"/>
        </w:rPr>
        <w:t>四、</w:t>
      </w:r>
      <w:r>
        <w:rPr>
          <w:rFonts w:ascii="Times New Roman" w:hAnsi="Times New Roman" w:eastAsia="黑体"/>
          <w:szCs w:val="32"/>
        </w:rPr>
        <w:t>评价结论</w:t>
      </w:r>
      <w:r>
        <w:rPr>
          <w:rFonts w:hint="eastAsia" w:ascii="Times New Roman" w:hAnsi="Times New Roman" w:eastAsia="黑体"/>
          <w:szCs w:val="32"/>
          <w:lang w:eastAsia="zh-CN"/>
        </w:rPr>
        <w:t>和</w:t>
      </w:r>
      <w:r>
        <w:rPr>
          <w:rFonts w:ascii="Times New Roman" w:hAnsi="Times New Roman" w:eastAsia="黑体"/>
          <w:szCs w:val="32"/>
        </w:rPr>
        <w:t xml:space="preserve">绩效分析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(一)评价结论</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(二)绩效分析</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hint="eastAsia" w:ascii="Times New Roman" w:hAnsi="Times New Roman" w:eastAsia="黑体"/>
          <w:szCs w:val="32"/>
          <w:lang w:eastAsia="zh-CN"/>
        </w:rPr>
        <w:t>五、</w:t>
      </w:r>
      <w:r>
        <w:rPr>
          <w:rFonts w:ascii="Times New Roman" w:hAnsi="Times New Roman" w:eastAsia="黑体"/>
          <w:szCs w:val="32"/>
        </w:rPr>
        <w:t xml:space="preserve">主要经验及做法、存在的问题和建议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(一)主要经验及做法</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ascii="Times New Roman" w:hAnsi="Times New Roman" w:eastAsia="黑体"/>
          <w:szCs w:val="32"/>
        </w:rPr>
      </w:pPr>
      <w:r>
        <w:rPr>
          <w:rFonts w:ascii="Times New Roman" w:hAnsi="Times New Roman" w:eastAsia="黑体"/>
          <w:szCs w:val="32"/>
        </w:rPr>
        <w:t>(二)存在的问题</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rPr>
          <w:rFonts w:hint="eastAsia" w:ascii="Times New Roman" w:hAnsi="Times New Roman" w:eastAsia="黑体"/>
          <w:szCs w:val="32"/>
          <w:lang w:eastAsia="zh-CN"/>
        </w:rPr>
      </w:pPr>
      <w:r>
        <w:rPr>
          <w:rFonts w:ascii="Times New Roman" w:hAnsi="Times New Roman" w:eastAsia="黑体"/>
          <w:szCs w:val="32"/>
        </w:rPr>
        <w:t>(三)改进措施</w:t>
      </w:r>
      <w:r>
        <w:rPr>
          <w:rFonts w:hint="eastAsia" w:ascii="Times New Roman" w:hAnsi="Times New Roman" w:eastAsia="黑体"/>
          <w:szCs w:val="32"/>
          <w:lang w:eastAsia="zh-CN"/>
        </w:rPr>
        <w:t>及</w:t>
      </w:r>
      <w:r>
        <w:rPr>
          <w:rFonts w:ascii="Times New Roman" w:hAnsi="Times New Roman" w:eastAsia="黑体"/>
          <w:szCs w:val="32"/>
        </w:rPr>
        <w:t>建议</w:t>
      </w:r>
    </w:p>
    <w:p>
      <w:pPr>
        <w:pStyle w:val="2"/>
        <w:rPr>
          <w:rFonts w:hint="eastAsia" w:ascii="Times New Roman" w:hAnsi="Times New Roman" w:eastAsia="黑体"/>
          <w:szCs w:val="32"/>
          <w:lang w:eastAsia="zh-CN"/>
        </w:rPr>
      </w:pPr>
    </w:p>
    <w:p>
      <w:pPr>
        <w:pStyle w:val="2"/>
        <w:rPr>
          <w:rFonts w:hint="eastAsia" w:ascii="Times New Roman" w:hAnsi="Times New Roman" w:eastAsia="黑体"/>
          <w:szCs w:val="32"/>
          <w:lang w:eastAsia="zh-CN"/>
        </w:rPr>
      </w:pPr>
    </w:p>
    <w:p>
      <w:pPr>
        <w:pStyle w:val="2"/>
        <w:rPr>
          <w:rFonts w:hint="eastAsia" w:ascii="Times New Roman" w:hAnsi="Times New Roman" w:eastAsia="黑体"/>
          <w:szCs w:val="32"/>
          <w:lang w:eastAsia="zh-CN"/>
        </w:rPr>
      </w:pPr>
    </w:p>
    <w:p>
      <w:pPr>
        <w:pStyle w:val="2"/>
        <w:rPr>
          <w:rFonts w:hint="eastAsia" w:ascii="Times New Roman" w:hAnsi="Times New Roman" w:eastAsia="黑体"/>
          <w:szCs w:val="32"/>
          <w:lang w:eastAsia="zh-CN"/>
        </w:rPr>
      </w:pPr>
    </w:p>
    <w:p>
      <w:pPr>
        <w:pStyle w:val="2"/>
        <w:rPr>
          <w:rFonts w:hint="eastAsia" w:ascii="Times New Roman" w:hAnsi="Times New Roman" w:eastAsia="黑体"/>
          <w:szCs w:val="32"/>
          <w:lang w:eastAsia="zh-CN"/>
        </w:rPr>
      </w:pPr>
    </w:p>
    <w:p>
      <w:pPr>
        <w:pStyle w:val="2"/>
        <w:rPr>
          <w:rFonts w:hint="eastAsia" w:ascii="Times New Roman" w:hAnsi="Times New Roman" w:eastAsia="黑体"/>
          <w:szCs w:val="32"/>
          <w:lang w:eastAsia="zh-CN"/>
        </w:rPr>
      </w:pPr>
    </w:p>
    <w:p>
      <w:pPr>
        <w:pStyle w:val="2"/>
        <w:rPr>
          <w:rFonts w:hint="eastAsia" w:ascii="Times New Roman" w:hAnsi="Times New Roman" w:eastAsia="黑体"/>
          <w:szCs w:val="32"/>
          <w:lang w:eastAsia="zh-CN"/>
        </w:rPr>
      </w:pPr>
    </w:p>
    <w:p>
      <w:pPr>
        <w:pStyle w:val="2"/>
        <w:rPr>
          <w:rFonts w:hint="eastAsia" w:ascii="Times New Roman" w:hAnsi="Times New Roman" w:eastAsia="黑体"/>
          <w:szCs w:val="32"/>
          <w:lang w:eastAsia="zh-CN"/>
        </w:rPr>
      </w:pPr>
    </w:p>
    <w:p>
      <w:pPr>
        <w:topLinePunct/>
        <w:spacing w:line="440" w:lineRule="exact"/>
        <w:ind w:firstLine="420" w:firstLineChars="200"/>
        <w:rPr>
          <w:rFonts w:ascii="Times New Roman" w:hAnsi="Times New Roman" w:eastAsia="黑体"/>
          <w:szCs w:val="32"/>
        </w:rPr>
      </w:pPr>
    </w:p>
    <w:p>
      <w:pPr>
        <w:spacing w:line="540" w:lineRule="exact"/>
        <w:rPr>
          <w:rFonts w:ascii="Times New Roman" w:hAnsi="Times New Roman" w:eastAsia="方正小标宋_GBK"/>
          <w:szCs w:val="32"/>
        </w:rPr>
      </w:pPr>
    </w:p>
    <w:p>
      <w:pPr>
        <w:pStyle w:val="2"/>
      </w:pPr>
    </w:p>
    <w:p>
      <w:pPr>
        <w:spacing w:line="540" w:lineRule="exact"/>
        <w:rPr>
          <w:rFonts w:ascii="Times New Roman" w:hAnsi="Times New Roman" w:eastAsia="方正小标宋_GBK"/>
          <w:szCs w:val="32"/>
        </w:rPr>
      </w:pP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国资业务费项目支出绩效自评报告</w:t>
      </w:r>
    </w:p>
    <w:p>
      <w:pPr>
        <w:spacing w:line="600" w:lineRule="exact"/>
        <w:ind w:firstLine="420" w:firstLineChars="200"/>
        <w:rPr>
          <w:rFonts w:ascii="Times New Roman" w:hAnsi="Times New Roman" w:eastAsia="黑体"/>
          <w:szCs w:val="32"/>
        </w:rPr>
      </w:pPr>
    </w:p>
    <w:p>
      <w:pPr>
        <w:keepNext w:val="0"/>
        <w:keepLines w:val="0"/>
        <w:pageBreakBefore w:val="0"/>
        <w:widowControl w:val="0"/>
        <w:kinsoku/>
        <w:wordWrap/>
        <w:overflowPunct/>
        <w:bidi w:val="0"/>
        <w:snapToGrid/>
        <w:spacing w:line="600" w:lineRule="exact"/>
        <w:ind w:firstLine="640" w:firstLineChars="200"/>
        <w:jc w:val="both"/>
        <w:textAlignment w:val="auto"/>
        <w:rPr>
          <w:rFonts w:ascii="Times New Roman" w:hAnsi="Times New Roman" w:eastAsia="方正小标宋_GBK"/>
          <w:sz w:val="32"/>
          <w:szCs w:val="32"/>
        </w:rPr>
      </w:pPr>
      <w:r>
        <w:rPr>
          <w:rFonts w:hint="eastAsia" w:ascii="Times New Roman" w:hAnsi="Times New Roman" w:eastAsia="方正小标宋_GBK"/>
          <w:sz w:val="32"/>
          <w:szCs w:val="32"/>
          <w:lang w:eastAsia="zh-CN"/>
        </w:rPr>
        <w:t>一、</w:t>
      </w:r>
      <w:r>
        <w:rPr>
          <w:rFonts w:ascii="Times New Roman" w:hAnsi="Times New Roman" w:eastAsia="方正小标宋_GBK"/>
          <w:sz w:val="32"/>
          <w:szCs w:val="32"/>
        </w:rPr>
        <w:t>摘要</w:t>
      </w:r>
    </w:p>
    <w:p>
      <w:pPr>
        <w:keepNext w:val="0"/>
        <w:keepLines w:val="0"/>
        <w:pageBreakBefore w:val="0"/>
        <w:widowControl w:val="0"/>
        <w:kinsoku/>
        <w:wordWrap/>
        <w:overflowPunct/>
        <w:bidi w:val="0"/>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项目概况</w:t>
      </w:r>
    </w:p>
    <w:p>
      <w:pPr>
        <w:keepNext w:val="0"/>
        <w:keepLines w:val="0"/>
        <w:pageBreakBefore w:val="0"/>
        <w:widowControl w:val="0"/>
        <w:kinsoku/>
        <w:wordWrap/>
        <w:overflowPunct/>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为保障经营性资保值增值，聘请第三方评估公司对拟出租资产进行询价，对盘龙公安分局拟购置的资产进行评估。</w:t>
      </w:r>
    </w:p>
    <w:p>
      <w:pPr>
        <w:keepNext w:val="0"/>
        <w:keepLines w:val="0"/>
        <w:pageBreakBefore w:val="0"/>
        <w:widowControl w:val="0"/>
        <w:kinsoku/>
        <w:wordWrap/>
        <w:overflowPunct/>
        <w:bidi w:val="0"/>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评价结论</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根据项目支出绩效评价指标体系框架评价得分为</w:t>
      </w:r>
      <w:r>
        <w:rPr>
          <w:rFonts w:hint="eastAsia" w:ascii="Times New Roman" w:hAnsi="Times New Roman" w:eastAsia="仿宋_GB2312"/>
          <w:sz w:val="32"/>
          <w:szCs w:val="32"/>
        </w:rPr>
        <w:t>99.5</w:t>
      </w:r>
      <w:r>
        <w:rPr>
          <w:rFonts w:ascii="Times New Roman" w:hAnsi="Times New Roman" w:eastAsia="仿宋_GB2312"/>
          <w:sz w:val="32"/>
          <w:szCs w:val="32"/>
        </w:rPr>
        <w:t>分</w:t>
      </w:r>
      <w:r>
        <w:rPr>
          <w:rFonts w:hint="eastAsia" w:ascii="Times New Roman" w:hAnsi="Times New Roman" w:eastAsia="仿宋_GB2312"/>
          <w:sz w:val="32"/>
          <w:szCs w:val="32"/>
        </w:rPr>
        <w:t>，</w:t>
      </w:r>
      <w:r>
        <w:rPr>
          <w:rFonts w:ascii="Times New Roman" w:hAnsi="Times New Roman" w:eastAsia="仿宋_GB2312"/>
          <w:sz w:val="32"/>
          <w:szCs w:val="32"/>
        </w:rPr>
        <w:t>预算执行进度为100%</w:t>
      </w:r>
      <w:r>
        <w:rPr>
          <w:rFonts w:hint="eastAsia" w:ascii="Times New Roman" w:hAnsi="Times New Roman" w:eastAsia="仿宋_GB2312"/>
          <w:sz w:val="32"/>
          <w:szCs w:val="32"/>
        </w:rPr>
        <w:t>。</w:t>
      </w:r>
    </w:p>
    <w:p>
      <w:pPr>
        <w:keepNext w:val="0"/>
        <w:keepLines w:val="0"/>
        <w:pageBreakBefore w:val="0"/>
        <w:widowControl w:val="0"/>
        <w:kinsoku/>
        <w:wordWrap/>
        <w:overflowPunct/>
        <w:bidi w:val="0"/>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经验、问题和建议</w:t>
      </w:r>
    </w:p>
    <w:p>
      <w:pPr>
        <w:keepNext w:val="0"/>
        <w:keepLines w:val="0"/>
        <w:pageBreakBefore w:val="0"/>
        <w:widowControl w:val="0"/>
        <w:kinsoku/>
        <w:wordWrap/>
        <w:overflowPunct/>
        <w:bidi w:val="0"/>
        <w:snapToGrid/>
        <w:spacing w:line="600" w:lineRule="exact"/>
        <w:ind w:firstLine="640" w:firstLineChars="200"/>
        <w:textAlignment w:val="auto"/>
        <w:rPr>
          <w:rFonts w:hint="eastAsia" w:ascii="Times New Roman" w:hAnsi="Times New Roman" w:eastAsia="黑体"/>
          <w:sz w:val="32"/>
          <w:szCs w:val="32"/>
        </w:rPr>
      </w:pPr>
      <w:r>
        <w:rPr>
          <w:rFonts w:hint="eastAsia" w:ascii="Times New Roman" w:hAnsi="Times New Roman" w:eastAsia="仿宋_GB2312"/>
          <w:sz w:val="32"/>
          <w:szCs w:val="32"/>
          <w:lang w:val="en-US" w:eastAsia="zh-CN"/>
        </w:rPr>
        <w:t>1.</w:t>
      </w:r>
      <w:r>
        <w:rPr>
          <w:rFonts w:ascii="Times New Roman" w:hAnsi="Times New Roman" w:eastAsia="仿宋_GB2312"/>
          <w:sz w:val="32"/>
          <w:szCs w:val="32"/>
        </w:rPr>
        <w:t>主要经验及做法：</w:t>
      </w:r>
      <w:r>
        <w:rPr>
          <w:rFonts w:hint="eastAsia" w:ascii="Times New Roman" w:hAnsi="Times New Roman" w:eastAsia="仿宋_GB2312"/>
          <w:sz w:val="32"/>
          <w:szCs w:val="32"/>
        </w:rPr>
        <w:t>通过购买服务方式，聘请第三方调价机构对资产进行评估和调价。</w:t>
      </w:r>
    </w:p>
    <w:p>
      <w:pPr>
        <w:keepNext w:val="0"/>
        <w:keepLines w:val="0"/>
        <w:pageBreakBefore w:val="0"/>
        <w:widowControl w:val="0"/>
        <w:kinsoku/>
        <w:wordWrap/>
        <w:overflowPunct/>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存在的问题：需强化对</w:t>
      </w:r>
      <w:r>
        <w:rPr>
          <w:rFonts w:hint="eastAsia" w:ascii="Times New Roman" w:hAnsi="Times New Roman" w:eastAsia="仿宋_GB2312"/>
          <w:sz w:val="32"/>
          <w:szCs w:val="32"/>
        </w:rPr>
        <w:t>项目的</w:t>
      </w:r>
      <w:r>
        <w:rPr>
          <w:rFonts w:ascii="Times New Roman" w:hAnsi="Times New Roman" w:eastAsia="仿宋_GB2312"/>
          <w:sz w:val="32"/>
          <w:szCs w:val="32"/>
        </w:rPr>
        <w:t>管理及追踪。</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黑体"/>
          <w:szCs w:val="32"/>
        </w:rPr>
      </w:pP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改进措施及建议：强化对资金使用效率，节约财力，加强对</w:t>
      </w:r>
      <w:r>
        <w:rPr>
          <w:rFonts w:hint="eastAsia" w:ascii="Times New Roman" w:hAnsi="Times New Roman" w:eastAsia="仿宋_GB2312"/>
          <w:sz w:val="32"/>
          <w:szCs w:val="32"/>
        </w:rPr>
        <w:t>第三方评估机构</w:t>
      </w:r>
      <w:r>
        <w:rPr>
          <w:rFonts w:ascii="Times New Roman" w:hAnsi="Times New Roman" w:eastAsia="仿宋_GB2312"/>
          <w:sz w:val="32"/>
          <w:szCs w:val="32"/>
        </w:rPr>
        <w:t>所提供的</w:t>
      </w:r>
      <w:r>
        <w:rPr>
          <w:rFonts w:hint="eastAsia" w:ascii="Times New Roman" w:hAnsi="Times New Roman" w:eastAsia="仿宋_GB2312"/>
          <w:sz w:val="32"/>
          <w:szCs w:val="32"/>
        </w:rPr>
        <w:t>服务</w:t>
      </w:r>
      <w:r>
        <w:rPr>
          <w:rFonts w:ascii="Times New Roman" w:hAnsi="Times New Roman" w:eastAsia="仿宋_GB2312"/>
          <w:sz w:val="32"/>
          <w:szCs w:val="32"/>
        </w:rPr>
        <w:t>质量的把控，及时发现和了解服务中存在的问题并及时解决</w:t>
      </w:r>
      <w:r>
        <w:rPr>
          <w:rFonts w:hint="eastAsia" w:ascii="Times New Roman" w:hAnsi="Times New Roman" w:eastAsia="仿宋_GB2312"/>
          <w:sz w:val="32"/>
          <w:szCs w:val="32"/>
        </w:rPr>
        <w:t>，促进</w:t>
      </w:r>
      <w:r>
        <w:rPr>
          <w:rFonts w:ascii="Times New Roman" w:hAnsi="Times New Roman" w:eastAsia="仿宋_GB2312"/>
          <w:sz w:val="32"/>
          <w:szCs w:val="32"/>
        </w:rPr>
        <w:t>国有资产保值增值。</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二、</w:t>
      </w:r>
      <w:r>
        <w:rPr>
          <w:rFonts w:ascii="Times New Roman" w:hAnsi="Times New Roman" w:eastAsia="黑体"/>
          <w:sz w:val="32"/>
          <w:szCs w:val="32"/>
        </w:rPr>
        <w:t>项目基本情况</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1.立项背景及目的：</w:t>
      </w:r>
      <w:r>
        <w:rPr>
          <w:rFonts w:hint="eastAsia" w:ascii="Times New Roman" w:hAnsi="Times New Roman" w:eastAsia="仿宋_GB2312"/>
          <w:sz w:val="32"/>
          <w:szCs w:val="32"/>
        </w:rPr>
        <w:t>为保障经营性资保值增值，聘请第三方评估公司对拟出租资产进行询价，对盘龙公安分局拟购置的资产进行评估。</w:t>
      </w:r>
      <w:r>
        <w:rPr>
          <w:rFonts w:ascii="Times New Roman" w:hAnsi="Times New Roman" w:eastAsia="仿宋_GB2312"/>
          <w:sz w:val="32"/>
          <w:szCs w:val="32"/>
        </w:rPr>
        <w:t>20</w:t>
      </w:r>
      <w:r>
        <w:rPr>
          <w:rFonts w:hint="eastAsia" w:ascii="Times New Roman" w:hAnsi="Times New Roman" w:eastAsia="仿宋_GB2312"/>
          <w:sz w:val="32"/>
          <w:szCs w:val="32"/>
        </w:rPr>
        <w:t>20</w:t>
      </w:r>
      <w:r>
        <w:rPr>
          <w:rFonts w:ascii="Times New Roman" w:hAnsi="Times New Roman" w:eastAsia="仿宋_GB2312"/>
          <w:sz w:val="32"/>
          <w:szCs w:val="32"/>
        </w:rPr>
        <w:t>年</w:t>
      </w:r>
      <w:r>
        <w:rPr>
          <w:rFonts w:hint="eastAsia" w:ascii="Times New Roman" w:hAnsi="Times New Roman" w:eastAsia="仿宋_GB2312"/>
          <w:sz w:val="32"/>
          <w:szCs w:val="32"/>
        </w:rPr>
        <w:t>评估费用</w:t>
      </w:r>
      <w:r>
        <w:rPr>
          <w:rFonts w:ascii="Times New Roman" w:hAnsi="Times New Roman" w:eastAsia="仿宋_GB2312"/>
          <w:sz w:val="32"/>
          <w:szCs w:val="32"/>
        </w:rPr>
        <w:t>预计</w:t>
      </w:r>
      <w:r>
        <w:rPr>
          <w:rFonts w:hint="eastAsia" w:ascii="Times New Roman" w:hAnsi="Times New Roman" w:eastAsia="仿宋_GB2312"/>
          <w:sz w:val="32"/>
          <w:szCs w:val="32"/>
        </w:rPr>
        <w:t>11.49</w:t>
      </w:r>
      <w:r>
        <w:rPr>
          <w:rFonts w:ascii="Times New Roman" w:hAnsi="Times New Roman" w:eastAsia="仿宋_GB2312"/>
          <w:sz w:val="32"/>
          <w:szCs w:val="32"/>
        </w:rPr>
        <w:t>万元，按</w:t>
      </w:r>
      <w:r>
        <w:rPr>
          <w:rFonts w:hint="eastAsia" w:ascii="Times New Roman" w:hAnsi="Times New Roman" w:eastAsia="仿宋_GB2312"/>
          <w:sz w:val="32"/>
          <w:szCs w:val="32"/>
        </w:rPr>
        <w:t>购买服务项目</w:t>
      </w:r>
      <w:r>
        <w:rPr>
          <w:rFonts w:ascii="Times New Roman" w:hAnsi="Times New Roman" w:eastAsia="仿宋_GB2312"/>
          <w:sz w:val="32"/>
          <w:szCs w:val="32"/>
        </w:rPr>
        <w:t>合同</w:t>
      </w:r>
      <w:r>
        <w:rPr>
          <w:rFonts w:hint="eastAsia" w:ascii="Times New Roman" w:hAnsi="Times New Roman" w:eastAsia="仿宋_GB2312"/>
          <w:sz w:val="32"/>
          <w:szCs w:val="32"/>
        </w:rPr>
        <w:t>约定及工作</w:t>
      </w:r>
      <w:r>
        <w:rPr>
          <w:rFonts w:ascii="Times New Roman" w:hAnsi="Times New Roman" w:eastAsia="仿宋_GB2312"/>
          <w:sz w:val="32"/>
          <w:szCs w:val="32"/>
        </w:rPr>
        <w:t>进度</w:t>
      </w:r>
      <w:r>
        <w:rPr>
          <w:rFonts w:hint="eastAsia" w:ascii="Times New Roman" w:hAnsi="Times New Roman" w:eastAsia="仿宋_GB2312"/>
          <w:sz w:val="32"/>
          <w:szCs w:val="32"/>
        </w:rPr>
        <w:t>进行</w:t>
      </w:r>
      <w:r>
        <w:rPr>
          <w:rFonts w:ascii="Times New Roman" w:hAnsi="Times New Roman" w:eastAsia="仿宋_GB2312"/>
          <w:sz w:val="32"/>
          <w:szCs w:val="32"/>
        </w:rPr>
        <w:t>支付。项目具体情况如下：</w:t>
      </w:r>
    </w:p>
    <w:p>
      <w:pPr>
        <w:pStyle w:val="12"/>
        <w:keepNext w:val="0"/>
        <w:keepLines w:val="0"/>
        <w:pageBreakBefore w:val="0"/>
        <w:widowControl w:val="0"/>
        <w:kinsoku/>
        <w:wordWrap/>
        <w:overflowPunct/>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sz w:val="32"/>
          <w:szCs w:val="32"/>
        </w:rPr>
        <w:t>2.项目实施情况：根据双方签订</w:t>
      </w:r>
      <w:r>
        <w:rPr>
          <w:rFonts w:hint="eastAsia" w:ascii="Times New Roman" w:hAnsi="Times New Roman" w:eastAsia="仿宋_GB2312"/>
          <w:sz w:val="32"/>
          <w:szCs w:val="32"/>
        </w:rPr>
        <w:t>的合同</w:t>
      </w:r>
      <w:r>
        <w:rPr>
          <w:rFonts w:ascii="Times New Roman" w:hAnsi="Times New Roman" w:eastAsia="仿宋_GB2312"/>
          <w:sz w:val="32"/>
          <w:szCs w:val="32"/>
        </w:rPr>
        <w:t>，</w:t>
      </w:r>
      <w:r>
        <w:rPr>
          <w:rFonts w:hint="eastAsia" w:ascii="Times New Roman" w:hAnsi="Times New Roman" w:eastAsia="仿宋_GB2312"/>
          <w:sz w:val="32"/>
          <w:szCs w:val="32"/>
        </w:rPr>
        <w:t>评估公司对盘龙区经营性资产租赁价格进行调价，对标的资产进行价值评估。</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3.资金来源及使用情况：</w:t>
      </w:r>
      <w:r>
        <w:rPr>
          <w:rFonts w:hint="eastAsia" w:ascii="Times New Roman" w:hAnsi="Times New Roman" w:eastAsia="仿宋_GB2312"/>
          <w:sz w:val="32"/>
          <w:szCs w:val="32"/>
        </w:rPr>
        <w:t>财政资金</w:t>
      </w:r>
      <w:r>
        <w:rPr>
          <w:rFonts w:ascii="Times New Roman" w:hAnsi="Times New Roman" w:eastAsia="仿宋_GB2312"/>
          <w:sz w:val="32"/>
          <w:szCs w:val="32"/>
        </w:rPr>
        <w:t>。</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4.组织及管理情况：包括项目组织情况、项目实施流程、资金拨付流程、工作完成情况、考核评价。按照双方签订的</w:t>
      </w:r>
      <w:r>
        <w:rPr>
          <w:rFonts w:hint="eastAsia" w:ascii="Times New Roman" w:hAnsi="Times New Roman" w:eastAsia="仿宋_GB2312"/>
          <w:sz w:val="32"/>
          <w:szCs w:val="32"/>
        </w:rPr>
        <w:t>合同，由评估公司</w:t>
      </w:r>
      <w:r>
        <w:rPr>
          <w:rFonts w:ascii="Times New Roman" w:hAnsi="Times New Roman" w:eastAsia="仿宋_GB2312"/>
          <w:sz w:val="32"/>
          <w:szCs w:val="32"/>
        </w:rPr>
        <w:t>完成工作任务，并按合同</w:t>
      </w:r>
      <w:r>
        <w:rPr>
          <w:rFonts w:hint="eastAsia" w:ascii="Times New Roman" w:hAnsi="Times New Roman" w:eastAsia="仿宋_GB2312"/>
          <w:sz w:val="32"/>
          <w:szCs w:val="32"/>
        </w:rPr>
        <w:t>约定进行拨付</w:t>
      </w:r>
      <w:r>
        <w:rPr>
          <w:rFonts w:ascii="Times New Roman" w:hAnsi="Times New Roman" w:eastAsia="仿宋_GB2312"/>
          <w:sz w:val="32"/>
          <w:szCs w:val="32"/>
        </w:rPr>
        <w:t>。</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（二）绩效目标</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年度目标：</w:t>
      </w:r>
      <w:r>
        <w:rPr>
          <w:rFonts w:hint="eastAsia" w:ascii="Times New Roman" w:hAnsi="Times New Roman" w:eastAsia="仿宋_GB2312"/>
          <w:sz w:val="32"/>
          <w:szCs w:val="32"/>
        </w:rPr>
        <w:t>合理评估拟购置资产价值，并使经营性资产的租赁价格贴近市场租赁价格，到达了保障资产安全、完整，保值增值的目标。</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1.数量指标：根据与</w:t>
      </w:r>
      <w:r>
        <w:rPr>
          <w:rFonts w:hint="eastAsia" w:ascii="Times New Roman" w:hAnsi="Times New Roman" w:eastAsia="仿宋_GB2312"/>
          <w:sz w:val="32"/>
          <w:szCs w:val="32"/>
        </w:rPr>
        <w:t>评估</w:t>
      </w:r>
      <w:r>
        <w:rPr>
          <w:rFonts w:ascii="Times New Roman" w:hAnsi="Times New Roman" w:eastAsia="仿宋_GB2312"/>
          <w:sz w:val="32"/>
          <w:szCs w:val="32"/>
        </w:rPr>
        <w:t>公司签订的</w:t>
      </w:r>
      <w:r>
        <w:rPr>
          <w:rFonts w:hint="eastAsia" w:ascii="Times New Roman" w:hAnsi="Times New Roman" w:eastAsia="仿宋_GB2312"/>
          <w:sz w:val="32"/>
          <w:szCs w:val="32"/>
        </w:rPr>
        <w:t>合同</w:t>
      </w:r>
      <w:r>
        <w:rPr>
          <w:rFonts w:ascii="Times New Roman" w:hAnsi="Times New Roman" w:eastAsia="仿宋_GB2312"/>
          <w:sz w:val="32"/>
          <w:szCs w:val="32"/>
        </w:rPr>
        <w:t>，</w:t>
      </w:r>
      <w:r>
        <w:rPr>
          <w:rFonts w:hint="eastAsia" w:ascii="Times New Roman" w:hAnsi="Times New Roman" w:eastAsia="仿宋_GB2312"/>
          <w:sz w:val="32"/>
          <w:szCs w:val="32"/>
        </w:rPr>
        <w:t>评估</w:t>
      </w:r>
      <w:r>
        <w:rPr>
          <w:rFonts w:ascii="Times New Roman" w:hAnsi="Times New Roman" w:eastAsia="仿宋_GB2312"/>
          <w:sz w:val="32"/>
          <w:szCs w:val="32"/>
        </w:rPr>
        <w:t>公司</w:t>
      </w:r>
      <w:r>
        <w:rPr>
          <w:rFonts w:hint="eastAsia" w:ascii="Times New Roman" w:hAnsi="Times New Roman" w:eastAsia="仿宋_GB2312"/>
          <w:sz w:val="32"/>
          <w:szCs w:val="32"/>
        </w:rPr>
        <w:t>及时</w:t>
      </w:r>
      <w:r>
        <w:rPr>
          <w:rFonts w:ascii="Times New Roman" w:hAnsi="Times New Roman" w:eastAsia="仿宋_GB2312"/>
          <w:sz w:val="32"/>
          <w:szCs w:val="32"/>
        </w:rPr>
        <w:t>完成</w:t>
      </w:r>
      <w:r>
        <w:rPr>
          <w:rFonts w:hint="eastAsia" w:ascii="Times New Roman" w:hAnsi="Times New Roman" w:eastAsia="仿宋_GB2312"/>
          <w:sz w:val="32"/>
          <w:szCs w:val="32"/>
        </w:rPr>
        <w:t>评估</w:t>
      </w:r>
      <w:r>
        <w:rPr>
          <w:rFonts w:ascii="Times New Roman" w:hAnsi="Times New Roman" w:eastAsia="仿宋_GB2312"/>
          <w:sz w:val="32"/>
          <w:szCs w:val="32"/>
        </w:rPr>
        <w:t>服务。</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2.时效指标：</w:t>
      </w:r>
      <w:r>
        <w:rPr>
          <w:rFonts w:hint="eastAsia" w:ascii="Times New Roman" w:hAnsi="Times New Roman" w:eastAsia="仿宋_GB2312"/>
          <w:sz w:val="32"/>
          <w:szCs w:val="32"/>
        </w:rPr>
        <w:t>按照单项指标完成相关评估工作</w:t>
      </w:r>
      <w:r>
        <w:rPr>
          <w:rFonts w:ascii="Times New Roman" w:hAnsi="Times New Roman" w:eastAsia="仿宋_GB2312"/>
          <w:sz w:val="32"/>
          <w:szCs w:val="32"/>
        </w:rPr>
        <w:t>。</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3.质量指标：</w:t>
      </w:r>
      <w:r>
        <w:rPr>
          <w:rFonts w:hint="eastAsia" w:ascii="Times New Roman" w:hAnsi="Times New Roman" w:eastAsia="仿宋_GB2312"/>
          <w:sz w:val="32"/>
          <w:szCs w:val="32"/>
        </w:rPr>
        <w:t>合理评估拟购置资产价值，并使经营性资产的租赁价格贴近市场租赁价格，保障资产安全、完整。</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4.成本指标：</w:t>
      </w:r>
      <w:r>
        <w:rPr>
          <w:rFonts w:hint="eastAsia" w:ascii="Times New Roman" w:hAnsi="Times New Roman" w:eastAsia="仿宋_GB2312"/>
          <w:sz w:val="32"/>
          <w:szCs w:val="32"/>
        </w:rPr>
        <w:t>评估</w:t>
      </w:r>
      <w:r>
        <w:rPr>
          <w:rFonts w:ascii="Times New Roman" w:hAnsi="Times New Roman" w:eastAsia="仿宋_GB2312"/>
          <w:sz w:val="32"/>
          <w:szCs w:val="32"/>
        </w:rPr>
        <w:t>费</w:t>
      </w:r>
      <w:r>
        <w:rPr>
          <w:rFonts w:hint="eastAsia" w:ascii="Times New Roman" w:hAnsi="Times New Roman" w:eastAsia="仿宋_GB2312"/>
          <w:sz w:val="32"/>
          <w:szCs w:val="32"/>
        </w:rPr>
        <w:t>11.49</w:t>
      </w:r>
      <w:r>
        <w:rPr>
          <w:rFonts w:ascii="Times New Roman" w:hAnsi="Times New Roman" w:eastAsia="仿宋_GB2312"/>
          <w:sz w:val="32"/>
          <w:szCs w:val="32"/>
        </w:rPr>
        <w:t>万元。</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5.</w:t>
      </w:r>
      <w:r>
        <w:rPr>
          <w:rFonts w:ascii="Times New Roman" w:hAnsi="Times New Roman" w:eastAsia="仿宋_GB2312"/>
          <w:sz w:val="32"/>
          <w:szCs w:val="32"/>
          <w:highlight w:val="none"/>
        </w:rPr>
        <w:t>经济效益指标：</w:t>
      </w:r>
      <w:r>
        <w:rPr>
          <w:rFonts w:hint="eastAsia" w:ascii="Times New Roman" w:hAnsi="Times New Roman" w:eastAsia="仿宋_GB2312"/>
          <w:sz w:val="32"/>
          <w:szCs w:val="32"/>
        </w:rPr>
        <w:t>合理评估了拟购置资产价值，并对经营性资产进行调价，保障资产安全、完整，保证区属经营性资产保值增值。</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6.社会效益指标：</w:t>
      </w:r>
      <w:r>
        <w:rPr>
          <w:rFonts w:hint="eastAsia" w:ascii="Times New Roman" w:hAnsi="Times New Roman" w:eastAsia="仿宋_GB2312"/>
          <w:sz w:val="32"/>
          <w:szCs w:val="32"/>
        </w:rPr>
        <w:t>保障资产安全、完整，保证区属经营性资产保值增值。</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7.可持续影响指标：</w:t>
      </w:r>
      <w:r>
        <w:rPr>
          <w:rFonts w:hint="eastAsia" w:ascii="Times New Roman" w:hAnsi="Times New Roman" w:eastAsia="仿宋_GB2312"/>
          <w:sz w:val="32"/>
          <w:szCs w:val="32"/>
        </w:rPr>
        <w:t>切实管理好国有资产，保障资产安全、完整，保证区属经营性资产保值增值。</w:t>
      </w:r>
    </w:p>
    <w:p>
      <w:pPr>
        <w:keepNext w:val="0"/>
        <w:keepLines w:val="0"/>
        <w:pageBreakBefore w:val="0"/>
        <w:widowControl w:val="0"/>
        <w:kinsoku/>
        <w:wordWrap/>
        <w:overflowPunct/>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sz w:val="32"/>
          <w:szCs w:val="32"/>
        </w:rPr>
        <w:t>8.满意度指标: 根据与</w:t>
      </w:r>
      <w:r>
        <w:rPr>
          <w:rFonts w:hint="eastAsia" w:ascii="Times New Roman" w:hAnsi="Times New Roman" w:eastAsia="仿宋_GB2312"/>
          <w:sz w:val="32"/>
          <w:szCs w:val="32"/>
        </w:rPr>
        <w:t>评估</w:t>
      </w:r>
      <w:r>
        <w:rPr>
          <w:rFonts w:ascii="Times New Roman" w:hAnsi="Times New Roman" w:eastAsia="仿宋_GB2312"/>
          <w:sz w:val="32"/>
          <w:szCs w:val="32"/>
        </w:rPr>
        <w:t>公司签订的</w:t>
      </w:r>
      <w:r>
        <w:rPr>
          <w:rFonts w:hint="eastAsia" w:ascii="Times New Roman" w:hAnsi="Times New Roman" w:eastAsia="仿宋_GB2312"/>
          <w:sz w:val="32"/>
          <w:szCs w:val="32"/>
        </w:rPr>
        <w:t>合同</w:t>
      </w:r>
      <w:r>
        <w:rPr>
          <w:rFonts w:ascii="Times New Roman" w:hAnsi="Times New Roman" w:eastAsia="仿宋_GB2312"/>
          <w:sz w:val="32"/>
          <w:szCs w:val="32"/>
        </w:rPr>
        <w:t>，</w:t>
      </w:r>
      <w:r>
        <w:rPr>
          <w:rFonts w:hint="eastAsia" w:ascii="Times New Roman" w:hAnsi="Times New Roman" w:eastAsia="仿宋_GB2312"/>
          <w:sz w:val="32"/>
          <w:szCs w:val="32"/>
        </w:rPr>
        <w:t>评估</w:t>
      </w:r>
      <w:r>
        <w:rPr>
          <w:rFonts w:ascii="Times New Roman" w:hAnsi="Times New Roman" w:eastAsia="仿宋_GB2312"/>
          <w:sz w:val="32"/>
          <w:szCs w:val="32"/>
        </w:rPr>
        <w:t>公司</w:t>
      </w:r>
      <w:r>
        <w:rPr>
          <w:rFonts w:hint="eastAsia" w:ascii="Times New Roman" w:hAnsi="Times New Roman" w:eastAsia="仿宋_GB2312"/>
          <w:sz w:val="32"/>
          <w:szCs w:val="32"/>
        </w:rPr>
        <w:t>及时</w:t>
      </w:r>
      <w:r>
        <w:rPr>
          <w:rFonts w:ascii="Times New Roman" w:hAnsi="Times New Roman" w:eastAsia="仿宋_GB2312"/>
          <w:sz w:val="32"/>
          <w:szCs w:val="32"/>
        </w:rPr>
        <w:t>完成</w:t>
      </w:r>
      <w:r>
        <w:rPr>
          <w:rFonts w:hint="eastAsia" w:ascii="Times New Roman" w:hAnsi="Times New Roman" w:eastAsia="仿宋_GB2312"/>
          <w:sz w:val="32"/>
          <w:szCs w:val="32"/>
        </w:rPr>
        <w:t>评估</w:t>
      </w:r>
      <w:r>
        <w:rPr>
          <w:rFonts w:ascii="Times New Roman" w:hAnsi="Times New Roman" w:eastAsia="仿宋_GB2312"/>
          <w:sz w:val="32"/>
          <w:szCs w:val="32"/>
        </w:rPr>
        <w:t>服务。</w:t>
      </w:r>
    </w:p>
    <w:p>
      <w:pPr>
        <w:keepNext w:val="0"/>
        <w:keepLines w:val="0"/>
        <w:pageBreakBefore w:val="0"/>
        <w:widowControl w:val="0"/>
        <w:kinsoku/>
        <w:wordWrap/>
        <w:overflowPunct/>
        <w:autoSpaceDE w:val="0"/>
        <w:autoSpaceDN w:val="0"/>
        <w:bidi w:val="0"/>
        <w:adjustRightInd w:val="0"/>
        <w:snapToGrid/>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三、</w:t>
      </w:r>
      <w:r>
        <w:rPr>
          <w:rFonts w:ascii="Times New Roman" w:hAnsi="Times New Roman" w:eastAsia="黑体"/>
          <w:sz w:val="32"/>
          <w:szCs w:val="32"/>
        </w:rPr>
        <w:t>绩效评价工作情况</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Cs w:val="32"/>
        </w:rPr>
      </w:pPr>
      <w:r>
        <w:rPr>
          <w:rFonts w:ascii="Times New Roman" w:hAnsi="Times New Roman" w:eastAsia="仿宋_GB2312"/>
          <w:sz w:val="32"/>
          <w:szCs w:val="32"/>
        </w:rPr>
        <w:t>在</w:t>
      </w:r>
      <w:r>
        <w:rPr>
          <w:rFonts w:hint="eastAsia" w:ascii="Times New Roman" w:hAnsi="Times New Roman" w:eastAsia="仿宋_GB2312"/>
          <w:sz w:val="32"/>
          <w:szCs w:val="32"/>
        </w:rPr>
        <w:t>评估公司</w:t>
      </w:r>
      <w:r>
        <w:rPr>
          <w:rFonts w:ascii="Times New Roman" w:hAnsi="Times New Roman" w:eastAsia="仿宋_GB2312"/>
          <w:sz w:val="32"/>
          <w:szCs w:val="32"/>
        </w:rPr>
        <w:t>按时按质完成的工作的前提下全面了解项目管理过程是否规范、产出目标是否完成以及效果目标是否实现等方面的内容，总结经验，查找不足，为以后年度的开展提供可行性参考建议。在此基础上，重点分析项目预算编制的合理性、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highlight w:val="none"/>
        </w:rPr>
        <w:t>1.</w:t>
      </w:r>
      <w:r>
        <w:rPr>
          <w:rFonts w:hint="eastAsia" w:ascii="Times New Roman" w:hAnsi="Times New Roman" w:eastAsia="仿宋_GB2312"/>
          <w:sz w:val="32"/>
          <w:szCs w:val="32"/>
        </w:rPr>
        <w:t>按照双方签订和合同，对评估公司</w:t>
      </w:r>
      <w:r>
        <w:rPr>
          <w:rFonts w:ascii="Times New Roman" w:hAnsi="Times New Roman" w:eastAsia="仿宋_GB2312"/>
          <w:sz w:val="32"/>
          <w:szCs w:val="32"/>
        </w:rPr>
        <w:t>完成的工作情况逐一进行立项情况、资金使用情况、项目实施管理情况、项目绩效表现情况、项目绩效与完成工作评价。</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按照双方签订的</w:t>
      </w:r>
      <w:r>
        <w:rPr>
          <w:rFonts w:ascii="Times New Roman" w:hAnsi="Times New Roman" w:eastAsia="仿宋_GB2312"/>
          <w:sz w:val="32"/>
          <w:szCs w:val="32"/>
        </w:rPr>
        <w:t>合同</w:t>
      </w:r>
      <w:r>
        <w:rPr>
          <w:rFonts w:hint="eastAsia" w:ascii="Times New Roman" w:hAnsi="Times New Roman" w:eastAsia="仿宋_GB2312"/>
          <w:sz w:val="32"/>
          <w:szCs w:val="32"/>
        </w:rPr>
        <w:t>，评估</w:t>
      </w:r>
      <w:r>
        <w:rPr>
          <w:rFonts w:ascii="Times New Roman" w:hAnsi="Times New Roman" w:eastAsia="仿宋_GB2312"/>
          <w:sz w:val="32"/>
          <w:szCs w:val="32"/>
        </w:rPr>
        <w:t>服务</w:t>
      </w:r>
      <w:r>
        <w:rPr>
          <w:rFonts w:hint="eastAsia" w:ascii="Times New Roman" w:hAnsi="Times New Roman" w:eastAsia="仿宋_GB2312"/>
          <w:sz w:val="32"/>
          <w:szCs w:val="32"/>
        </w:rPr>
        <w:t>11.49</w:t>
      </w:r>
      <w:r>
        <w:rPr>
          <w:rFonts w:ascii="Times New Roman" w:hAnsi="Times New Roman" w:eastAsia="仿宋_GB2312"/>
          <w:sz w:val="32"/>
          <w:szCs w:val="32"/>
        </w:rPr>
        <w:t>万元。</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1.绩效评价原则。采取了科学规范、公开公正、绩效相关等原则。</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2.绩效评价方法。包括指标评价、数据采集中所采用的方法。</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 xml:space="preserve">1.按照项目进度制定年度预算。 </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2.确定评价对象。</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.加强监管，严格考核，促进项目工作按时按质完成。</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根据</w:t>
      </w:r>
      <w:r>
        <w:rPr>
          <w:rFonts w:hint="eastAsia" w:ascii="Times New Roman" w:hAnsi="Times New Roman" w:eastAsia="仿宋_GB2312"/>
          <w:sz w:val="32"/>
          <w:szCs w:val="32"/>
        </w:rPr>
        <w:t>双方</w:t>
      </w:r>
      <w:r>
        <w:rPr>
          <w:rFonts w:ascii="Times New Roman" w:hAnsi="Times New Roman" w:eastAsia="仿宋_GB2312"/>
          <w:sz w:val="32"/>
          <w:szCs w:val="32"/>
        </w:rPr>
        <w:t>签订的</w:t>
      </w:r>
      <w:r>
        <w:rPr>
          <w:rFonts w:hint="eastAsia" w:ascii="Times New Roman" w:hAnsi="Times New Roman" w:eastAsia="仿宋_GB2312"/>
          <w:sz w:val="32"/>
          <w:szCs w:val="32"/>
        </w:rPr>
        <w:t>合同</w:t>
      </w:r>
      <w:r>
        <w:rPr>
          <w:rFonts w:ascii="Times New Roman" w:hAnsi="Times New Roman" w:eastAsia="仿宋_GB2312"/>
          <w:sz w:val="32"/>
          <w:szCs w:val="32"/>
        </w:rPr>
        <w:t>，对</w:t>
      </w:r>
      <w:r>
        <w:rPr>
          <w:rFonts w:hint="eastAsia" w:ascii="Times New Roman" w:hAnsi="Times New Roman" w:eastAsia="仿宋_GB2312"/>
          <w:sz w:val="32"/>
          <w:szCs w:val="32"/>
        </w:rPr>
        <w:t>评估</w:t>
      </w:r>
      <w:r>
        <w:rPr>
          <w:rFonts w:ascii="Times New Roman" w:hAnsi="Times New Roman" w:eastAsia="仿宋_GB2312"/>
          <w:sz w:val="32"/>
          <w:szCs w:val="32"/>
        </w:rPr>
        <w:t>公司完成的具体目标制定考核绩效考核指标进行分解，认真对照考核评价项目内容，整理相关资料</w:t>
      </w:r>
      <w:r>
        <w:rPr>
          <w:rFonts w:hint="eastAsia" w:ascii="Times New Roman" w:hAnsi="Times New Roman" w:eastAsia="仿宋_GB2312"/>
          <w:sz w:val="32"/>
          <w:szCs w:val="32"/>
        </w:rPr>
        <w:t>，</w:t>
      </w:r>
      <w:r>
        <w:rPr>
          <w:rFonts w:ascii="Times New Roman" w:hAnsi="Times New Roman" w:eastAsia="仿宋_GB2312"/>
          <w:sz w:val="32"/>
          <w:szCs w:val="32"/>
        </w:rPr>
        <w:t>建立工作台账，做绩效评价的相关工作，进一步加强监管，把控质量。</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.撰写报告。</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黑体"/>
          <w:color w:val="000000"/>
          <w:sz w:val="32"/>
          <w:szCs w:val="32"/>
        </w:rPr>
      </w:pPr>
      <w:r>
        <w:rPr>
          <w:rFonts w:hint="eastAsia" w:ascii="Times New Roman" w:hAnsi="Times New Roman" w:eastAsia="黑体"/>
          <w:color w:val="000000"/>
          <w:sz w:val="32"/>
          <w:szCs w:val="32"/>
          <w:lang w:eastAsia="zh-CN"/>
        </w:rPr>
        <w:t>四、</w:t>
      </w:r>
      <w:r>
        <w:rPr>
          <w:rFonts w:ascii="Times New Roman" w:hAnsi="Times New Roman" w:eastAsia="黑体"/>
          <w:color w:val="000000"/>
          <w:sz w:val="32"/>
          <w:szCs w:val="32"/>
        </w:rPr>
        <w:t>评价结论和绩效分析</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评价结果：根据项目支出绩效评价指标体系框架评价得分为</w:t>
      </w:r>
      <w:r>
        <w:rPr>
          <w:rFonts w:hint="eastAsia" w:ascii="Times New Roman" w:hAnsi="Times New Roman" w:eastAsia="仿宋_GB2312"/>
          <w:sz w:val="32"/>
          <w:szCs w:val="32"/>
        </w:rPr>
        <w:t>99.5</w:t>
      </w:r>
      <w:r>
        <w:rPr>
          <w:rFonts w:ascii="Times New Roman" w:hAnsi="Times New Roman" w:eastAsia="仿宋_GB2312"/>
          <w:sz w:val="32"/>
          <w:szCs w:val="32"/>
        </w:rPr>
        <w:t>分。</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（二）具体绩效分析</w:t>
      </w:r>
    </w:p>
    <w:p>
      <w:pPr>
        <w:keepNext w:val="0"/>
        <w:keepLines w:val="0"/>
        <w:pageBreakBefore w:val="0"/>
        <w:widowControl w:val="0"/>
        <w:kinsoku/>
        <w:wordWrap/>
        <w:overflowPunct/>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sz w:val="32"/>
          <w:szCs w:val="32"/>
        </w:rPr>
        <w:t>1.工作完成情况</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评估公司按要求完成了拟购置资产的评估，及经营性资产的调价。</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2.具体评分项目及分值</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与部门中长期规划目标匹配性分值1分，得分1分；与政府相关规划、决策匹配性分值2分，得分2分；与部门职责适应性分值1分，得分1分；立项程序规范性分值4分，得分4分。</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绩效目标相关性分值2分，得分2分；绩效目标完整性分值2分，得分2分；目标与预算的匹配性分值2分，得分2分；指标细化分解情况分值3分，得分2.5分；指标与目标的匹配性分值3分，得分3分。以上项目需进一步细化指标，所以按评判标准分别扣除相应得分。</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预算编制合理性分值1分，得分</w:t>
      </w:r>
      <w:r>
        <w:rPr>
          <w:rFonts w:hint="eastAsia" w:ascii="Times New Roman" w:hAnsi="Times New Roman" w:eastAsia="仿宋_GB2312"/>
          <w:sz w:val="32"/>
          <w:szCs w:val="32"/>
        </w:rPr>
        <w:t>0.5</w:t>
      </w:r>
      <w:r>
        <w:rPr>
          <w:rFonts w:ascii="Times New Roman" w:hAnsi="Times New Roman" w:eastAsia="仿宋_GB2312"/>
          <w:sz w:val="32"/>
          <w:szCs w:val="32"/>
        </w:rPr>
        <w:t>分，预算调整规范性分值3分，得分3分。</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资金使用情况分值2分，得分2分；财务管理制度健全性分值1分，得分1分；资金拨付程序完整性分值1分，得分1分；财务制度执行有效性分值2分，得分2分。</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项目实施单位管理制度健全性分值1分，得分1分；管理方监管措施健全性分值1分，得分1分；项目实施单位管理制度执行情况分值1分，得分1分；监管措施执行情况分值1分，得分1分；项目执行情况分值3分，得分3分；台账记录规范性分值3分，得分</w:t>
      </w:r>
      <w:r>
        <w:rPr>
          <w:rFonts w:hint="eastAsia" w:ascii="Times New Roman" w:hAnsi="Times New Roman" w:eastAsia="仿宋_GB2312"/>
          <w:sz w:val="32"/>
          <w:szCs w:val="32"/>
        </w:rPr>
        <w:t>3</w:t>
      </w:r>
      <w:r>
        <w:rPr>
          <w:rFonts w:ascii="Times New Roman" w:hAnsi="Times New Roman" w:eastAsia="仿宋_GB2312"/>
          <w:sz w:val="32"/>
          <w:szCs w:val="32"/>
        </w:rPr>
        <w:t>分。</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项目产出分值30分，得分</w:t>
      </w:r>
      <w:r>
        <w:rPr>
          <w:rFonts w:hint="eastAsia" w:ascii="Times New Roman" w:hAnsi="Times New Roman" w:eastAsia="仿宋_GB2312"/>
          <w:sz w:val="32"/>
          <w:szCs w:val="32"/>
        </w:rPr>
        <w:t>30</w:t>
      </w:r>
      <w:r>
        <w:rPr>
          <w:rFonts w:ascii="Times New Roman" w:hAnsi="Times New Roman" w:eastAsia="仿宋_GB2312"/>
          <w:sz w:val="32"/>
          <w:szCs w:val="32"/>
        </w:rPr>
        <w:t>分；项目效益分值30分，得分30分。</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五、</w:t>
      </w:r>
      <w:r>
        <w:rPr>
          <w:rFonts w:ascii="Times New Roman" w:hAnsi="Times New Roman" w:eastAsia="黑体"/>
          <w:sz w:val="32"/>
          <w:szCs w:val="32"/>
        </w:rPr>
        <w:t>成本效益分析。</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按照合同约定按时支付资金，转化资金使用效果，保障区国管公司的工作能够顺利推进，从而提高工作质量。</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六、</w:t>
      </w:r>
      <w:r>
        <w:rPr>
          <w:rFonts w:ascii="Times New Roman" w:hAnsi="Times New Roman" w:eastAsia="黑体"/>
          <w:sz w:val="32"/>
          <w:szCs w:val="32"/>
        </w:rPr>
        <w:t>主要经验及做法、存在的问题和建议</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要求</w:t>
      </w:r>
      <w:r>
        <w:rPr>
          <w:rFonts w:hint="eastAsia" w:ascii="Times New Roman" w:hAnsi="Times New Roman" w:eastAsia="仿宋_GB2312"/>
          <w:sz w:val="32"/>
          <w:szCs w:val="32"/>
        </w:rPr>
        <w:t>评估</w:t>
      </w:r>
      <w:r>
        <w:rPr>
          <w:rFonts w:ascii="Times New Roman" w:hAnsi="Times New Roman" w:eastAsia="仿宋_GB2312"/>
          <w:sz w:val="32"/>
          <w:szCs w:val="32"/>
        </w:rPr>
        <w:t>公司</w:t>
      </w:r>
      <w:r>
        <w:rPr>
          <w:rFonts w:hint="eastAsia" w:ascii="Times New Roman" w:hAnsi="Times New Roman" w:eastAsia="仿宋_GB2312"/>
          <w:sz w:val="32"/>
          <w:szCs w:val="32"/>
        </w:rPr>
        <w:t>按照合同要求做好资产评估及调价，</w:t>
      </w:r>
      <w:r>
        <w:rPr>
          <w:rFonts w:ascii="Times New Roman" w:hAnsi="Times New Roman" w:eastAsia="仿宋_GB2312"/>
          <w:sz w:val="32"/>
          <w:szCs w:val="32"/>
        </w:rPr>
        <w:t>加强</w:t>
      </w:r>
      <w:r>
        <w:rPr>
          <w:rFonts w:hint="eastAsia" w:ascii="Times New Roman" w:hAnsi="Times New Roman" w:eastAsia="仿宋_GB2312"/>
          <w:sz w:val="32"/>
          <w:szCs w:val="32"/>
        </w:rPr>
        <w:t>与评估</w:t>
      </w:r>
      <w:r>
        <w:rPr>
          <w:rFonts w:ascii="Times New Roman" w:hAnsi="Times New Roman" w:eastAsia="仿宋_GB2312"/>
          <w:sz w:val="32"/>
          <w:szCs w:val="32"/>
        </w:rPr>
        <w:t>公司的</w:t>
      </w:r>
      <w:r>
        <w:rPr>
          <w:rFonts w:hint="eastAsia" w:ascii="Times New Roman" w:hAnsi="Times New Roman" w:eastAsia="仿宋_GB2312"/>
          <w:sz w:val="32"/>
          <w:szCs w:val="32"/>
        </w:rPr>
        <w:t>沟通对接</w:t>
      </w:r>
      <w:r>
        <w:rPr>
          <w:rFonts w:ascii="Times New Roman" w:hAnsi="Times New Roman" w:eastAsia="仿宋_GB2312"/>
          <w:sz w:val="32"/>
          <w:szCs w:val="32"/>
        </w:rPr>
        <w:t>从而提高购买服务工作的质量。</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w:t>
      </w:r>
      <w:r>
        <w:rPr>
          <w:rFonts w:ascii="楷体_GB2312" w:hAnsi="楷体_GB2312" w:eastAsia="楷体_GB2312" w:cs="楷体_GB2312"/>
          <w:sz w:val="32"/>
          <w:szCs w:val="32"/>
        </w:rPr>
        <w:t>存在的问题</w:t>
      </w:r>
    </w:p>
    <w:p>
      <w:pPr>
        <w:keepNext w:val="0"/>
        <w:keepLines w:val="0"/>
        <w:pageBreakBefore w:val="0"/>
        <w:widowControl w:val="0"/>
        <w:kinsoku/>
        <w:wordWrap/>
        <w:overflow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需强化</w:t>
      </w:r>
      <w:r>
        <w:rPr>
          <w:rFonts w:hint="eastAsia" w:ascii="Times New Roman" w:hAnsi="Times New Roman" w:eastAsia="仿宋_GB2312"/>
          <w:sz w:val="32"/>
          <w:szCs w:val="32"/>
        </w:rPr>
        <w:t>对</w:t>
      </w:r>
      <w:r>
        <w:rPr>
          <w:rFonts w:ascii="Times New Roman" w:hAnsi="Times New Roman" w:eastAsia="仿宋_GB2312"/>
          <w:sz w:val="32"/>
          <w:szCs w:val="32"/>
        </w:rPr>
        <w:t>购买服务的项目进行监管追踪及提供的项目进行评价，实施管理及追踪。</w:t>
      </w:r>
    </w:p>
    <w:p>
      <w:pPr>
        <w:keepNext w:val="0"/>
        <w:keepLines w:val="0"/>
        <w:pageBreakBefore w:val="0"/>
        <w:widowControl w:val="0"/>
        <w:kinsoku/>
        <w:wordWrap/>
        <w:overflowPunct/>
        <w:topLinePunct/>
        <w:bidi w:val="0"/>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w:t>
      </w:r>
      <w:r>
        <w:rPr>
          <w:rFonts w:ascii="楷体_GB2312" w:hAnsi="楷体_GB2312" w:eastAsia="楷体_GB2312" w:cs="楷体_GB2312"/>
          <w:sz w:val="32"/>
          <w:szCs w:val="32"/>
        </w:rPr>
        <w:t>改进措施及建议</w:t>
      </w:r>
    </w:p>
    <w:p>
      <w:pPr>
        <w:keepNext w:val="0"/>
        <w:keepLines w:val="0"/>
        <w:pageBreakBefore w:val="0"/>
        <w:widowControl w:val="0"/>
        <w:kinsoku/>
        <w:wordWrap/>
        <w:overflowPunct/>
        <w:topLinePunct/>
        <w:bidi w:val="0"/>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加强对</w:t>
      </w:r>
      <w:r>
        <w:rPr>
          <w:rFonts w:hint="eastAsia" w:ascii="Times New Roman" w:hAnsi="Times New Roman" w:eastAsia="仿宋_GB2312"/>
          <w:sz w:val="32"/>
          <w:szCs w:val="32"/>
        </w:rPr>
        <w:t>评估</w:t>
      </w:r>
      <w:r>
        <w:rPr>
          <w:rFonts w:ascii="Times New Roman" w:hAnsi="Times New Roman" w:eastAsia="仿宋_GB2312"/>
          <w:sz w:val="32"/>
          <w:szCs w:val="32"/>
        </w:rPr>
        <w:t>公司所提供的购买服务的项目进行管理，以及加强质量把控，强化项目追踪，及时发现和了解</w:t>
      </w:r>
      <w:r>
        <w:rPr>
          <w:rFonts w:hint="eastAsia" w:ascii="Times New Roman" w:hAnsi="Times New Roman" w:eastAsia="仿宋_GB2312"/>
          <w:sz w:val="32"/>
          <w:szCs w:val="32"/>
        </w:rPr>
        <w:t>项目实施</w:t>
      </w:r>
      <w:r>
        <w:rPr>
          <w:rFonts w:ascii="Times New Roman" w:hAnsi="Times New Roman" w:eastAsia="仿宋_GB2312"/>
          <w:sz w:val="32"/>
          <w:szCs w:val="32"/>
        </w:rPr>
        <w:t>中存在的问题并及时解决</w:t>
      </w:r>
      <w:r>
        <w:rPr>
          <w:rFonts w:hint="eastAsia" w:ascii="Times New Roman" w:hAnsi="Times New Roman" w:eastAsia="仿宋_GB2312"/>
          <w:sz w:val="32"/>
          <w:szCs w:val="32"/>
        </w:rPr>
        <w:t>，保障区属国有资产安全、完整，及经营性资产保值增值</w:t>
      </w:r>
      <w:r>
        <w:rPr>
          <w:rFonts w:ascii="Times New Roman" w:hAnsi="Times New Roman" w:eastAsia="仿宋_GB2312"/>
          <w:sz w:val="32"/>
          <w:szCs w:val="32"/>
        </w:rPr>
        <w:t>。</w:t>
      </w:r>
    </w:p>
    <w:p>
      <w:pPr>
        <w:pStyle w:val="2"/>
      </w:pPr>
    </w:p>
    <w:p>
      <w:pPr>
        <w:topLinePunct/>
        <w:spacing w:line="600" w:lineRule="exact"/>
        <w:ind w:firstLine="420" w:firstLineChars="200"/>
        <w:rPr>
          <w:rFonts w:ascii="Times New Roman" w:hAnsi="Times New Roman"/>
        </w:rPr>
      </w:pPr>
    </w:p>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widowControl/>
        <w:jc w:val="center"/>
        <w:rPr>
          <w:rFonts w:ascii="方正小标宋_GBK" w:eastAsia="方正小标宋_GBK"/>
          <w:sz w:val="28"/>
          <w:szCs w:val="28"/>
        </w:rPr>
      </w:pPr>
      <w:r>
        <w:rPr>
          <w:rFonts w:hint="eastAsia" w:ascii="方正小标宋_GBK" w:eastAsia="方正小标宋_GBK"/>
          <w:sz w:val="28"/>
          <w:szCs w:val="28"/>
          <w:lang w:eastAsia="zh-CN"/>
        </w:rPr>
        <w:t>附件</w:t>
      </w:r>
      <w:r>
        <w:rPr>
          <w:rFonts w:hint="eastAsia" w:ascii="方正小标宋_GBK" w:eastAsia="方正小标宋_GBK"/>
          <w:sz w:val="28"/>
          <w:szCs w:val="28"/>
          <w:lang w:val="en-US" w:eastAsia="zh-CN"/>
        </w:rPr>
        <w:t>7：国资业务费（资产科）</w:t>
      </w:r>
      <w:r>
        <w:rPr>
          <w:rFonts w:hint="eastAsia" w:ascii="方正小标宋_GBK" w:eastAsia="方正小标宋_GBK"/>
          <w:sz w:val="28"/>
          <w:szCs w:val="28"/>
        </w:rPr>
        <w:t>项目支出绩效评价共性指标体系框架</w:t>
      </w:r>
    </w:p>
    <w:tbl>
      <w:tblPr>
        <w:tblStyle w:val="8"/>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671"/>
        <w:gridCol w:w="1174"/>
        <w:gridCol w:w="913"/>
        <w:gridCol w:w="1461"/>
        <w:gridCol w:w="349"/>
        <w:gridCol w:w="559"/>
        <w:gridCol w:w="2001"/>
        <w:gridCol w:w="1940"/>
        <w:gridCol w:w="1344"/>
      </w:tblGrid>
      <w:tr>
        <w:tblPrEx>
          <w:tblLayout w:type="fixed"/>
          <w:tblCellMar>
            <w:top w:w="0" w:type="dxa"/>
            <w:left w:w="108" w:type="dxa"/>
            <w:bottom w:w="0" w:type="dxa"/>
            <w:right w:w="108" w:type="dxa"/>
          </w:tblCellMar>
        </w:tblPrEx>
        <w:trPr>
          <w:trHeight w:val="540" w:hRule="atLeast"/>
        </w:trPr>
        <w:tc>
          <w:tcPr>
            <w:tcW w:w="67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91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4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34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55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200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34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Layout w:type="fixed"/>
          <w:tblCellMar>
            <w:top w:w="0" w:type="dxa"/>
            <w:left w:w="108" w:type="dxa"/>
            <w:bottom w:w="0" w:type="dxa"/>
            <w:right w:w="108" w:type="dxa"/>
          </w:tblCellMar>
        </w:tblPrEx>
        <w:trPr>
          <w:trHeight w:val="856"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1174" w:type="dxa"/>
            <w:vMerge w:val="restart"/>
            <w:tcBorders>
              <w:top w:val="nil"/>
              <w:left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Layout w:type="fixed"/>
          <w:tblCellMar>
            <w:top w:w="0" w:type="dxa"/>
            <w:left w:w="108" w:type="dxa"/>
            <w:bottom w:w="0" w:type="dxa"/>
            <w:right w:w="108" w:type="dxa"/>
          </w:tblCellMar>
        </w:tblPrEx>
        <w:trPr>
          <w:trHeight w:val="864"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A121.与政府相关规划、决策匹配性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Layout w:type="fixed"/>
          <w:tblCellMar>
            <w:top w:w="0" w:type="dxa"/>
            <w:left w:w="108" w:type="dxa"/>
            <w:bottom w:w="0" w:type="dxa"/>
            <w:right w:w="108" w:type="dxa"/>
          </w:tblCellMar>
        </w:tblPrEx>
        <w:trPr>
          <w:trHeight w:val="54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Layout w:type="fixed"/>
          <w:tblCellMar>
            <w:top w:w="0" w:type="dxa"/>
            <w:left w:w="108" w:type="dxa"/>
            <w:bottom w:w="0" w:type="dxa"/>
            <w:right w:w="108" w:type="dxa"/>
          </w:tblCellMar>
        </w:tblPrEx>
        <w:trPr>
          <w:trHeight w:val="50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4</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4</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申请、批复文件</w:t>
            </w:r>
          </w:p>
        </w:tc>
      </w:tr>
      <w:tr>
        <w:tblPrEx>
          <w:tblLayout w:type="fixed"/>
          <w:tblCellMar>
            <w:top w:w="0" w:type="dxa"/>
            <w:left w:w="108" w:type="dxa"/>
            <w:bottom w:w="0" w:type="dxa"/>
            <w:right w:w="108" w:type="dxa"/>
          </w:tblCellMar>
        </w:tblPrEx>
        <w:trPr>
          <w:trHeight w:val="74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913"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46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34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0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4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Layout w:type="fixed"/>
          <w:tblCellMar>
            <w:top w:w="0" w:type="dxa"/>
            <w:left w:w="108" w:type="dxa"/>
            <w:bottom w:w="0" w:type="dxa"/>
            <w:right w:w="108" w:type="dxa"/>
          </w:tblCellMar>
        </w:tblPrEx>
        <w:trPr>
          <w:trHeight w:val="966"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Layout w:type="fixed"/>
          <w:tblCellMar>
            <w:top w:w="0" w:type="dxa"/>
            <w:left w:w="108" w:type="dxa"/>
            <w:bottom w:w="0" w:type="dxa"/>
            <w:right w:w="108" w:type="dxa"/>
          </w:tblCellMar>
        </w:tblPrEx>
        <w:trPr>
          <w:trHeight w:val="76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9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2.5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Layout w:type="fixed"/>
          <w:tblCellMar>
            <w:top w:w="0" w:type="dxa"/>
            <w:left w:w="108" w:type="dxa"/>
            <w:bottom w:w="0" w:type="dxa"/>
            <w:right w:w="108" w:type="dxa"/>
          </w:tblCellMar>
        </w:tblPrEx>
        <w:trPr>
          <w:trHeight w:val="78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Layout w:type="fixed"/>
          <w:tblCellMar>
            <w:top w:w="0" w:type="dxa"/>
            <w:left w:w="108" w:type="dxa"/>
            <w:bottom w:w="0" w:type="dxa"/>
            <w:right w:w="108" w:type="dxa"/>
          </w:tblCellMar>
        </w:tblPrEx>
        <w:trPr>
          <w:trHeight w:val="720"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Layout w:type="fixed"/>
          <w:tblCellMar>
            <w:top w:w="0" w:type="dxa"/>
            <w:left w:w="108" w:type="dxa"/>
            <w:bottom w:w="0" w:type="dxa"/>
            <w:right w:w="108" w:type="dxa"/>
          </w:tblCellMar>
        </w:tblPrEx>
        <w:trPr>
          <w:trHeight w:val="19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344" w:type="dxa"/>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97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Layout w:type="fixed"/>
          <w:tblCellMar>
            <w:top w:w="0" w:type="dxa"/>
            <w:left w:w="108" w:type="dxa"/>
            <w:bottom w:w="0" w:type="dxa"/>
            <w:right w:w="108" w:type="dxa"/>
          </w:tblCellMar>
        </w:tblPrEx>
        <w:trPr>
          <w:trHeight w:val="2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40" w:type="dxa"/>
            <w:tcBorders>
              <w:top w:val="nil"/>
              <w:left w:val="nil"/>
              <w:bottom w:val="single" w:color="auto" w:sz="4" w:space="0"/>
              <w:right w:val="single" w:color="auto" w:sz="4" w:space="0"/>
            </w:tcBorders>
            <w:shd w:val="clear" w:color="auto" w:fill="auto"/>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Layout w:type="fixed"/>
          <w:tblCellMar>
            <w:top w:w="0" w:type="dxa"/>
            <w:left w:w="108" w:type="dxa"/>
            <w:bottom w:w="0" w:type="dxa"/>
            <w:right w:w="108" w:type="dxa"/>
          </w:tblCellMar>
        </w:tblPrEx>
        <w:trPr>
          <w:trHeight w:val="7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Layout w:type="fixed"/>
          <w:tblCellMar>
            <w:top w:w="0" w:type="dxa"/>
            <w:left w:w="108" w:type="dxa"/>
            <w:bottom w:w="0" w:type="dxa"/>
            <w:right w:w="108" w:type="dxa"/>
          </w:tblCellMar>
        </w:tblPrEx>
        <w:trPr>
          <w:trHeight w:val="75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Layout w:type="fixed"/>
          <w:tblCellMar>
            <w:top w:w="0" w:type="dxa"/>
            <w:left w:w="108" w:type="dxa"/>
            <w:bottom w:w="0" w:type="dxa"/>
            <w:right w:w="108" w:type="dxa"/>
          </w:tblCellMar>
        </w:tblPrEx>
        <w:trPr>
          <w:trHeight w:val="120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Layout w:type="fixed"/>
          <w:tblCellMar>
            <w:top w:w="0" w:type="dxa"/>
            <w:left w:w="108" w:type="dxa"/>
            <w:bottom w:w="0" w:type="dxa"/>
            <w:right w:w="108" w:type="dxa"/>
          </w:tblCellMar>
        </w:tblPrEx>
        <w:trPr>
          <w:trHeight w:val="97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Layout w:type="fixed"/>
          <w:tblCellMar>
            <w:top w:w="0" w:type="dxa"/>
            <w:left w:w="108" w:type="dxa"/>
            <w:bottom w:w="0" w:type="dxa"/>
            <w:right w:w="108" w:type="dxa"/>
          </w:tblCellMar>
        </w:tblPrEx>
        <w:trPr>
          <w:trHeight w:val="88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Layout w:type="fixed"/>
          <w:tblCellMar>
            <w:top w:w="0" w:type="dxa"/>
            <w:left w:w="108" w:type="dxa"/>
            <w:bottom w:w="0" w:type="dxa"/>
            <w:right w:w="108" w:type="dxa"/>
          </w:tblCellMar>
        </w:tblPrEx>
        <w:trPr>
          <w:trHeight w:val="945"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Layout w:type="fixed"/>
          <w:tblCellMar>
            <w:top w:w="0" w:type="dxa"/>
            <w:left w:w="108" w:type="dxa"/>
            <w:bottom w:w="0" w:type="dxa"/>
            <w:right w:w="108" w:type="dxa"/>
          </w:tblCellMar>
        </w:tblPrEx>
        <w:trPr>
          <w:trHeight w:val="657"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B323.项目执行情况</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344"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Layout w:type="fixed"/>
          <w:tblCellMar>
            <w:top w:w="0" w:type="dxa"/>
            <w:left w:w="108" w:type="dxa"/>
            <w:bottom w:w="0" w:type="dxa"/>
            <w:right w:w="108" w:type="dxa"/>
          </w:tblCellMar>
        </w:tblPrEx>
        <w:trPr>
          <w:trHeight w:val="686"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vMerge w:val="continue"/>
            <w:tcBorders>
              <w:top w:val="nil"/>
              <w:left w:val="single" w:color="auto" w:sz="4" w:space="0"/>
              <w:bottom w:val="single" w:color="000000"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1461"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24.台账记录规范性</w:t>
            </w:r>
          </w:p>
        </w:tc>
        <w:tc>
          <w:tcPr>
            <w:tcW w:w="349" w:type="dxa"/>
            <w:vMerge w:val="restart"/>
            <w:tcBorders>
              <w:top w:val="nil"/>
              <w:left w:val="nil"/>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559" w:type="dxa"/>
            <w:vMerge w:val="restart"/>
            <w:tcBorders>
              <w:top w:val="nil"/>
              <w:left w:val="nil"/>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w:t>
            </w:r>
          </w:p>
          <w:p>
            <w:pPr>
              <w:widowControl/>
              <w:spacing w:line="240" w:lineRule="exact"/>
              <w:jc w:val="center"/>
              <w:rPr>
                <w:rFonts w:ascii="宋体" w:hAnsi="宋体" w:cs="宋体"/>
                <w:color w:val="000000"/>
                <w:kern w:val="0"/>
                <w:sz w:val="18"/>
                <w:szCs w:val="18"/>
              </w:rPr>
            </w:pPr>
            <w:r>
              <w:rPr>
                <w:rFonts w:hint="eastAsia" w:ascii="宋体" w:hAnsi="宋体" w:cs="宋体"/>
                <w:color w:val="FF0000"/>
                <w:kern w:val="0"/>
                <w:sz w:val="18"/>
                <w:szCs w:val="18"/>
              </w:rPr>
              <w:t>　</w:t>
            </w:r>
          </w:p>
        </w:tc>
        <w:tc>
          <w:tcPr>
            <w:tcW w:w="2001"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40"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344" w:type="dxa"/>
            <w:vMerge w:val="restart"/>
            <w:tcBorders>
              <w:top w:val="nil"/>
              <w:left w:val="nil"/>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Layout w:type="fixed"/>
          <w:tblCellMar>
            <w:top w:w="0" w:type="dxa"/>
            <w:left w:w="108" w:type="dxa"/>
            <w:bottom w:w="0" w:type="dxa"/>
            <w:right w:w="108" w:type="dxa"/>
          </w:tblCellMar>
        </w:tblPrEx>
        <w:trPr>
          <w:trHeight w:val="90"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13" w:type="dxa"/>
            <w:tcBorders>
              <w:top w:val="nil"/>
              <w:left w:val="single" w:color="auto" w:sz="4" w:space="0"/>
              <w:bottom w:val="single" w:color="000000" w:sz="4" w:space="0"/>
              <w:right w:val="single" w:color="auto" w:sz="4" w:space="0"/>
            </w:tcBorders>
            <w:shd w:val="clear" w:color="auto" w:fill="auto"/>
            <w:vAlign w:val="center"/>
          </w:tcPr>
          <w:p>
            <w:pPr>
              <w:widowControl/>
              <w:spacing w:line="240" w:lineRule="exact"/>
              <w:jc w:val="left"/>
              <w:rPr>
                <w:rFonts w:ascii="宋体" w:hAnsi="宋体" w:cs="宋体"/>
                <w:color w:val="FF0000"/>
                <w:kern w:val="0"/>
                <w:sz w:val="18"/>
                <w:szCs w:val="18"/>
              </w:rPr>
            </w:pPr>
          </w:p>
        </w:tc>
        <w:tc>
          <w:tcPr>
            <w:tcW w:w="1461"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c>
          <w:tcPr>
            <w:tcW w:w="349" w:type="dxa"/>
            <w:vMerge w:val="continue"/>
            <w:tcBorders>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FF0000"/>
                <w:kern w:val="0"/>
                <w:sz w:val="18"/>
                <w:szCs w:val="18"/>
              </w:rPr>
            </w:pPr>
          </w:p>
        </w:tc>
        <w:tc>
          <w:tcPr>
            <w:tcW w:w="559" w:type="dxa"/>
            <w:vMerge w:val="continue"/>
            <w:tcBorders>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FF0000"/>
                <w:kern w:val="0"/>
                <w:sz w:val="18"/>
                <w:szCs w:val="18"/>
              </w:rPr>
            </w:pPr>
          </w:p>
        </w:tc>
        <w:tc>
          <w:tcPr>
            <w:tcW w:w="2001"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c>
          <w:tcPr>
            <w:tcW w:w="1940"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c>
          <w:tcPr>
            <w:tcW w:w="1344" w:type="dxa"/>
            <w:vMerge w:val="continue"/>
            <w:tcBorders>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2267" w:hRule="atLeast"/>
        </w:trPr>
        <w:tc>
          <w:tcPr>
            <w:tcW w:w="6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C.项目绩效（60%）</w:t>
            </w:r>
          </w:p>
        </w:tc>
        <w:tc>
          <w:tcPr>
            <w:tcW w:w="1174"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w:t>
            </w:r>
          </w:p>
        </w:tc>
        <w:tc>
          <w:tcPr>
            <w:tcW w:w="913"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C20.质量指标</w:t>
            </w:r>
          </w:p>
        </w:tc>
        <w:tc>
          <w:tcPr>
            <w:tcW w:w="146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云南便易捷科技有限公司提供服务</w:t>
            </w:r>
          </w:p>
        </w:tc>
        <w:tc>
          <w:tcPr>
            <w:tcW w:w="34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29　</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　</w:t>
            </w:r>
          </w:p>
        </w:tc>
        <w:tc>
          <w:tcPr>
            <w:tcW w:w="2001"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加强对云南便易捷科技有限公司提供服务的监管从而提高购买服务工作的质量</w:t>
            </w:r>
          </w:p>
        </w:tc>
        <w:tc>
          <w:tcPr>
            <w:tcW w:w="19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满足要求得满分，可根据提供的服务扣减相应的分数，扣完为止。</w:t>
            </w:r>
          </w:p>
        </w:tc>
        <w:tc>
          <w:tcPr>
            <w:tcW w:w="1344" w:type="dxa"/>
            <w:tcBorders>
              <w:top w:val="nil"/>
              <w:left w:val="nil"/>
              <w:bottom w:val="single" w:color="auto" w:sz="4" w:space="0"/>
              <w:right w:val="single" w:color="auto" w:sz="4" w:space="0"/>
            </w:tcBorders>
            <w:shd w:val="clear" w:color="auto" w:fill="auto"/>
            <w:vAlign w:val="center"/>
          </w:tcPr>
          <w:p>
            <w:pPr>
              <w:pStyle w:val="5"/>
              <w:keepNext w:val="0"/>
              <w:keepLines w:val="0"/>
              <w:widowControl/>
              <w:spacing w:line="240" w:lineRule="exact"/>
              <w:rPr>
                <w:rFonts w:ascii="宋体" w:hAnsi="宋体" w:eastAsia="宋体" w:cs="宋体"/>
                <w:b w:val="0"/>
                <w:bCs w:val="0"/>
                <w:color w:val="000000"/>
                <w:kern w:val="0"/>
                <w:sz w:val="18"/>
                <w:szCs w:val="18"/>
              </w:rPr>
            </w:pPr>
            <w:r>
              <w:rPr>
                <w:rFonts w:hint="eastAsia" w:ascii="宋体" w:hAnsi="宋体" w:eastAsia="宋体" w:cs="宋体"/>
                <w:b w:val="0"/>
                <w:bCs w:val="0"/>
                <w:color w:val="000000"/>
                <w:kern w:val="0"/>
                <w:sz w:val="18"/>
                <w:szCs w:val="18"/>
              </w:rPr>
              <w:t>台账记录</w:t>
            </w:r>
          </w:p>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2178" w:hRule="atLeast"/>
        </w:trPr>
        <w:tc>
          <w:tcPr>
            <w:tcW w:w="6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74" w:type="dxa"/>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C2.项目效益（30%）（说明：该指标主要反映部门（单位）项目的实施效果。</w:t>
            </w:r>
          </w:p>
        </w:tc>
        <w:tc>
          <w:tcPr>
            <w:tcW w:w="913"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46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通过购买服务，盘龙区按时按质上报各项资产系统报表，对盘龙区后续熟练掌握行政事业单位资产管理信息系统及新政府会计制度下固定（无形）资产按月计提折旧（摊销）在资产系统内的操作流程有很大帮助</w:t>
            </w:r>
          </w:p>
        </w:tc>
        <w:tc>
          <w:tcPr>
            <w:tcW w:w="34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559"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30</w:t>
            </w:r>
          </w:p>
        </w:tc>
        <w:tc>
          <w:tcPr>
            <w:tcW w:w="2001"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通过购买服务，是否按时按质按量上报各项资产系统报表及对更熟练掌握资产系统是否有帮助。</w:t>
            </w:r>
          </w:p>
        </w:tc>
        <w:tc>
          <w:tcPr>
            <w:tcW w:w="194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满足要求，得满分</w:t>
            </w:r>
          </w:p>
        </w:tc>
        <w:tc>
          <w:tcPr>
            <w:tcW w:w="1344"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台账记录</w:t>
            </w:r>
          </w:p>
          <w:p>
            <w:pPr>
              <w:widowControl/>
              <w:spacing w:line="240" w:lineRule="exact"/>
              <w:jc w:val="left"/>
              <w:rPr>
                <w:rFonts w:ascii="宋体" w:hAnsi="宋体" w:cs="宋体"/>
                <w:color w:val="000000"/>
                <w:kern w:val="0"/>
                <w:sz w:val="18"/>
                <w:szCs w:val="18"/>
              </w:rPr>
            </w:pPr>
          </w:p>
        </w:tc>
      </w:tr>
      <w:tr>
        <w:tblPrEx>
          <w:tblLayout w:type="fixed"/>
          <w:tblCellMar>
            <w:top w:w="0" w:type="dxa"/>
            <w:left w:w="108" w:type="dxa"/>
            <w:bottom w:w="0" w:type="dxa"/>
            <w:right w:w="108" w:type="dxa"/>
          </w:tblCellMar>
        </w:tblPrEx>
        <w:trPr>
          <w:trHeight w:val="540" w:hRule="atLeast"/>
        </w:trPr>
        <w:tc>
          <w:tcPr>
            <w:tcW w:w="671"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117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91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46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34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55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98.5</w:t>
            </w:r>
          </w:p>
        </w:tc>
        <w:tc>
          <w:tcPr>
            <w:tcW w:w="200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34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spacing w:before="120" w:after="120" w:line="480" w:lineRule="auto"/>
        <w:rPr>
          <w:rFonts w:ascii="Times New Roman" w:hAnsi="Times New Roman" w:eastAsia="仿宋_GB2312"/>
          <w:b/>
          <w:bCs/>
          <w:sz w:val="52"/>
          <w:szCs w:val="52"/>
        </w:rPr>
      </w:pPr>
    </w:p>
    <w:p>
      <w:pPr>
        <w:jc w:val="center"/>
        <w:rPr>
          <w:rFonts w:ascii="Times New Roman" w:hAnsi="Times New Roman" w:eastAsia="黑体"/>
          <w:bCs/>
          <w:sz w:val="52"/>
          <w:szCs w:val="52"/>
        </w:rPr>
      </w:pPr>
    </w:p>
    <w:p>
      <w:pPr>
        <w:jc w:val="center"/>
        <w:rPr>
          <w:rFonts w:ascii="Times New Roman" w:hAnsi="Times New Roman" w:eastAsia="黑体"/>
          <w:bCs/>
          <w:sz w:val="52"/>
          <w:szCs w:val="52"/>
        </w:rPr>
      </w:pPr>
    </w:p>
    <w:p>
      <w:pPr>
        <w:jc w:val="center"/>
        <w:rPr>
          <w:rFonts w:ascii="Times New Roman" w:hAnsi="Times New Roman" w:eastAsia="黑体"/>
          <w:bCs/>
          <w:sz w:val="52"/>
          <w:szCs w:val="52"/>
        </w:rPr>
      </w:pPr>
    </w:p>
    <w:p>
      <w:pPr>
        <w:jc w:val="center"/>
        <w:rPr>
          <w:rFonts w:ascii="Times New Roman" w:hAnsi="Times New Roman" w:eastAsia="黑体"/>
          <w:bCs/>
          <w:sz w:val="52"/>
          <w:szCs w:val="52"/>
        </w:rPr>
      </w:pPr>
      <w:r>
        <w:rPr>
          <w:rFonts w:ascii="Times New Roman" w:hAnsi="Times New Roman" w:eastAsia="黑体"/>
          <w:bCs/>
          <w:sz w:val="52"/>
          <w:szCs w:val="52"/>
        </w:rPr>
        <w:t>国资业务费</w:t>
      </w:r>
      <w:r>
        <w:rPr>
          <w:rFonts w:hint="eastAsia" w:ascii="Times New Roman" w:hAnsi="Times New Roman" w:eastAsia="黑体"/>
          <w:bCs/>
          <w:sz w:val="52"/>
          <w:szCs w:val="52"/>
          <w:lang w:eastAsia="zh-CN"/>
        </w:rPr>
        <w:t>（资产科）</w:t>
      </w:r>
      <w:r>
        <w:rPr>
          <w:rFonts w:ascii="Times New Roman" w:hAnsi="Times New Roman" w:eastAsia="黑体"/>
          <w:bCs/>
          <w:sz w:val="52"/>
          <w:szCs w:val="52"/>
        </w:rPr>
        <w:t>项目支出</w:t>
      </w:r>
    </w:p>
    <w:p>
      <w:pPr>
        <w:jc w:val="center"/>
        <w:rPr>
          <w:rFonts w:ascii="Times New Roman" w:hAnsi="Times New Roman" w:eastAsia="黑体"/>
          <w:bCs/>
          <w:sz w:val="52"/>
          <w:szCs w:val="52"/>
        </w:rPr>
      </w:pPr>
      <w:r>
        <w:rPr>
          <w:rFonts w:ascii="Times New Roman" w:hAnsi="Times New Roman" w:eastAsia="黑体"/>
          <w:bCs/>
          <w:sz w:val="52"/>
          <w:szCs w:val="52"/>
        </w:rPr>
        <w:t>绩效自评报告（20</w:t>
      </w:r>
      <w:r>
        <w:rPr>
          <w:rFonts w:hint="eastAsia" w:ascii="Times New Roman" w:hAnsi="Times New Roman" w:eastAsia="黑体"/>
          <w:bCs/>
          <w:sz w:val="52"/>
          <w:szCs w:val="52"/>
        </w:rPr>
        <w:t>20</w:t>
      </w:r>
      <w:r>
        <w:rPr>
          <w:rFonts w:ascii="Times New Roman" w:hAnsi="Times New Roman" w:eastAsia="黑体"/>
          <w:bCs/>
          <w:sz w:val="52"/>
          <w:szCs w:val="52"/>
        </w:rPr>
        <w:t>年度）</w:t>
      </w: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w w:val="80"/>
          <w:sz w:val="28"/>
          <w:szCs w:val="28"/>
        </w:rPr>
      </w:pPr>
      <w:r>
        <w:rPr>
          <w:rFonts w:ascii="Times New Roman" w:hAnsi="Times New Roman" w:eastAsia="黑体"/>
          <w:b/>
          <w:bCs/>
          <w:sz w:val="28"/>
          <w:szCs w:val="28"/>
        </w:rPr>
        <mc:AlternateContent>
          <mc:Choice Requires="wps">
            <w:drawing>
              <wp:anchor distT="0" distB="0" distL="114300" distR="114300" simplePos="0" relativeHeight="25169510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30" name="直接箭头连接符 30"/>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86.75pt;margin-top:15.45pt;height:0pt;width:196.5pt;z-index:25169510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ABR0VE6AEAAK4DAAAOAAAAZHJzL2Uyb0RvYy54bWytU0uO&#10;EzEQ3SNxB8t70kkgiGmlM4uEYYMgEnCAiu3utuSfXCadXIILILECVjCr2XMaGI5B2cmEATYI0Qt3&#10;lcv1qt5zeX6+s4ZtVUTtXcMnozFnygkvtesa/urlxb1HnGECJ8F4pxq+V8jPF3fvzIdQq6nvvZEq&#10;MgJxWA+h4X1Koa4qFL2ygCMflKNg66OFRG7sKhlhIHRrqul4/LAafJQheqEQaXd1CPJFwW9bJdLz&#10;tkWVmGk49ZbKGsu6yWu1mEPdRQi9Fsc24B+6sKAdFT1BrSABex31H1BWi+jRt2kkvK1822qhCgdi&#10;Mxn/xuZFD0EVLiQOhpNM+P9gxbPtOjItG36f5HFg6Y6u3159e/Ph+vLz1/dX37+8y/anj4ziJNYQ&#10;sKacpVvHo4dhHTPzXRtt/hMntisC708Cq11igjanD85msxkVEjex6mdiiJieKG9ZNhqOKYLu+rT0&#10;ztE1+jgpAsP2KSYqTYk3CbmqcWxo+NlsOiNwoEFqDSQybSBq6LqSi95oeaGNyRkYu83SRLaFPBrl&#10;ywQJ95djucgKsD+cK6HD0PQK5GMnWdoH0szRdPPcglWSM6PoMWSLAKFOoM3fnKTSxuUEVQb3yDMr&#10;ftA4Wxsv90X6Kns0FKXj4wDnqbvtk337mS1+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XqXKDX&#10;AAAACQEAAA8AAAAAAAAAAQAgAAAAIgAAAGRycy9kb3ducmV2LnhtbFBLAQIUABQAAAAIAIdO4kAB&#10;R0VE6AEAAK4DAAAOAAAAAAAAAAEAIAAAACYBAABkcnMvZTJvRG9jLnhtbFBLBQYAAAAABgAGAFkB&#10;AACABQAAAAA=&#10;">
                <v:fill on="f" focussize="0,0"/>
                <v:stroke color="#000000" joinstyle="round"/>
                <v:imagedata o:title=""/>
                <o:lock v:ext="edit" aspectratio="f"/>
              </v:shape>
            </w:pict>
          </mc:Fallback>
        </mc:AlternateContent>
      </w:r>
      <w:r>
        <w:rPr>
          <w:rFonts w:ascii="Times New Roman" w:hAnsi="Times New Roman" w:eastAsia="黑体"/>
          <w:b/>
          <w:bCs/>
          <w:sz w:val="28"/>
          <w:szCs w:val="28"/>
        </w:rPr>
        <w:t>部门名称</w:t>
      </w:r>
      <w:r>
        <w:rPr>
          <w:rFonts w:ascii="Times New Roman" w:hAnsi="Times New Roman" w:eastAsia="黑体"/>
          <w:b/>
          <w:bCs/>
          <w:w w:val="80"/>
          <w:sz w:val="28"/>
          <w:szCs w:val="28"/>
        </w:rPr>
        <w:t>（公章）：昆明市盘龙区</w:t>
      </w:r>
      <w:r>
        <w:rPr>
          <w:rFonts w:hint="eastAsia" w:ascii="Times New Roman" w:hAnsi="Times New Roman" w:eastAsia="黑体"/>
          <w:b/>
          <w:bCs/>
          <w:w w:val="80"/>
          <w:sz w:val="28"/>
          <w:szCs w:val="28"/>
        </w:rPr>
        <w:t>财政局资产管理科</w:t>
      </w:r>
    </w:p>
    <w:p>
      <w:pPr>
        <w:adjustRightInd w:val="0"/>
        <w:snapToGrid w:val="0"/>
        <w:spacing w:line="360" w:lineRule="auto"/>
        <w:ind w:left="1260" w:leftChars="600"/>
        <w:rPr>
          <w:rFonts w:ascii="Times New Roman" w:hAnsi="Times New Roman" w:eastAsia="黑体"/>
          <w:b/>
          <w:bCs/>
          <w:w w:val="80"/>
          <w:sz w:val="28"/>
          <w:szCs w:val="28"/>
        </w:rPr>
      </w:pPr>
      <w:r>
        <w:rPr>
          <w:rFonts w:ascii="Times New Roman" w:hAnsi="Times New Roman" w:eastAsia="黑体"/>
          <w:b/>
          <w:bCs/>
          <w:sz w:val="28"/>
          <w:szCs w:val="28"/>
        </w:rPr>
        <mc:AlternateContent>
          <mc:Choice Requires="wps">
            <w:drawing>
              <wp:anchor distT="0" distB="0" distL="114300" distR="114300" simplePos="0" relativeHeight="25169612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1" name="直接箭头连接符 3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7.45pt;height:0pt;width:196.5pt;z-index:25169612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Bj5r+I6AEAAK4DAAAOAAAAZHJzL2Uyb0RvYy54bWytU0uO&#10;EzEQ3SNxB8t70kkgiGmlM4uEYYMgEnCAiu3utuSfXCadXIILILECVjCr2XMaGI5B2cmEATYI0Qt3&#10;lcv1qt5zeX6+s4ZtVUTtXcMnozFnygkvtesa/urlxb1HnGECJ8F4pxq+V8jPF3fvzIdQq6nvvZEq&#10;MgJxWA+h4X1Koa4qFL2ygCMflKNg66OFRG7sKhlhIHRrqul4/LAafJQheqEQaXd1CPJFwW9bJdLz&#10;tkWVmGk49ZbKGsu6yWu1mEPdRQi9Fsc24B+6sKAdFT1BrSABex31H1BWi+jRt2kkvK1822qhCgdi&#10;Mxn/xuZFD0EVLiQOhpNM+P9gxbPtOjItG35/wpkDS3d0/fbq25sP15efv76/+v7lXbY/fWQUJ7GG&#10;gDXlLN06Hj0M65iZ79po8584sV0ReH8SWO0SE7Q5fXA2m83oHsRNrPqZGCKmJ8pblo2GY4qguz4t&#10;vXN0jT5OisCwfYqJSlPiTUKuahwbGn42m84IHGiQWgOJTBuIGrqu5KI3Wl5oY3IGxm6zNJFtIY9G&#10;+TJBwv3lWC6yAuwP50roMDS9AvnYSZb2gTRzNN08t2CV5MwoegzZIkCoE2jzNyeptHE5QZXBPfLM&#10;ih80ztbGy32RvsoeDUXp+DjAeepu+2TffmaL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xhF2DX&#10;AAAACQEAAA8AAAAAAAAAAQAgAAAAIgAAAGRycy9kb3ducmV2LnhtbFBLAQIUABQAAAAIAIdO4kBj&#10;5r+I6AEAAK4DAAAOAAAAAAAAAAEAIAAAACYBAABkcnMvZTJvRG9jLnhtbFBLBQYAAAAABgAGAFkB&#10;AACABQAAAAA=&#10;">
                <v:fill on="f" focussize="0,0"/>
                <v:stroke color="#000000" joinstyle="round"/>
                <v:imagedata o:title=""/>
                <o:lock v:ext="edit" aspectratio="f"/>
              </v:shape>
            </w:pict>
          </mc:Fallback>
        </mc:AlternateContent>
      </w:r>
      <w:r>
        <w:rPr>
          <w:rFonts w:ascii="Times New Roman" w:hAnsi="Times New Roman" w:eastAsia="黑体"/>
          <w:b/>
          <w:bCs/>
          <w:sz w:val="28"/>
          <w:szCs w:val="28"/>
        </w:rPr>
        <w:t>项目单位：</w:t>
      </w:r>
      <w:r>
        <w:rPr>
          <w:rFonts w:ascii="Times New Roman" w:hAnsi="Times New Roman" w:eastAsia="黑体"/>
          <w:b/>
          <w:bCs/>
          <w:w w:val="80"/>
          <w:sz w:val="28"/>
          <w:szCs w:val="28"/>
        </w:rPr>
        <w:t>昆明市盘龙区</w:t>
      </w:r>
      <w:r>
        <w:rPr>
          <w:rFonts w:hint="eastAsia" w:ascii="Times New Roman" w:hAnsi="Times New Roman" w:eastAsia="黑体"/>
          <w:b/>
          <w:bCs/>
          <w:w w:val="80"/>
          <w:sz w:val="28"/>
          <w:szCs w:val="28"/>
        </w:rPr>
        <w:t>财政局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9715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3" name="直接箭头连接符 3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9715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mojvK6QEAAK4DAAAOAAAAZHJzL2Uyb0RvYy54bWytU0uO&#10;EzEQ3SNxB8t70kmGIKaVziwShg2CSMABKra725J/cpl0cgkugMQKWAGr2XMaGI5B2cmEATYI0Qt3&#10;lcv1qt5zeX6xs4ZtVUTtXcMnozFnygkvtesa/vLF5b2HnGECJ8F4pxq+V8gvFnfvzIdQq6nvvZEq&#10;MgJxWA+h4X1Koa4qFL2ygCMflKNg66OFRG7sKhlhIHRrqul4/KAafJQheqEQaXd1CPJFwW9bJdKz&#10;tkWVmGk49ZbKGsu6yWu1mEPdRQi9Fsc24B+6sKAdFT1BrSABexX1H1BWi+jRt2kkvK1822qhCgdi&#10;Mxn/xuZ5D0EVLiQOhpNM+P9gxdPtOjItG352xpkDS3d0/ebq2+v3158/fX139f3L22x//MAoTmIN&#10;AWvKWbp1PHoY1jEz37XR5j9xYrsi8P4ksNolJmhzev98NpvRPYibWPUzMURMj5W3LBsNxxRBd31a&#10;eufoGn2cFIFh+wQTlabEm4Rc1Tg2NPx8Np0RONAgtQYSmTYQNXRdyUVvtLzUxuQMjN1maSLbQh6N&#10;8mWChPvLsVxkBdgfzpXQYWh6BfKRkyztA2nmaLp5bsEqyZlR9BiyRYBQJ9Dmb05SaeNygiqDe+SZ&#10;FT9onK2Nl/sifZU9GorS8XGA89Td9sm+/cwWP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0IL+7&#10;1wAAAAkBAAAPAAAAAAAAAAEAIAAAACIAAABkcnMvZG93bnJldi54bWxQSwECFAAUAAAACACHTuJA&#10;5qI7yukBAACuAwAADgAAAAAAAAABACAAAAAmAQAAZHJzL2Uyb0RvYy54bWxQSwUGAAAAAAYABgBZ&#10;AQAAgQUAAAAA&#10;">
                <v:fill on="f" focussize="0,0"/>
                <v:stroke color="#000000" joinstyle="round"/>
                <v:imagedata o:title=""/>
                <o:lock v:ext="edit" aspectratio="f"/>
              </v:shape>
            </w:pict>
          </mc:Fallback>
        </mc:AlternateContent>
      </w:r>
      <w:r>
        <w:rPr>
          <w:rFonts w:ascii="Times New Roman" w:hAnsi="Times New Roman" w:eastAsia="黑体"/>
          <w:b/>
          <w:bCs/>
          <w:sz w:val="28"/>
          <w:szCs w:val="28"/>
        </w:rPr>
        <w:t xml:space="preserve">主管部门： </w:t>
      </w:r>
      <w:r>
        <w:rPr>
          <w:rFonts w:ascii="Times New Roman" w:hAnsi="Times New Roman" w:eastAsia="黑体"/>
          <w:b/>
          <w:bCs/>
          <w:w w:val="80"/>
          <w:sz w:val="28"/>
          <w:szCs w:val="28"/>
        </w:rPr>
        <w:t>昆明市盘龙区</w:t>
      </w:r>
      <w:r>
        <w:rPr>
          <w:rFonts w:hint="eastAsia" w:ascii="Times New Roman" w:hAnsi="Times New Roman" w:eastAsia="黑体"/>
          <w:b/>
          <w:bCs/>
          <w:w w:val="80"/>
          <w:sz w:val="28"/>
          <w:szCs w:val="28"/>
        </w:rPr>
        <w:t>财政局</w:t>
      </w:r>
    </w:p>
    <w:p>
      <w:pPr>
        <w:adjustRightInd w:val="0"/>
        <w:snapToGrid w:val="0"/>
        <w:spacing w:line="360" w:lineRule="auto"/>
        <w:ind w:left="1260" w:leftChars="600"/>
        <w:rPr>
          <w:rFonts w:hint="eastAsia" w:ascii="Times New Roman" w:hAnsi="Times New Roman" w:eastAsia="黑体"/>
          <w:b/>
          <w:bCs/>
          <w:sz w:val="28"/>
          <w:szCs w:val="28"/>
          <w:lang w:eastAsia="zh-CN"/>
        </w:rPr>
      </w:pPr>
      <w:r>
        <w:rPr>
          <w:rFonts w:ascii="Times New Roman" w:hAnsi="Times New Roman" w:eastAsia="黑体"/>
          <w:b/>
          <w:bCs/>
          <w:sz w:val="28"/>
          <w:szCs w:val="28"/>
        </w:rPr>
        <mc:AlternateContent>
          <mc:Choice Requires="wps">
            <w:drawing>
              <wp:anchor distT="0" distB="0" distL="114300" distR="114300" simplePos="0" relativeHeight="25169817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4" name="直接箭头连接符 3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9817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Lzk3B6QEAAK4DAAAOAAAAZHJzL2Uyb0RvYy54bWytU0uO&#10;EzEQ3SNxB8t70kmYIKaVziwShg2CSMABKra725J/cpl0cgkugMQKWAGr2XMaGI5B2cmEATYI0Qt3&#10;lcv1qt5zeX6xs4ZtVUTtXcMnozFnygkvtesa/vLF5b2HnGECJ8F4pxq+V8gvFnfvzIdQq6nvvZEq&#10;MgJxWA+h4X1Koa4qFL2ygCMflKNg66OFRG7sKhlhIHRrqul4/KAafJQheqEQaXd1CPJFwW9bJdKz&#10;tkWVmGk49ZbKGsu6yWu1mEPdRQi9Fsc24B+6sKAdFT1BrSABexX1H1BWi+jRt2kkvK1822qhCgdi&#10;Mxn/xuZ5D0EVLiQOhpNM+P9gxdPtOjItG37/jDMHlu7o+s3Vt9fvrz9/+vru6vuXt9n++IFRnMQa&#10;AtaUs3TrePQwrGNmvmujzX/ixHZF4P1JYLVLTNDm9Ox8NpvRPYibWPUzMURMj5W3LBsNxxRBd31a&#10;eufoGn2cFIFh+wQTlabEm4Rc1Tg2NPx8Np0RONAgtQYSmTYQNXRdyUVvtLzUxuQMjN1maSLbQh6N&#10;8mWChPvLsVxkBdgfzpXQYWh6BfKRkyztA2nmaLp5bsEqyZlR9BiyRYBQJ9Dmb05SaeNygiqDe+SZ&#10;FT9onK2Nl/sifZU9GorS8XGA89Td9sm+/cwWP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0IL+7&#10;1wAAAAkBAAAPAAAAAAAAAAEAIAAAACIAAABkcnMvZG93bnJldi54bWxQSwECFAAUAAAACACHTuJA&#10;C85NwekBAACuAwAADgAAAAAAAAABACAAAAAmAQAAZHJzL2Uyb0RvYy54bWxQSwUGAAAAAAYABgBZ&#10;AQAAgQUAAAAA&#10;">
                <v:fill on="f" focussize="0,0"/>
                <v:stroke color="#000000" joinstyle="round"/>
                <v:imagedata o:title=""/>
                <o:lock v:ext="edit" aspectratio="f"/>
              </v:shape>
            </w:pict>
          </mc:Fallback>
        </mc:AlternateContent>
      </w:r>
      <w:r>
        <w:rPr>
          <w:rFonts w:ascii="Times New Roman" w:hAnsi="Times New Roman" w:eastAsia="黑体"/>
          <w:b/>
          <w:bCs/>
          <w:sz w:val="28"/>
          <w:szCs w:val="28"/>
        </w:rPr>
        <w:t>项目名称：国资业务费</w:t>
      </w:r>
      <w:r>
        <w:rPr>
          <w:rFonts w:hint="eastAsia" w:ascii="Times New Roman" w:hAnsi="Times New Roman" w:eastAsia="黑体"/>
          <w:b/>
          <w:bCs/>
          <w:sz w:val="28"/>
          <w:szCs w:val="28"/>
          <w:lang w:eastAsia="zh-CN"/>
        </w:rPr>
        <w:t>资产科项目</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9920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2" name="直接箭头连接符 3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5pt;margin-top:14.25pt;height:0pt;width:196.5pt;z-index:25169920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EA8EG6AEAAK4DAAAOAAAAZHJzL2Uyb0RvYy54bWytU0uO&#10;EzEQ3SNxB8t70kkgiGmlM4uEYYMgEnCAiu3utuSfXCadXIILILECVjCr2XMaGI5B2cmEATYI0Qt3&#10;lcv1qt5zeX6+s4ZtVUTtXcMnozFnygkvtesa/urlxb1HnGECJ8F4pxq+V8jPF3fvzIdQq6nvvZEq&#10;MgJxWA+h4X1Koa4qFL2ygCMflKNg66OFRG7sKhlhIHRrqul4/LAafJQheqEQaXd1CPJFwW9bJdLz&#10;tkWVmGk49ZbKGsu6yWu1mEPdRQi9Fsc24B+6sKAdFT1BrSABex31H1BWi+jRt2kkvK1822qhCgdi&#10;Mxn/xuZFD0EVLiQOhpNM+P9gxbPtOjItG35/ypkDS3d0/fbq25sP15efv76/+v7lXbY/fWQUJ7GG&#10;gDXlLN06Hj0M65iZ79po8584sV0ReH8SWO0SE7Q5fXA2m83oHsRNrPqZGCKmJ8pblo2GY4qguz4t&#10;vXN0jT5OisCwfYqJSlPiTUKuahwbGn42m84IHGiQWgOJTBuIGrqu5KI3Wl5oY3IGxm6zNJFtIY9G&#10;+TJBwv3lWC6yAuwP50roMDS9AvnYSZb2gTRzNN08t2CV5MwoegzZIkCoE2jzNyeptHE5QZXBPfLM&#10;ih80ztbGy32RvsoeDUXp+DjAeepu+2TffmaL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Qgv7vX&#10;AAAACQEAAA8AAAAAAAAAAQAgAAAAIgAAAGRycy9kb3ducmV2LnhtbFBLAQIUABQAAAAIAIdO4kCE&#10;A8EG6AEAAK4DAAAOAAAAAAAAAAEAIAAAACYBAABkcnMvZTJvRG9jLnhtbFBLBQYAAAAABgAGAFkB&#10;AACABQAAAAA=&#10;">
                <v:fill on="f" focussize="0,0"/>
                <v:stroke color="#000000" joinstyle="round"/>
                <v:imagedata o:title=""/>
                <o:lock v:ext="edit" aspectratio="f"/>
              </v:shape>
            </w:pict>
          </mc:Fallback>
        </mc:AlternateContent>
      </w:r>
      <w:r>
        <w:rPr>
          <w:rFonts w:ascii="Times New Roman" w:hAnsi="Times New Roman" w:eastAsia="黑体"/>
          <w:b/>
          <w:bCs/>
          <w:sz w:val="28"/>
          <w:szCs w:val="28"/>
        </w:rPr>
        <w:t>绩效自评日期：</w:t>
      </w:r>
      <w:r>
        <w:rPr>
          <w:rFonts w:hint="eastAsia" w:ascii="Times New Roman" w:hAnsi="Times New Roman" w:eastAsia="黑体"/>
          <w:b/>
          <w:bCs/>
          <w:sz w:val="28"/>
          <w:szCs w:val="28"/>
        </w:rPr>
        <w:t>2021</w:t>
      </w:r>
      <w:r>
        <w:rPr>
          <w:rFonts w:ascii="Times New Roman" w:hAnsi="Times New Roman" w:eastAsia="黑体"/>
          <w:b/>
          <w:bCs/>
          <w:sz w:val="28"/>
          <w:szCs w:val="28"/>
        </w:rPr>
        <w:t>年</w:t>
      </w:r>
      <w:r>
        <w:rPr>
          <w:rFonts w:hint="eastAsia" w:ascii="Times New Roman" w:hAnsi="Times New Roman" w:eastAsia="黑体"/>
          <w:b/>
          <w:bCs/>
          <w:sz w:val="28"/>
          <w:szCs w:val="28"/>
        </w:rPr>
        <w:t>5</w:t>
      </w:r>
      <w:r>
        <w:rPr>
          <w:rFonts w:ascii="Times New Roman" w:hAnsi="Times New Roman" w:eastAsia="黑体"/>
          <w:b/>
          <w:bCs/>
          <w:sz w:val="28"/>
          <w:szCs w:val="28"/>
        </w:rPr>
        <w:t>月</w:t>
      </w: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rPr>
        <w:t>1</w:t>
      </w:r>
      <w:r>
        <w:rPr>
          <w:rFonts w:ascii="Times New Roman" w:hAnsi="Times New Roman" w:eastAsia="黑体"/>
          <w:b/>
          <w:bCs/>
          <w:sz w:val="28"/>
          <w:szCs w:val="28"/>
        </w:rPr>
        <w:t>年</w:t>
      </w:r>
      <w:r>
        <w:rPr>
          <w:rFonts w:hint="eastAsia" w:ascii="Times New Roman" w:hAnsi="Times New Roman" w:eastAsia="黑体"/>
          <w:b/>
          <w:bCs/>
          <w:sz w:val="28"/>
          <w:szCs w:val="28"/>
        </w:rPr>
        <w:t>5</w:t>
      </w:r>
      <w:r>
        <w:rPr>
          <w:rFonts w:ascii="Times New Roman" w:hAnsi="Times New Roman" w:eastAsia="黑体"/>
          <w:b/>
          <w:bCs/>
          <w:sz w:val="28"/>
          <w:szCs w:val="28"/>
        </w:rPr>
        <w:t>月</w:t>
      </w: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r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620"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1620"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621"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620" w:type="dxa"/>
            <w:noWrap/>
            <w:vAlign w:val="center"/>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r>
              <w:rPr>
                <w:rFonts w:hint="eastAsia" w:ascii="Times New Roman" w:hAnsi="Times New Roman" w:eastAsia="黑体" w:cs="Times New Roman"/>
                <w:kern w:val="2"/>
                <w:sz w:val="24"/>
                <w:szCs w:val="24"/>
                <w:lang w:val="zh-TW" w:eastAsia="zh-CN"/>
              </w:rPr>
              <w:t>刘皓</w:t>
            </w:r>
          </w:p>
        </w:tc>
        <w:tc>
          <w:tcPr>
            <w:tcW w:w="1620" w:type="dxa"/>
            <w:noWrap/>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r>
              <w:rPr>
                <w:rFonts w:hint="eastAsia" w:ascii="Times New Roman" w:hAnsi="Times New Roman" w:eastAsia="黑体" w:cs="Times New Roman"/>
                <w:kern w:val="2"/>
                <w:sz w:val="24"/>
                <w:szCs w:val="24"/>
                <w:lang w:val="zh-TW" w:eastAsia="zh-CN"/>
              </w:rPr>
              <w:t>科长</w:t>
            </w:r>
          </w:p>
        </w:tc>
        <w:tc>
          <w:tcPr>
            <w:tcW w:w="1621" w:type="dxa"/>
            <w:noWrap/>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r>
              <w:rPr>
                <w:rFonts w:hint="eastAsia" w:ascii="Times New Roman" w:hAnsi="Times New Roman" w:eastAsia="黑体" w:cs="Times New Roman"/>
                <w:kern w:val="2"/>
                <w:sz w:val="24"/>
                <w:szCs w:val="24"/>
                <w:lang w:val="zh-TW" w:eastAsia="zh-CN"/>
              </w:rPr>
              <w:t>资产管理科</w:t>
            </w:r>
          </w:p>
        </w:tc>
        <w:tc>
          <w:tcPr>
            <w:tcW w:w="1621" w:type="dxa"/>
            <w:noWrap/>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620" w:type="dxa"/>
            <w:noWrap/>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c>
          <w:tcPr>
            <w:tcW w:w="1620" w:type="dxa"/>
            <w:noWrap/>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c>
          <w:tcPr>
            <w:tcW w:w="1621" w:type="dxa"/>
            <w:noWrap/>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c>
          <w:tcPr>
            <w:tcW w:w="1621" w:type="dxa"/>
            <w:noWrap/>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ign w:val="center"/>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620" w:type="dxa"/>
            <w:noWrap/>
          </w:tcPr>
          <w:p>
            <w:pPr>
              <w:pStyle w:val="10"/>
              <w:widowControl w:val="0"/>
              <w:spacing w:after="0" w:line="600" w:lineRule="exact"/>
              <w:jc w:val="both"/>
              <w:rPr>
                <w:rFonts w:hint="eastAsia" w:ascii="Times New Roman" w:hAnsi="Times New Roman" w:eastAsia="黑体" w:cs="Times New Roman"/>
                <w:kern w:val="2"/>
                <w:sz w:val="24"/>
                <w:szCs w:val="24"/>
                <w:lang w:eastAsia="zh-CN"/>
              </w:rPr>
            </w:pPr>
            <w:r>
              <w:rPr>
                <w:rFonts w:hint="eastAsia" w:ascii="Times New Roman" w:hAnsi="Times New Roman" w:eastAsia="黑体" w:cs="Times New Roman"/>
                <w:kern w:val="2"/>
                <w:sz w:val="24"/>
                <w:szCs w:val="24"/>
                <w:lang w:eastAsia="zh-CN"/>
              </w:rPr>
              <w:t>杨艳迪</w:t>
            </w:r>
          </w:p>
        </w:tc>
        <w:tc>
          <w:tcPr>
            <w:tcW w:w="1620" w:type="dxa"/>
            <w:noWrap/>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r>
              <w:rPr>
                <w:rFonts w:hint="eastAsia" w:ascii="Times New Roman" w:hAnsi="Times New Roman" w:eastAsia="黑体" w:cs="Times New Roman"/>
                <w:kern w:val="2"/>
                <w:sz w:val="24"/>
                <w:szCs w:val="24"/>
                <w:lang w:val="zh-TW" w:eastAsia="zh-CN"/>
              </w:rPr>
              <w:t>工作人员</w:t>
            </w:r>
          </w:p>
        </w:tc>
        <w:tc>
          <w:tcPr>
            <w:tcW w:w="1621" w:type="dxa"/>
            <w:noWrap/>
          </w:tcPr>
          <w:p>
            <w:pPr>
              <w:pStyle w:val="10"/>
              <w:widowControl w:val="0"/>
              <w:spacing w:after="0" w:line="600" w:lineRule="exact"/>
              <w:jc w:val="both"/>
              <w:rPr>
                <w:rFonts w:hint="eastAsia" w:ascii="Times New Roman" w:hAnsi="Times New Roman" w:eastAsia="黑体" w:cs="Times New Roman"/>
                <w:kern w:val="2"/>
                <w:sz w:val="24"/>
                <w:szCs w:val="24"/>
                <w:lang w:val="zh-TW" w:eastAsia="zh-CN"/>
              </w:rPr>
            </w:pPr>
            <w:r>
              <w:rPr>
                <w:rFonts w:hint="eastAsia" w:ascii="Times New Roman" w:hAnsi="Times New Roman" w:eastAsia="黑体" w:cs="Times New Roman"/>
                <w:kern w:val="2"/>
                <w:sz w:val="24"/>
                <w:szCs w:val="24"/>
                <w:lang w:val="zh-TW" w:eastAsia="zh-CN"/>
              </w:rPr>
              <w:t>资产管理科</w:t>
            </w:r>
          </w:p>
        </w:tc>
        <w:tc>
          <w:tcPr>
            <w:tcW w:w="1621" w:type="dxa"/>
            <w:noWrap/>
          </w:tcPr>
          <w:p>
            <w:pPr>
              <w:pStyle w:val="10"/>
              <w:widowControl w:val="0"/>
              <w:spacing w:after="0" w:line="600" w:lineRule="exact"/>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ind w:firstLine="6240" w:firstLineChars="2600"/>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tcPr>
          <w:p>
            <w:pPr>
              <w:pStyle w:val="10"/>
              <w:widowControl w:val="0"/>
              <w:spacing w:after="0" w:line="600" w:lineRule="exact"/>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jc w:val="both"/>
              <w:rPr>
                <w:rFonts w:ascii="Times New Roman" w:hAnsi="Times New Roman" w:eastAsia="黑体" w:cs="Times New Roman"/>
                <w:kern w:val="2"/>
                <w:sz w:val="24"/>
                <w:szCs w:val="24"/>
                <w:lang w:val="zh-TW"/>
              </w:rPr>
            </w:pPr>
          </w:p>
          <w:p>
            <w:pPr>
              <w:pStyle w:val="10"/>
              <w:widowControl w:val="0"/>
              <w:spacing w:after="0" w:line="600" w:lineRule="exact"/>
              <w:ind w:firstLine="6240" w:firstLineChars="2600"/>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  月  日</w:t>
            </w:r>
          </w:p>
        </w:tc>
      </w:tr>
    </w:tbl>
    <w:p>
      <w:pPr>
        <w:pStyle w:val="10"/>
        <w:widowControl w:val="0"/>
        <w:spacing w:after="0" w:line="600" w:lineRule="exact"/>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600" w:lineRule="exact"/>
        <w:jc w:val="both"/>
        <w:rPr>
          <w:rFonts w:ascii="Times New Roman" w:hAnsi="Times New Roman" w:cs="Times New Roman"/>
          <w:kern w:val="2"/>
          <w:sz w:val="24"/>
          <w:szCs w:val="24"/>
          <w:lang w:val="zh-TW"/>
        </w:rPr>
        <w:sectPr>
          <w:pgSz w:w="11906" w:h="16838"/>
          <w:pgMar w:top="1440" w:right="1800" w:bottom="1440" w:left="1800" w:header="851" w:footer="992" w:gutter="0"/>
          <w:cols w:space="720" w:num="1"/>
          <w:docGrid w:type="lines" w:linePitch="312" w:charSpace="0"/>
        </w:sectPr>
      </w:pPr>
    </w:p>
    <w:p>
      <w:pPr>
        <w:pStyle w:val="11"/>
        <w:jc w:val="center"/>
        <w:rPr>
          <w:rFonts w:ascii="Times New Roman" w:hAnsi="Times New Roman" w:cs="Times New Roman"/>
          <w:color w:val="auto"/>
        </w:rPr>
      </w:pPr>
      <w:r>
        <w:rPr>
          <w:rFonts w:ascii="Times New Roman" w:hAnsi="Times New Roman" w:cs="Times New Roman"/>
          <w:color w:val="auto"/>
          <w:lang w:val="zh-CN"/>
        </w:rPr>
        <w:t>目录</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一、</w:t>
      </w:r>
      <w:r>
        <w:rPr>
          <w:rFonts w:hint="default" w:ascii="Times New Roman" w:hAnsi="Times New Roman" w:eastAsia="黑体" w:cs="Times New Roman"/>
          <w:szCs w:val="32"/>
          <w:highlight w:val="none"/>
        </w:rPr>
        <w:t>摘要</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二、</w:t>
      </w:r>
      <w:r>
        <w:rPr>
          <w:rFonts w:hint="default" w:ascii="Times New Roman" w:hAnsi="Times New Roman" w:eastAsia="黑体" w:cs="Times New Roman"/>
          <w:szCs w:val="32"/>
          <w:highlight w:val="none"/>
        </w:rPr>
        <w:t>项目基本情况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（一）项目</w:t>
      </w:r>
      <w:r>
        <w:rPr>
          <w:rFonts w:hint="eastAsia" w:ascii="Times New Roman" w:hAnsi="Times New Roman" w:eastAsia="黑体" w:cs="Times New Roman"/>
          <w:szCs w:val="32"/>
          <w:highlight w:val="none"/>
          <w:lang w:eastAsia="zh-CN"/>
        </w:rPr>
        <w:t>概况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w:t>
      </w:r>
      <w:r>
        <w:rPr>
          <w:rFonts w:hint="eastAsia" w:ascii="Times New Roman" w:hAnsi="Times New Roman" w:eastAsia="黑体" w:cs="Times New Roman"/>
          <w:szCs w:val="32"/>
          <w:highlight w:val="none"/>
          <w:lang w:eastAsia="zh-CN"/>
        </w:rPr>
        <w:t>绩效目标</w:t>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三</w:t>
      </w:r>
      <w:r>
        <w:rPr>
          <w:rFonts w:hint="default" w:ascii="Times New Roman" w:hAnsi="Times New Roman" w:eastAsia="黑体" w:cs="Times New Roman"/>
          <w:szCs w:val="32"/>
          <w:highlight w:val="none"/>
        </w:rPr>
        <w:t>、绩效评价工作情况</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w:t>
      </w:r>
      <w:r>
        <w:rPr>
          <w:rFonts w:hint="eastAsia" w:ascii="Times New Roman" w:hAnsi="Times New Roman" w:eastAsia="黑体" w:cs="Times New Roman"/>
          <w:szCs w:val="32"/>
          <w:highlight w:val="none"/>
          <w:lang w:eastAsia="zh-CN"/>
        </w:rPr>
        <w:t>绩效</w:t>
      </w:r>
      <w:r>
        <w:rPr>
          <w:rFonts w:hint="default" w:ascii="Times New Roman" w:hAnsi="Times New Roman" w:eastAsia="黑体" w:cs="Times New Roman"/>
          <w:szCs w:val="32"/>
          <w:highlight w:val="none"/>
        </w:rPr>
        <w:t>评价目的</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(二)绩效评价工作方案制定过程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(三)绩效评价原则、评价方法</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(四)绩效评价实施过程</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四</w:t>
      </w:r>
      <w:r>
        <w:rPr>
          <w:rFonts w:hint="default" w:ascii="Times New Roman" w:hAnsi="Times New Roman" w:eastAsia="黑体" w:cs="Times New Roman"/>
          <w:szCs w:val="32"/>
          <w:highlight w:val="none"/>
        </w:rPr>
        <w:t>、评价结论</w:t>
      </w:r>
      <w:r>
        <w:rPr>
          <w:rFonts w:hint="eastAsia" w:ascii="Times New Roman" w:hAnsi="Times New Roman" w:eastAsia="黑体" w:cs="Times New Roman"/>
          <w:szCs w:val="32"/>
          <w:highlight w:val="none"/>
          <w:lang w:eastAsia="zh-CN"/>
        </w:rPr>
        <w:t>和</w:t>
      </w:r>
      <w:r>
        <w:rPr>
          <w:rFonts w:hint="default" w:ascii="Times New Roman" w:hAnsi="Times New Roman" w:eastAsia="黑体" w:cs="Times New Roman"/>
          <w:szCs w:val="32"/>
          <w:highlight w:val="none"/>
        </w:rPr>
        <w:t xml:space="preserve">绩效分析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(一)评价结论</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w:t>
      </w:r>
      <w:r>
        <w:rPr>
          <w:rFonts w:hint="eastAsia" w:ascii="Times New Roman" w:hAnsi="Times New Roman" w:eastAsia="黑体" w:cs="Times New Roman"/>
          <w:szCs w:val="32"/>
          <w:highlight w:val="none"/>
          <w:lang w:eastAsia="zh-CN"/>
        </w:rPr>
        <w:t>具体</w:t>
      </w:r>
      <w:r>
        <w:rPr>
          <w:rFonts w:hint="default" w:ascii="Times New Roman" w:hAnsi="Times New Roman" w:eastAsia="黑体" w:cs="Times New Roman"/>
          <w:szCs w:val="32"/>
          <w:highlight w:val="none"/>
        </w:rPr>
        <w:t>绩效分析</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eastAsia" w:ascii="Times New Roman" w:hAnsi="Times New Roman" w:eastAsia="黑体" w:cs="Times New Roman"/>
          <w:szCs w:val="32"/>
          <w:highlight w:val="none"/>
          <w:lang w:eastAsia="zh-CN"/>
        </w:rPr>
        <w:t>五</w:t>
      </w:r>
      <w:r>
        <w:rPr>
          <w:rFonts w:hint="default" w:ascii="Times New Roman" w:hAnsi="Times New Roman" w:eastAsia="黑体" w:cs="Times New Roman"/>
          <w:szCs w:val="32"/>
          <w:highlight w:val="none"/>
        </w:rPr>
        <w:t xml:space="preserve">、主要经验及做法、存在的问题和建议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(一)主要经验及做法</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default" w:ascii="Times New Roman" w:hAnsi="Times New Roman" w:eastAsia="黑体" w:cs="Times New Roman"/>
          <w:szCs w:val="32"/>
          <w:highlight w:val="none"/>
        </w:rPr>
      </w:pPr>
      <w:r>
        <w:rPr>
          <w:rFonts w:hint="default" w:ascii="Times New Roman" w:hAnsi="Times New Roman" w:eastAsia="黑体" w:cs="Times New Roman"/>
          <w:szCs w:val="32"/>
          <w:highlight w:val="none"/>
        </w:rPr>
        <w:t>(二)存在的问题</w:t>
      </w:r>
      <w:r>
        <w:rPr>
          <w:rFonts w:hint="default" w:ascii="Times New Roman" w:hAnsi="Times New Roman" w:eastAsia="黑体" w:cs="Times New Roman"/>
          <w:szCs w:val="32"/>
          <w:highlight w:val="none"/>
        </w:rPr>
        <w:tab/>
      </w:r>
      <w:r>
        <w:rPr>
          <w:rFonts w:hint="default" w:ascii="Times New Roman" w:hAnsi="Times New Roman" w:eastAsia="黑体" w:cs="Times New Roman"/>
          <w:szCs w:val="32"/>
          <w:highlight w:val="none"/>
        </w:rPr>
        <w:t xml:space="preserve"> </w:t>
      </w:r>
    </w:p>
    <w:p>
      <w:pPr>
        <w:spacing w:line="440" w:lineRule="exact"/>
        <w:ind w:firstLine="420" w:firstLineChars="200"/>
        <w:jc w:val="both"/>
        <w:rPr>
          <w:rFonts w:hint="eastAsia" w:ascii="Times New Roman" w:hAnsi="Times New Roman" w:eastAsia="黑体" w:cs="Times New Roman"/>
          <w:szCs w:val="32"/>
          <w:highlight w:val="none"/>
          <w:lang w:eastAsia="zh-CN"/>
        </w:rPr>
      </w:pPr>
      <w:r>
        <w:rPr>
          <w:rFonts w:hint="default" w:ascii="Times New Roman" w:hAnsi="Times New Roman" w:eastAsia="黑体" w:cs="Times New Roman"/>
          <w:szCs w:val="32"/>
          <w:highlight w:val="none"/>
        </w:rPr>
        <w:t>(三)改进措施</w:t>
      </w:r>
      <w:r>
        <w:rPr>
          <w:rFonts w:hint="eastAsia" w:ascii="Times New Roman" w:hAnsi="Times New Roman" w:eastAsia="黑体" w:cs="Times New Roman"/>
          <w:szCs w:val="32"/>
          <w:highlight w:val="none"/>
          <w:lang w:eastAsia="zh-CN"/>
        </w:rPr>
        <w:t>及建议</w:t>
      </w:r>
    </w:p>
    <w:p>
      <w:pPr>
        <w:topLinePunct/>
        <w:spacing w:line="440" w:lineRule="exact"/>
        <w:ind w:firstLine="420" w:firstLineChars="200"/>
        <w:jc w:val="both"/>
        <w:rPr>
          <w:rFonts w:hint="eastAsia" w:ascii="Times New Roman" w:hAnsi="Times New Roman" w:eastAsia="黑体" w:cs="Times New Roman"/>
          <w:szCs w:val="32"/>
          <w:highlight w:val="none"/>
          <w:lang w:eastAsia="zh-CN"/>
        </w:rPr>
      </w:pPr>
      <w:r>
        <w:rPr>
          <w:rFonts w:hint="eastAsia" w:ascii="Times New Roman" w:hAnsi="Times New Roman" w:eastAsia="黑体" w:cs="Times New Roman"/>
          <w:szCs w:val="32"/>
          <w:highlight w:val="none"/>
          <w:lang w:eastAsia="zh-CN"/>
        </w:rPr>
        <w:t>佐证材料</w:t>
      </w: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topLinePunct/>
        <w:spacing w:line="440" w:lineRule="exact"/>
        <w:ind w:firstLine="420" w:firstLineChars="200"/>
        <w:rPr>
          <w:rFonts w:ascii="Times New Roman" w:hAnsi="Times New Roman" w:eastAsia="黑体"/>
          <w:szCs w:val="32"/>
        </w:rPr>
      </w:pPr>
    </w:p>
    <w:p>
      <w:pPr>
        <w:spacing w:line="540" w:lineRule="exact"/>
        <w:rPr>
          <w:rFonts w:ascii="Times New Roman" w:hAnsi="Times New Roman" w:eastAsia="方正小标宋_GBK"/>
          <w:szCs w:val="32"/>
        </w:rPr>
      </w:pPr>
    </w:p>
    <w:p>
      <w:pPr>
        <w:spacing w:line="540" w:lineRule="exact"/>
        <w:rPr>
          <w:rFonts w:ascii="Times New Roman" w:hAnsi="Times New Roman" w:eastAsia="方正小标宋_GBK"/>
          <w:szCs w:val="32"/>
        </w:rPr>
      </w:pP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国资业务费</w:t>
      </w:r>
      <w:r>
        <w:rPr>
          <w:rFonts w:hint="eastAsia" w:ascii="Times New Roman" w:hAnsi="Times New Roman" w:eastAsia="方正小标宋简体"/>
          <w:sz w:val="44"/>
          <w:szCs w:val="44"/>
          <w:lang w:eastAsia="zh-CN"/>
        </w:rPr>
        <w:t>（资产科）</w:t>
      </w:r>
      <w:r>
        <w:rPr>
          <w:rFonts w:ascii="Times New Roman" w:hAnsi="Times New Roman" w:eastAsia="方正小标宋简体"/>
          <w:sz w:val="44"/>
          <w:szCs w:val="44"/>
        </w:rPr>
        <w:t>项目支出</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绩效自评报告</w:t>
      </w:r>
    </w:p>
    <w:p>
      <w:pPr>
        <w:spacing w:line="600" w:lineRule="exact"/>
        <w:ind w:firstLine="420" w:firstLineChars="200"/>
        <w:rPr>
          <w:rFonts w:ascii="Times New Roman" w:hAnsi="Times New Roman" w:eastAsia="黑体"/>
          <w:szCs w:val="32"/>
        </w:rPr>
      </w:pPr>
    </w:p>
    <w:p>
      <w:pPr>
        <w:keepNext w:val="0"/>
        <w:keepLines w:val="0"/>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摘要</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项目概况</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1.为满足盘龙区“行政事业单位资产管理信息系统”正常运行及优化改进的要求，购买云南便易捷科技有限公司服务，对盘龙区“行政事业单位资产管理信息系统”的基础环境、硬件、软件及安全等提供的各种技术支持和管理服务，所需经费10万元整，按协议约定进度支付。</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项目实施情况：2020年2月，全市2019年度行政事业单位资产年报开始填报工作，所购服务的云南便易捷科技有限公司因疫情原因，无法派驻工作人员上门，用远程指导的方式为盘龙区163家行政事业单位资产年报填报工作进行问题解答及解决，至2020年3月，盘龙区各行政事业单位资产年报工作按时按质完成上报；为落实国务院向全国人大常委会报告国有资产管理情况制度的要求，财政部决定从2019年1月起在全国范围内开展行政事业性国有资产月报工作，同时按照新政府会计制度要求，自2019年1月起，对固定资产和无形资产进行补提折旧和摊销，所购服务解决资产月报中资产折旧操作疑难，盘龙区每月均按时上报资产月报工作。</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评价结论</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根据项目支出绩效评价指标体系框架评价得分为</w:t>
      </w:r>
      <w:r>
        <w:rPr>
          <w:rFonts w:hint="eastAsia" w:ascii="Times New Roman" w:hAnsi="Times New Roman" w:eastAsia="仿宋_GB2312"/>
          <w:sz w:val="32"/>
          <w:szCs w:val="32"/>
        </w:rPr>
        <w:t>98.5</w:t>
      </w:r>
      <w:r>
        <w:rPr>
          <w:rFonts w:ascii="Times New Roman" w:hAnsi="Times New Roman" w:eastAsia="仿宋_GB2312"/>
          <w:sz w:val="32"/>
          <w:szCs w:val="32"/>
        </w:rPr>
        <w:t>分</w:t>
      </w:r>
      <w:r>
        <w:rPr>
          <w:rFonts w:hint="eastAsia" w:ascii="Times New Roman" w:hAnsi="Times New Roman" w:eastAsia="仿宋_GB2312"/>
          <w:sz w:val="32"/>
          <w:szCs w:val="32"/>
        </w:rPr>
        <w:t>，</w:t>
      </w:r>
      <w:r>
        <w:rPr>
          <w:rFonts w:ascii="Times New Roman" w:hAnsi="Times New Roman" w:eastAsia="仿宋_GB2312"/>
          <w:sz w:val="32"/>
          <w:szCs w:val="32"/>
        </w:rPr>
        <w:t>预算执行进度为</w:t>
      </w:r>
      <w:r>
        <w:rPr>
          <w:rFonts w:hint="eastAsia" w:ascii="Times New Roman" w:hAnsi="Times New Roman" w:eastAsia="仿宋_GB2312"/>
          <w:sz w:val="32"/>
          <w:szCs w:val="32"/>
        </w:rPr>
        <w:t>5</w:t>
      </w:r>
      <w:r>
        <w:rPr>
          <w:rFonts w:ascii="Times New Roman" w:hAnsi="Times New Roman" w:eastAsia="仿宋_GB2312"/>
          <w:sz w:val="32"/>
          <w:szCs w:val="32"/>
        </w:rPr>
        <w:t>0%</w:t>
      </w:r>
      <w:r>
        <w:rPr>
          <w:rFonts w:hint="eastAsia" w:ascii="Times New Roman" w:hAnsi="Times New Roman" w:eastAsia="仿宋_GB2312"/>
          <w:sz w:val="32"/>
          <w:szCs w:val="32"/>
        </w:rPr>
        <w:t>。2019年行政事业单位资产管理信息系统运维所需费用100000万元，按协议约定，合同签订后支付50%款项，待本合同约定全面完成相关工作事项服务期限届满，且乙方全面完成工作事项并向甲方出具符合甲方财务要求的发票后，甲方于15个工作日内再支付剩余50%后因云南便易捷科技有限公司未提供发票，故截至目前总共支出5万元整。</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经验、问题和建议</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ascii="Times New Roman" w:hAnsi="Times New Roman" w:eastAsia="仿宋_GB2312"/>
          <w:sz w:val="32"/>
          <w:szCs w:val="32"/>
        </w:rPr>
        <w:t>主要经验及做法：</w:t>
      </w:r>
      <w:r>
        <w:rPr>
          <w:rFonts w:hint="eastAsia" w:ascii="Times New Roman" w:hAnsi="Times New Roman" w:eastAsia="仿宋_GB2312"/>
          <w:sz w:val="32"/>
          <w:szCs w:val="32"/>
        </w:rPr>
        <w:t>通过购买服务，盘龙区按时按质上报各项资产系统报表，对盘龙区后续熟练掌握行政事业单位资产管理信息系统及新政府会计制度下固定（无形）资产按月计提折旧（摊销）在资产系统内的操作流程提供技术支持服务。</w:t>
      </w:r>
      <w:r>
        <w:rPr>
          <w:rFonts w:hint="eastAsia" w:ascii="Times New Roman" w:hAnsi="Times New Roman" w:eastAsia="仿宋_GB2312"/>
          <w:sz w:val="32"/>
          <w:szCs w:val="32"/>
          <w:lang w:val="en-US" w:eastAsia="zh-CN"/>
        </w:rPr>
        <w:t>2.</w:t>
      </w:r>
      <w:r>
        <w:rPr>
          <w:rFonts w:ascii="Times New Roman" w:hAnsi="Times New Roman" w:eastAsia="仿宋_GB2312"/>
          <w:sz w:val="32"/>
          <w:szCs w:val="32"/>
        </w:rPr>
        <w:t>存在的问题：需强化对提供的购买服务的项目监管追踪及提供的项目进行评价，实施管理及追踪。</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黑体"/>
          <w:szCs w:val="32"/>
        </w:rPr>
      </w:pP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改进措施及建议：强化对资金使用的使用效率，节约财力，加强对购买服务质量的把控，强化对项目实施过程及后期的追踪，及时发现和了解服务中存在的问题并及时解决，全面推进更好的完成工作任务</w:t>
      </w:r>
      <w:r>
        <w:rPr>
          <w:rFonts w:hint="eastAsia" w:ascii="Times New Roman" w:hAnsi="Times New Roman" w:eastAsia="仿宋_GB2312"/>
          <w:sz w:val="32"/>
          <w:szCs w:val="32"/>
        </w:rPr>
        <w:t>。</w:t>
      </w:r>
      <w:r>
        <w:rPr>
          <w:rFonts w:ascii="Times New Roman" w:hAnsi="Times New Roman" w:eastAsia="仿宋_GB2312"/>
          <w:sz w:val="32"/>
          <w:szCs w:val="32"/>
        </w:rPr>
        <w:t xml:space="preserve"> </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二、</w:t>
      </w:r>
      <w:r>
        <w:rPr>
          <w:rFonts w:ascii="Times New Roman" w:hAnsi="Times New Roman" w:eastAsia="黑体"/>
          <w:sz w:val="32"/>
          <w:szCs w:val="32"/>
        </w:rPr>
        <w:t>项目基本情况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1.立项背景及目的</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根据《昆明市财政局关于编报2019年度行政事业单位国有资产报告及公共基础设施等行政事业性国有资产报告的通知》（昆财资【2020】11号）为满足盘龙区“行政事业单位资产管理信息系统”正常运行及优化改进的要求，购买云南便易捷科技有限公司服务，对盘龙区“行政事业单位资产管理信息系统”的基础环境、硬件、软件及安全等提供的各种技术支持和管理服务，所需经费10万元整，按协议约定进度支付。</w:t>
      </w:r>
      <w:r>
        <w:rPr>
          <w:rFonts w:ascii="Times New Roman" w:hAnsi="Times New Roman" w:eastAsia="仿宋_GB2312"/>
          <w:sz w:val="32"/>
          <w:szCs w:val="32"/>
        </w:rPr>
        <w:t>项目具体情况如下：</w:t>
      </w:r>
    </w:p>
    <w:p>
      <w:pPr>
        <w:pStyle w:val="12"/>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根据《昆明市财政局关于编报2019年度行政事业单位国有资产报告及公共基础设施等行政事业性国有资产报告的通知》（昆财资【2020】11号）</w:t>
      </w:r>
      <w:r>
        <w:rPr>
          <w:rFonts w:ascii="Times New Roman" w:hAnsi="Times New Roman" w:eastAsia="仿宋_GB2312"/>
          <w:sz w:val="32"/>
          <w:szCs w:val="32"/>
        </w:rPr>
        <w:t>精神，</w:t>
      </w:r>
      <w:r>
        <w:rPr>
          <w:rFonts w:hint="eastAsia" w:ascii="Times New Roman" w:hAnsi="Times New Roman" w:eastAsia="仿宋_GB2312"/>
          <w:sz w:val="32"/>
          <w:szCs w:val="32"/>
        </w:rPr>
        <w:t>区财政于2020年2月发出通知《盘龙区财政局关于做好2019年度公共基础设施等行政事业性单位国有资产报告工作的通知》（盘财资[2020]3号），要求全区各预算单位按通知时限报送2019年度行政事业单位</w:t>
      </w:r>
      <w:r>
        <w:rPr>
          <w:rFonts w:ascii="Times New Roman" w:hAnsi="Times New Roman" w:eastAsia="仿宋_GB2312"/>
          <w:sz w:val="32"/>
          <w:szCs w:val="32"/>
        </w:rPr>
        <w:t>区</w:t>
      </w:r>
      <w:r>
        <w:rPr>
          <w:rFonts w:hint="eastAsia" w:ascii="Times New Roman" w:hAnsi="Times New Roman" w:eastAsia="仿宋_GB2312"/>
          <w:sz w:val="32"/>
          <w:szCs w:val="32"/>
        </w:rPr>
        <w:t>国有资产报告及公共基础设施等行政事业性国有资产报告，并按月通知各预算单位按时报送2020年度行政事业单位资产月报工作。</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2.项目实施情况</w:t>
      </w:r>
    </w:p>
    <w:p>
      <w:pPr>
        <w:keepNext w:val="0"/>
        <w:keepLines w:val="0"/>
        <w:pageBreakBefore w:val="0"/>
        <w:widowControl w:val="0"/>
        <w:kinsoku/>
        <w:wordWrap/>
        <w:overflowPunct/>
        <w:autoSpaceDE/>
        <w:autoSpaceDN/>
        <w:bidi w:val="0"/>
        <w:adjustRightInd/>
        <w:snapToGrid/>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根据双方签订《</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开展以下工作：</w:t>
      </w:r>
      <w:r>
        <w:rPr>
          <w:rFonts w:hint="eastAsia" w:ascii="Times New Roman" w:hAnsi="Times New Roman" w:eastAsia="仿宋_GB2312"/>
          <w:sz w:val="32"/>
          <w:szCs w:val="32"/>
        </w:rPr>
        <w:t>一是协助提高盘龙区行政事业单位业务人员软件掌握水平，掌握行政事业单位资产管理系统软件填报流程、常用操作、查询分析，及常见问题解决方法，解决软件操作不熟悉的问题；二是提供日常技术支持及业务咨询服务，包括电话，邮件、远程协助技术支持，以及对软件常见问题的支持解答；三是协助盘龙区财政局完成对</w:t>
      </w:r>
      <w:r>
        <w:rPr>
          <w:rFonts w:ascii="Times New Roman" w:hAnsi="Times New Roman" w:eastAsia="仿宋_GB2312"/>
          <w:sz w:val="32"/>
          <w:szCs w:val="32"/>
        </w:rPr>
        <w:t>2019</w:t>
      </w:r>
      <w:r>
        <w:rPr>
          <w:rFonts w:hint="eastAsia" w:ascii="Times New Roman" w:hAnsi="Times New Roman" w:eastAsia="仿宋_GB2312"/>
          <w:sz w:val="32"/>
          <w:szCs w:val="32"/>
        </w:rPr>
        <w:t>年资产报表数据的汇总、集中审核、上报工作，协助完成对资产情况的分析及资产月报的审核汇总工作。</w:t>
      </w:r>
    </w:p>
    <w:p>
      <w:pPr>
        <w:keepNext w:val="0"/>
        <w:keepLines w:val="0"/>
        <w:pageBreakBefore w:val="0"/>
        <w:widowControl w:val="0"/>
        <w:numPr>
          <w:ilvl w:val="0"/>
          <w:numId w:val="3"/>
        </w:numPr>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资金来源及使用情况</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20</w:t>
      </w:r>
      <w:r>
        <w:rPr>
          <w:rFonts w:hint="eastAsia" w:ascii="Times New Roman" w:hAnsi="Times New Roman" w:eastAsia="仿宋_GB2312"/>
          <w:sz w:val="32"/>
          <w:szCs w:val="32"/>
        </w:rPr>
        <w:t>20</w:t>
      </w:r>
      <w:r>
        <w:rPr>
          <w:rFonts w:ascii="Times New Roman" w:hAnsi="Times New Roman" w:eastAsia="仿宋_GB2312"/>
          <w:sz w:val="32"/>
          <w:szCs w:val="32"/>
        </w:rPr>
        <w:t>年支付5万元至</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用于购买</w:t>
      </w:r>
      <w:r>
        <w:rPr>
          <w:rFonts w:hint="eastAsia" w:ascii="Times New Roman" w:hAnsi="Times New Roman" w:eastAsia="仿宋_GB2312"/>
          <w:sz w:val="32"/>
          <w:szCs w:val="32"/>
        </w:rPr>
        <w:t>2019年行政事业单位资产管理信息系统运维</w:t>
      </w:r>
      <w:r>
        <w:rPr>
          <w:rFonts w:ascii="Times New Roman" w:hAnsi="Times New Roman" w:eastAsia="仿宋_GB2312"/>
          <w:sz w:val="32"/>
          <w:szCs w:val="32"/>
        </w:rPr>
        <w:t>。</w:t>
      </w:r>
    </w:p>
    <w:p>
      <w:pPr>
        <w:keepNext w:val="0"/>
        <w:keepLines w:val="0"/>
        <w:pageBreakBefore w:val="0"/>
        <w:widowControl w:val="0"/>
        <w:numPr>
          <w:ilvl w:val="0"/>
          <w:numId w:val="3"/>
        </w:numPr>
        <w:kinsoku/>
        <w:wordWrap/>
        <w:overflowPunct/>
        <w:topLinePunct/>
        <w:autoSpaceDE/>
        <w:autoSpaceDN/>
        <w:bidi w:val="0"/>
        <w:adjustRightInd/>
        <w:snapToGrid/>
        <w:spacing w:line="600" w:lineRule="exact"/>
        <w:ind w:left="0" w:leftChars="0"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组织及管理情况</w:t>
      </w:r>
    </w:p>
    <w:p>
      <w:pPr>
        <w:keepNext w:val="0"/>
        <w:keepLines w:val="0"/>
        <w:pageBreakBefore w:val="0"/>
        <w:widowControl w:val="0"/>
        <w:numPr>
          <w:ilvl w:val="0"/>
          <w:numId w:val="0"/>
        </w:numPr>
        <w:kinsoku/>
        <w:wordWrap/>
        <w:overflowPunct/>
        <w:topLinePunct/>
        <w:autoSpaceDE/>
        <w:autoSpaceDN/>
        <w:bidi w:val="0"/>
        <w:adjustRightInd/>
        <w:snapToGrid/>
        <w:spacing w:line="600" w:lineRule="exact"/>
        <w:ind w:leftChars="0"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包括项目组织情况、项目实施流程、资金拨付流程、工作完成情况、考核评价。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按照双方签订的《</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》完成工作任务，</w:t>
      </w:r>
      <w:r>
        <w:rPr>
          <w:rFonts w:hint="eastAsia" w:ascii="Times New Roman" w:hAnsi="Times New Roman" w:eastAsia="仿宋_GB2312"/>
          <w:sz w:val="32"/>
          <w:szCs w:val="32"/>
        </w:rPr>
        <w:t>区财政局按照内部管理流程中</w:t>
      </w:r>
      <w:r>
        <w:rPr>
          <w:rFonts w:ascii="Times New Roman" w:hAnsi="Times New Roman" w:eastAsia="仿宋_GB2312"/>
          <w:sz w:val="32"/>
          <w:szCs w:val="32"/>
        </w:rPr>
        <w:t>资金的拨付审批程序</w:t>
      </w:r>
      <w:r>
        <w:rPr>
          <w:rFonts w:hint="eastAsia" w:ascii="Times New Roman" w:hAnsi="Times New Roman" w:eastAsia="仿宋_GB2312"/>
          <w:sz w:val="32"/>
          <w:szCs w:val="32"/>
        </w:rPr>
        <w:t>上报局党组会审批后，</w:t>
      </w:r>
      <w:r>
        <w:rPr>
          <w:rFonts w:ascii="Times New Roman" w:hAnsi="Times New Roman" w:eastAsia="仿宋_GB2312"/>
          <w:sz w:val="32"/>
          <w:szCs w:val="32"/>
        </w:rPr>
        <w:t>按合同金额进行资金的拨付并进行考核评价。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（二）绩效目标</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年度目标：20</w:t>
      </w:r>
      <w:r>
        <w:rPr>
          <w:rFonts w:hint="eastAsia" w:ascii="Times New Roman" w:hAnsi="Times New Roman" w:eastAsia="仿宋_GB2312"/>
          <w:sz w:val="32"/>
          <w:szCs w:val="32"/>
        </w:rPr>
        <w:t>20</w:t>
      </w:r>
      <w:r>
        <w:rPr>
          <w:rFonts w:ascii="Times New Roman" w:hAnsi="Times New Roman" w:eastAsia="仿宋_GB2312"/>
          <w:sz w:val="32"/>
          <w:szCs w:val="32"/>
        </w:rPr>
        <w:t>年国资业务费</w:t>
      </w:r>
      <w:r>
        <w:rPr>
          <w:rFonts w:hint="eastAsia" w:ascii="Times New Roman" w:hAnsi="Times New Roman" w:eastAsia="仿宋_GB2312"/>
          <w:sz w:val="32"/>
          <w:szCs w:val="32"/>
        </w:rPr>
        <w:t>5</w:t>
      </w:r>
      <w:r>
        <w:rPr>
          <w:rFonts w:ascii="Times New Roman" w:hAnsi="Times New Roman" w:eastAsia="仿宋_GB2312"/>
          <w:sz w:val="32"/>
          <w:szCs w:val="32"/>
        </w:rPr>
        <w:t>万元购买</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服务。</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1.数量指标：根据与</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签订的《</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完成购买服务项目。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2.时效指标：20</w:t>
      </w:r>
      <w:r>
        <w:rPr>
          <w:rFonts w:hint="eastAsia" w:ascii="Times New Roman" w:hAnsi="Times New Roman" w:eastAsia="仿宋_GB2312"/>
          <w:sz w:val="32"/>
          <w:szCs w:val="32"/>
        </w:rPr>
        <w:t>20</w:t>
      </w:r>
      <w:r>
        <w:rPr>
          <w:rFonts w:ascii="Times New Roman" w:hAnsi="Times New Roman" w:eastAsia="仿宋_GB2312"/>
          <w:sz w:val="32"/>
          <w:szCs w:val="32"/>
        </w:rPr>
        <w:t>年拨付5万元至</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，从而为</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较好的完成工作任务提供保障。</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3.质量指标：考核</w:t>
      </w:r>
      <w:r>
        <w:rPr>
          <w:rFonts w:hint="eastAsia" w:ascii="Times New Roman" w:hAnsi="Times New Roman" w:eastAsia="仿宋_GB2312"/>
          <w:sz w:val="32"/>
          <w:szCs w:val="32"/>
        </w:rPr>
        <w:t>云南便易捷科技有限公司服务质量情况：</w:t>
      </w:r>
      <w:r>
        <w:rPr>
          <w:rFonts w:ascii="Times New Roman" w:hAnsi="Times New Roman" w:eastAsia="仿宋_GB2312"/>
          <w:b/>
          <w:bCs/>
          <w:sz w:val="32"/>
          <w:szCs w:val="32"/>
        </w:rPr>
        <w:t>一是</w:t>
      </w:r>
      <w:r>
        <w:rPr>
          <w:rFonts w:hint="eastAsia" w:ascii="Times New Roman" w:hAnsi="Times New Roman" w:eastAsia="仿宋_GB2312"/>
          <w:sz w:val="32"/>
          <w:szCs w:val="32"/>
        </w:rPr>
        <w:t>因疫情原因，云南便易捷科技有限公司无法派驻工作人员上门，用远程指导的方式协助提高盘龙区行政事业单位业务人员软件掌握水平，掌握行政事业单位资产管理系统软件填报流程、常用操作、查询分析，及常见问题解决方法，解决软件操作不熟悉的问题；二是提供日常技术支持及业务咨询服务，对软件常见问题的支持解答；三是协助盘龙区财政局完成对盘龙区163家行政事业单位</w:t>
      </w:r>
      <w:r>
        <w:rPr>
          <w:rFonts w:ascii="Times New Roman" w:hAnsi="Times New Roman" w:eastAsia="仿宋_GB2312"/>
          <w:sz w:val="32"/>
          <w:szCs w:val="32"/>
        </w:rPr>
        <w:t>2019</w:t>
      </w:r>
      <w:r>
        <w:rPr>
          <w:rFonts w:hint="eastAsia" w:ascii="Times New Roman" w:hAnsi="Times New Roman" w:eastAsia="仿宋_GB2312"/>
          <w:sz w:val="32"/>
          <w:szCs w:val="32"/>
        </w:rPr>
        <w:t>年资产报表数据的汇总、集中审核、上报工作，提高平盘龙区各项资产系统报表上报的效率及质量。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4.成本指标：购</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服务费5万元。</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5.经济效益指标：</w:t>
      </w:r>
      <w:r>
        <w:rPr>
          <w:rFonts w:hint="eastAsia" w:ascii="Times New Roman" w:hAnsi="Times New Roman" w:eastAsia="仿宋_GB2312"/>
          <w:sz w:val="32"/>
          <w:szCs w:val="32"/>
        </w:rPr>
        <w:t>提高了盘龙区2019年度行政事业单位资产年报工作、公共基础设施等行政事业性国有资产报告及资产月报的报送效率，保证整个地区资产报表的上报进度。；对盘龙区后续熟练掌握行政事业单位资产管理信息系统及新政府会计制度下固定（无形）资产按月计提折旧（摊销）在资产系统内的操作流程提供技术支持服务。</w:t>
      </w:r>
      <w:r>
        <w:rPr>
          <w:rFonts w:ascii="Times New Roman" w:hAnsi="Times New Roman" w:eastAsia="仿宋_GB2312"/>
          <w:sz w:val="32"/>
          <w:szCs w:val="32"/>
        </w:rPr>
        <w:t>6.社会效益指标：通过购买服务，</w:t>
      </w:r>
      <w:r>
        <w:rPr>
          <w:rFonts w:hint="eastAsia" w:ascii="Times New Roman" w:hAnsi="Times New Roman" w:eastAsia="仿宋_GB2312"/>
          <w:sz w:val="32"/>
          <w:szCs w:val="32"/>
        </w:rPr>
        <w:t>一是协助提高盘龙区行政事业单位业务人员软件掌握水平，掌握行政事业单位资产管理系统软件填报流程、常用操作、查询分析，及常见问题解决方法，解决软件操作不熟悉的问题；二是提供日常技术支持及业务咨询服务，对软件常见问题的支持解答；三是协助盘龙区财政局完成对盘龙区163家行政事业单位</w:t>
      </w:r>
      <w:r>
        <w:rPr>
          <w:rFonts w:ascii="Times New Roman" w:hAnsi="Times New Roman" w:eastAsia="仿宋_GB2312"/>
          <w:sz w:val="32"/>
          <w:szCs w:val="32"/>
        </w:rPr>
        <w:t>2019</w:t>
      </w:r>
      <w:r>
        <w:rPr>
          <w:rFonts w:hint="eastAsia" w:ascii="Times New Roman" w:hAnsi="Times New Roman" w:eastAsia="仿宋_GB2312"/>
          <w:sz w:val="32"/>
          <w:szCs w:val="32"/>
        </w:rPr>
        <w:t>年资产报表数据的汇总、集中审核、上报工作，提高平盘龙区各项资产系统报表上报的效率及质量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7.可持续影响指标：</w:t>
      </w:r>
      <w:r>
        <w:rPr>
          <w:rFonts w:hint="eastAsia" w:ascii="Times New Roman" w:hAnsi="Times New Roman" w:eastAsia="仿宋_GB2312"/>
          <w:sz w:val="32"/>
          <w:szCs w:val="32"/>
        </w:rPr>
        <w:t>提高了盘龙区行政事业单位资产管理业务人员软件掌握水平，进一步掌握行政事业单位资产管理系统软件填报流程、常用操作、查询分析</w:t>
      </w:r>
      <w:r>
        <w:rPr>
          <w:rFonts w:ascii="Times New Roman" w:hAnsi="Times New Roman" w:eastAsia="仿宋_GB2312"/>
          <w:sz w:val="32"/>
          <w:szCs w:val="32"/>
        </w:rPr>
        <w:t>。</w:t>
      </w:r>
    </w:p>
    <w:p>
      <w:pPr>
        <w:keepNext w:val="0"/>
        <w:keepLines w:val="0"/>
        <w:pageBreakBefore w:val="0"/>
        <w:widowControl w:val="0"/>
        <w:kinsoku/>
        <w:wordWrap/>
        <w:overflowPunct/>
        <w:autoSpaceDE/>
        <w:autoSpaceDN/>
        <w:bidi w:val="0"/>
        <w:adjustRightInd/>
        <w:snapToGrid/>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8.满意度指标: 根据双方签订《</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w:t>
      </w:r>
      <w:r>
        <w:rPr>
          <w:rFonts w:hint="eastAsia" w:ascii="Times New Roman" w:hAnsi="Times New Roman" w:eastAsia="仿宋_GB2312"/>
          <w:sz w:val="32"/>
          <w:szCs w:val="32"/>
        </w:rPr>
        <w:t>云南便易捷科技有限公司完成了</w:t>
      </w:r>
      <w:r>
        <w:rPr>
          <w:rFonts w:ascii="Times New Roman" w:hAnsi="Times New Roman" w:eastAsia="仿宋_GB2312"/>
          <w:sz w:val="32"/>
          <w:szCs w:val="32"/>
        </w:rPr>
        <w:t>以下工作：</w:t>
      </w:r>
      <w:r>
        <w:rPr>
          <w:rFonts w:hint="eastAsia" w:ascii="Times New Roman" w:hAnsi="Times New Roman" w:eastAsia="仿宋_GB2312"/>
          <w:sz w:val="32"/>
          <w:szCs w:val="32"/>
        </w:rPr>
        <w:t>一是协助提高盘龙区行政事业单位业务人员软件掌握水平，掌握行政事业单位资产管理系统软件填报流程、常用操作、查询分析，及常见问题解决方法，解决软件操作不熟悉的问题；二是提供日常技术支持及业务咨询服务，包括电话，邮件、远程协助技术支持，以及对软件常见问题的支持解答；三是协助盘龙区财政局完成对</w:t>
      </w:r>
      <w:r>
        <w:rPr>
          <w:rFonts w:ascii="Times New Roman" w:hAnsi="Times New Roman" w:eastAsia="仿宋_GB2312"/>
          <w:sz w:val="32"/>
          <w:szCs w:val="32"/>
        </w:rPr>
        <w:t>2019</w:t>
      </w:r>
      <w:r>
        <w:rPr>
          <w:rFonts w:hint="eastAsia" w:ascii="Times New Roman" w:hAnsi="Times New Roman" w:eastAsia="仿宋_GB2312"/>
          <w:sz w:val="32"/>
          <w:szCs w:val="32"/>
        </w:rPr>
        <w:t>年资产报表数据的汇总、集中审核、上报工作，协助完成对资产情况的分析及资产月报的审核汇总工作。</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绩效评价工作情况</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Cs w:val="32"/>
        </w:rPr>
      </w:pPr>
      <w:r>
        <w:rPr>
          <w:rFonts w:ascii="Times New Roman" w:hAnsi="Times New Roman" w:eastAsia="仿宋_GB2312"/>
          <w:sz w:val="32"/>
          <w:szCs w:val="32"/>
        </w:rPr>
        <w:t>在</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按时按质完成的工作的前提下</w:t>
      </w:r>
      <w:r>
        <w:rPr>
          <w:rFonts w:hint="eastAsia" w:ascii="Times New Roman" w:hAnsi="Times New Roman" w:eastAsia="仿宋_GB2312"/>
          <w:sz w:val="32"/>
          <w:szCs w:val="32"/>
        </w:rPr>
        <w:t>，</w:t>
      </w:r>
      <w:r>
        <w:rPr>
          <w:rFonts w:ascii="Times New Roman" w:hAnsi="Times New Roman" w:eastAsia="仿宋_GB2312"/>
          <w:sz w:val="32"/>
          <w:szCs w:val="32"/>
        </w:rPr>
        <w:t>全面了解项目管理过程是否规范、产出目标是否完成以及效果目标是否实现等方面的内容，总结经验，查找不足，为以后年度的开展提供可行性参考建议。在此基础上，重点分析项目预算编制的合理性、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1.研究文件，对完成工作进行评价。</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根据《昆明市财政局关于编报2019年度行政事业单位国有资产报告及公共基础设施等行政事业性国有资产报告的通知》（昆财资【2020】11号）</w:t>
      </w:r>
      <w:r>
        <w:rPr>
          <w:rFonts w:ascii="Times New Roman" w:hAnsi="Times New Roman" w:eastAsia="仿宋_GB2312"/>
          <w:sz w:val="32"/>
          <w:szCs w:val="32"/>
        </w:rPr>
        <w:t>精神及与</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签订的《</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》中的项目</w:t>
      </w:r>
      <w:r>
        <w:rPr>
          <w:rFonts w:hint="eastAsia" w:ascii="Times New Roman" w:hAnsi="Times New Roman" w:eastAsia="仿宋_GB2312"/>
          <w:sz w:val="32"/>
          <w:szCs w:val="32"/>
        </w:rPr>
        <w:t>，</w:t>
      </w:r>
      <w:r>
        <w:rPr>
          <w:rFonts w:ascii="Times New Roman" w:hAnsi="Times New Roman" w:eastAsia="仿宋_GB2312"/>
          <w:sz w:val="32"/>
          <w:szCs w:val="32"/>
        </w:rPr>
        <w:t>对</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完成的工作情况逐一进行立项情况、资金使用情况、项目实施管理情况、项目绩效表现情况、项目绩效与完成工作评价。</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2.按照与</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签订的《</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》合同金额</w:t>
      </w:r>
      <w:r>
        <w:rPr>
          <w:rFonts w:hint="eastAsia" w:ascii="Times New Roman" w:hAnsi="Times New Roman" w:eastAsia="仿宋_GB2312"/>
          <w:sz w:val="32"/>
          <w:szCs w:val="32"/>
        </w:rPr>
        <w:t>的50%</w:t>
      </w:r>
      <w:r>
        <w:rPr>
          <w:rFonts w:ascii="Times New Roman" w:hAnsi="Times New Roman" w:eastAsia="仿宋_GB2312"/>
          <w:sz w:val="32"/>
          <w:szCs w:val="32"/>
        </w:rPr>
        <w:t>支付</w:t>
      </w:r>
      <w:r>
        <w:rPr>
          <w:rFonts w:hint="eastAsia" w:ascii="Times New Roman" w:hAnsi="Times New Roman" w:eastAsia="仿宋_GB2312"/>
          <w:sz w:val="32"/>
          <w:szCs w:val="32"/>
        </w:rPr>
        <w:t>了</w:t>
      </w:r>
      <w:r>
        <w:rPr>
          <w:rFonts w:ascii="Times New Roman" w:hAnsi="Times New Roman" w:eastAsia="仿宋_GB2312"/>
          <w:sz w:val="32"/>
          <w:szCs w:val="32"/>
        </w:rPr>
        <w:t>购买</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服务5万元</w:t>
      </w:r>
      <w:r>
        <w:rPr>
          <w:rFonts w:hint="eastAsia" w:ascii="Times New Roman" w:hAnsi="Times New Roman" w:eastAsia="仿宋_GB2312"/>
          <w:sz w:val="32"/>
          <w:szCs w:val="32"/>
        </w:rPr>
        <w:t>（后因云南便易捷科技有限公司未提供剩余款项发票，故截至目前总共支出5万元整。）</w:t>
      </w:r>
      <w:r>
        <w:rPr>
          <w:rFonts w:ascii="Times New Roman" w:hAnsi="Times New Roman" w:eastAsia="仿宋_GB2312"/>
          <w:sz w:val="32"/>
          <w:szCs w:val="32"/>
        </w:rPr>
        <w:t>。</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3.设计绩效评价指标体系，制定具体评价工作方案，对绩效评价进行自评，并结合工作开展的实际情况对</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的购买服务进</w:t>
      </w:r>
      <w:r>
        <w:rPr>
          <w:rFonts w:hint="eastAsia" w:ascii="Times New Roman" w:hAnsi="Times New Roman" w:eastAsia="仿宋_GB2312"/>
          <w:sz w:val="32"/>
          <w:szCs w:val="32"/>
        </w:rPr>
        <w:t>行考核评分</w:t>
      </w:r>
      <w:r>
        <w:rPr>
          <w:rFonts w:ascii="Times New Roman" w:hAnsi="Times New Roman" w:eastAsia="仿宋_GB2312"/>
          <w:sz w:val="32"/>
          <w:szCs w:val="32"/>
        </w:rPr>
        <w:t>。</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1.绩效评价原则。采取了科学规范、公开公正、绩效相关等原则。</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2.绩效评价方法。包括指标评价、数据采集中所采用的方法。</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 xml:space="preserve">1.按照项目进度制定年度预算。 </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2.确定评价对象。</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3.加强监管，严格考核，促进项目工作按时按质完成。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根据与</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签订的《</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》，对</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完成的具体目标制定考核绩效考核指标进行分解，认真对照考核评价项目内容，开展收集、整理相关资料，做绩效评价的相关工作，把控</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提供购买服务质量，利于</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按时按质的完成工作任务。</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.撰写报告。</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黑体"/>
          <w:color w:val="000000"/>
          <w:sz w:val="32"/>
          <w:szCs w:val="32"/>
        </w:rPr>
      </w:pPr>
      <w:r>
        <w:rPr>
          <w:rFonts w:hint="eastAsia" w:ascii="Times New Roman" w:hAnsi="Times New Roman" w:eastAsia="黑体"/>
          <w:color w:val="000000"/>
          <w:sz w:val="32"/>
          <w:szCs w:val="32"/>
          <w:lang w:eastAsia="zh-CN"/>
        </w:rPr>
        <w:t>四、</w:t>
      </w:r>
      <w:r>
        <w:rPr>
          <w:rFonts w:ascii="Times New Roman" w:hAnsi="Times New Roman" w:eastAsia="黑体"/>
          <w:color w:val="000000"/>
          <w:sz w:val="32"/>
          <w:szCs w:val="32"/>
        </w:rPr>
        <w:t>评价结论和绩效分析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评价结果：根据项目支出绩效评价指标体系框架评价得分为</w:t>
      </w:r>
      <w:r>
        <w:rPr>
          <w:rFonts w:hint="eastAsia" w:ascii="Times New Roman" w:hAnsi="Times New Roman" w:eastAsia="仿宋_GB2312"/>
          <w:sz w:val="32"/>
          <w:szCs w:val="32"/>
        </w:rPr>
        <w:t>98.5</w:t>
      </w:r>
      <w:r>
        <w:rPr>
          <w:rFonts w:ascii="Times New Roman" w:hAnsi="Times New Roman" w:eastAsia="仿宋_GB2312"/>
          <w:sz w:val="32"/>
          <w:szCs w:val="32"/>
        </w:rPr>
        <w:t>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ascii="楷体_GB2312" w:hAnsi="楷体_GB2312" w:eastAsia="楷体_GB2312" w:cs="楷体_GB2312"/>
          <w:sz w:val="32"/>
          <w:szCs w:val="32"/>
        </w:rPr>
        <w:t>（二）具体绩效分析</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1.工作完成情况</w:t>
      </w:r>
    </w:p>
    <w:p>
      <w:pPr>
        <w:keepNext w:val="0"/>
        <w:keepLines w:val="0"/>
        <w:pageBreakBefore w:val="0"/>
        <w:widowControl w:val="0"/>
        <w:kinsoku/>
        <w:wordWrap/>
        <w:overflowPunct/>
        <w:autoSpaceDE/>
        <w:autoSpaceDN/>
        <w:bidi w:val="0"/>
        <w:adjustRightInd/>
        <w:snapToGrid/>
        <w:ind w:firstLine="640" w:firstLineChars="200"/>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根据《昆明市财政局关于编报2019年度行政事业单位国有资产报告及公共基础设施等行政事业性国有资产报告的通知》（昆财资【2020】11号）</w:t>
      </w:r>
      <w:r>
        <w:rPr>
          <w:rFonts w:ascii="Times New Roman" w:hAnsi="Times New Roman" w:eastAsia="仿宋_GB2312"/>
          <w:sz w:val="32"/>
          <w:szCs w:val="32"/>
        </w:rPr>
        <w:t>精神及与</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签订的《</w:t>
      </w:r>
      <w:r>
        <w:rPr>
          <w:rFonts w:hint="eastAsia" w:ascii="Times New Roman" w:hAnsi="Times New Roman" w:eastAsia="仿宋_GB2312"/>
          <w:sz w:val="32"/>
          <w:szCs w:val="32"/>
        </w:rPr>
        <w:t>昆明市盘龙区2020年行政事业单位资产管理系统技术服务合同</w:t>
      </w:r>
      <w:r>
        <w:rPr>
          <w:rFonts w:ascii="Times New Roman" w:hAnsi="Times New Roman" w:eastAsia="仿宋_GB2312"/>
          <w:sz w:val="32"/>
          <w:szCs w:val="32"/>
        </w:rPr>
        <w:t>》，</w:t>
      </w:r>
      <w:r>
        <w:rPr>
          <w:rFonts w:hint="eastAsia" w:ascii="Times New Roman" w:hAnsi="Times New Roman" w:eastAsia="仿宋_GB2312"/>
          <w:sz w:val="32"/>
          <w:szCs w:val="32"/>
        </w:rPr>
        <w:t>云南便易捷科技有限公司完成了</w:t>
      </w:r>
      <w:r>
        <w:rPr>
          <w:rFonts w:ascii="Times New Roman" w:hAnsi="Times New Roman" w:eastAsia="仿宋_GB2312"/>
          <w:sz w:val="32"/>
          <w:szCs w:val="32"/>
        </w:rPr>
        <w:t>以下工作：</w:t>
      </w:r>
    </w:p>
    <w:p>
      <w:pPr>
        <w:keepNext w:val="0"/>
        <w:keepLines w:val="0"/>
        <w:pageBreakBefore w:val="0"/>
        <w:widowControl w:val="0"/>
        <w:kinsoku/>
        <w:wordWrap/>
        <w:overflowPunct/>
        <w:autoSpaceDE/>
        <w:autoSpaceDN/>
        <w:bidi w:val="0"/>
        <w:adjustRightInd/>
        <w:snapToGrid/>
        <w:ind w:firstLine="640" w:firstLineChars="200"/>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1</w:t>
      </w:r>
      <w:r>
        <w:rPr>
          <w:rFonts w:hint="eastAsia" w:ascii="Times New Roman" w:hAnsi="Times New Roman" w:eastAsia="仿宋_GB2312"/>
          <w:sz w:val="32"/>
          <w:szCs w:val="32"/>
        </w:rPr>
        <w:t>）协助提高盘龙区行政事业单位业务人员软件掌握水平，掌握行政事业单位资产管理系统软件填报流程、常用操作、查询分析，及常见问题解决方法，解决软件操作不熟悉的问题。</w:t>
      </w:r>
    </w:p>
    <w:p>
      <w:pPr>
        <w:keepNext w:val="0"/>
        <w:keepLines w:val="0"/>
        <w:pageBreakBefore w:val="0"/>
        <w:widowControl w:val="0"/>
        <w:kinsoku/>
        <w:wordWrap/>
        <w:overflowPunct/>
        <w:autoSpaceDE/>
        <w:autoSpaceDN/>
        <w:bidi w:val="0"/>
        <w:adjustRightInd/>
        <w:snapToGrid/>
        <w:ind w:firstLine="640" w:firstLineChars="200"/>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2</w:t>
      </w:r>
      <w:r>
        <w:rPr>
          <w:rFonts w:hint="eastAsia" w:ascii="Times New Roman" w:hAnsi="Times New Roman" w:eastAsia="仿宋_GB2312"/>
          <w:sz w:val="32"/>
          <w:szCs w:val="32"/>
        </w:rPr>
        <w:t>）提供日常技术支持及业务咨询服务，包括电话，邮件、远程协助技术支持，以及对软件常见问题的支持解答。</w:t>
      </w:r>
    </w:p>
    <w:p>
      <w:pPr>
        <w:keepNext w:val="0"/>
        <w:keepLines w:val="0"/>
        <w:pageBreakBefore w:val="0"/>
        <w:widowControl w:val="0"/>
        <w:kinsoku/>
        <w:wordWrap/>
        <w:overflowPunct/>
        <w:autoSpaceDE/>
        <w:autoSpaceDN/>
        <w:bidi w:val="0"/>
        <w:adjustRightInd/>
        <w:snapToGrid/>
        <w:ind w:firstLine="640" w:firstLineChars="200"/>
        <w:jc w:val="left"/>
        <w:textAlignment w:val="auto"/>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3</w:t>
      </w:r>
      <w:r>
        <w:rPr>
          <w:rFonts w:hint="eastAsia" w:ascii="Times New Roman" w:hAnsi="Times New Roman" w:eastAsia="仿宋_GB2312"/>
          <w:sz w:val="32"/>
          <w:szCs w:val="32"/>
        </w:rPr>
        <w:t>）协助盘龙区财政局完成对</w:t>
      </w:r>
      <w:r>
        <w:rPr>
          <w:rFonts w:ascii="Times New Roman" w:hAnsi="Times New Roman" w:eastAsia="仿宋_GB2312"/>
          <w:sz w:val="32"/>
          <w:szCs w:val="32"/>
        </w:rPr>
        <w:t>2019</w:t>
      </w:r>
      <w:r>
        <w:rPr>
          <w:rFonts w:hint="eastAsia" w:ascii="Times New Roman" w:hAnsi="Times New Roman" w:eastAsia="仿宋_GB2312"/>
          <w:sz w:val="32"/>
          <w:szCs w:val="32"/>
        </w:rPr>
        <w:t>年资产报表数据的汇总、集中审核、上报工作，协助完成对资产情况的分析及资产月报的审核汇总工作。</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2.具体评分项目及分值</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与部门中长期规划目标匹配性分值1分，得分1分；与政府相关规划、决策匹配性分值2分，得分2分；与部门职责适应性分值1分，得分1分；立项程序规范性分值4分，得分4分。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绩效目标相关性分值2分，得分2分；绩效目标完整性分值2分，得分2分；目标与预算的匹配性分值2分，得分2分；指标细化分解情况分值3分，得分2.5分；指标与目标的匹配性分值3分，得分3分。以上项目需进一步细化指标，所以按评判标准分别扣除相应得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预算编制合理性分值1分，得分1分，预算调整规范性分值3分，得分3分。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资金使用情况分值2分，得分2分；财务管理制度健全性分值1分，得分1分；资金拨付程序完整性分值1分，得分1分；财务制度执行有效性分值2分，得分2分。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项目实施单位管理制度健全性分值1分，得分1分；管理方监管措施健全性分值1分，得分1分；项目实施单位管理制度执行情况分值1分，得分1分；监管措施执行情况分值1分，得分1分；项目执行情况分值3分，得分3分；台账记录规范性分值3分，得分</w:t>
      </w:r>
      <w:r>
        <w:rPr>
          <w:rFonts w:hint="eastAsia" w:ascii="Times New Roman" w:hAnsi="Times New Roman" w:eastAsia="仿宋_GB2312"/>
          <w:sz w:val="32"/>
          <w:szCs w:val="32"/>
        </w:rPr>
        <w:t>3</w:t>
      </w:r>
      <w:r>
        <w:rPr>
          <w:rFonts w:ascii="Times New Roman" w:hAnsi="Times New Roman" w:eastAsia="仿宋_GB2312"/>
          <w:sz w:val="32"/>
          <w:szCs w:val="32"/>
        </w:rPr>
        <w:t>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项目产出分值30分，得分29分；项目效益分值30分，得分30分，加强对购买服务质量的把控，所以按评判标准分别扣除相应得分。</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五、</w:t>
      </w:r>
      <w:r>
        <w:rPr>
          <w:rFonts w:ascii="Times New Roman" w:hAnsi="Times New Roman" w:eastAsia="黑体"/>
          <w:sz w:val="32"/>
          <w:szCs w:val="32"/>
        </w:rPr>
        <w:t>成本效益分析。</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按照合同约定按时支付资金，转化资金使用效果，保障</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的工作能够顺利推进，从而提高工作质量。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六、</w:t>
      </w:r>
      <w:r>
        <w:rPr>
          <w:rFonts w:ascii="Times New Roman" w:hAnsi="Times New Roman" w:eastAsia="黑体"/>
          <w:sz w:val="32"/>
          <w:szCs w:val="32"/>
        </w:rPr>
        <w:t>主要经验及做法、存在的问题和建议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autoSpaceDE/>
        <w:autoSpaceDN/>
        <w:bidi w:val="0"/>
        <w:adjustRightInd/>
        <w:snapToGrid/>
        <w:ind w:firstLine="640" w:firstLineChars="200"/>
        <w:jc w:val="left"/>
        <w:textAlignment w:val="auto"/>
        <w:rPr>
          <w:rFonts w:ascii="Times New Roman" w:hAnsi="Times New Roman" w:eastAsia="仿宋_GB2312"/>
          <w:sz w:val="32"/>
          <w:szCs w:val="32"/>
        </w:rPr>
      </w:pPr>
      <w:r>
        <w:rPr>
          <w:rFonts w:ascii="Times New Roman" w:hAnsi="Times New Roman" w:eastAsia="仿宋_GB2312"/>
          <w:sz w:val="32"/>
          <w:szCs w:val="32"/>
        </w:rPr>
        <w:t>要求</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做好</w:t>
      </w:r>
      <w:r>
        <w:rPr>
          <w:rFonts w:hint="eastAsia" w:ascii="Times New Roman" w:hAnsi="Times New Roman" w:eastAsia="仿宋_GB2312"/>
          <w:sz w:val="32"/>
          <w:szCs w:val="32"/>
        </w:rPr>
        <w:t>协助提高盘龙区行政事业单位业务人员软件掌握水平，掌握行政事业单位资产管理系统软件填报流程、常用操作、查询分析及常见问题解决方法，解决软件操作不熟悉等问题；提供日常技术支持及业务咨询服务，包括电话，邮件、远程协助技术支持，以及对软件常见问题的支持解答；协助盘龙区财政局完成对</w:t>
      </w:r>
      <w:r>
        <w:rPr>
          <w:rFonts w:ascii="Times New Roman" w:hAnsi="Times New Roman" w:eastAsia="仿宋_GB2312"/>
          <w:sz w:val="32"/>
          <w:szCs w:val="32"/>
        </w:rPr>
        <w:t>2019</w:t>
      </w:r>
      <w:r>
        <w:rPr>
          <w:rFonts w:hint="eastAsia" w:ascii="Times New Roman" w:hAnsi="Times New Roman" w:eastAsia="仿宋_GB2312"/>
          <w:sz w:val="32"/>
          <w:szCs w:val="32"/>
        </w:rPr>
        <w:t>年资产报表数据的汇总、集中审核、上报工作，协助完成对资产情况的分析及资产月报的审核汇总工作。</w:t>
      </w:r>
      <w:r>
        <w:rPr>
          <w:rFonts w:ascii="Times New Roman" w:hAnsi="Times New Roman" w:eastAsia="仿宋_GB2312"/>
          <w:sz w:val="32"/>
          <w:szCs w:val="32"/>
        </w:rPr>
        <w:t>对</w:t>
      </w:r>
      <w:r>
        <w:rPr>
          <w:rFonts w:hint="eastAsia" w:ascii="Times New Roman" w:hAnsi="Times New Roman" w:eastAsia="仿宋_GB2312"/>
          <w:sz w:val="32"/>
          <w:szCs w:val="32"/>
        </w:rPr>
        <w:t>云南便易捷科技有限公司制定服务</w:t>
      </w:r>
      <w:r>
        <w:rPr>
          <w:rFonts w:ascii="Times New Roman" w:hAnsi="Times New Roman" w:eastAsia="仿宋_GB2312"/>
          <w:sz w:val="32"/>
          <w:szCs w:val="32"/>
        </w:rPr>
        <w:t>目标考核，提高购买服务工作的质量。</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（二）</w:t>
      </w:r>
      <w:r>
        <w:rPr>
          <w:rFonts w:ascii="楷体_GB2312" w:hAnsi="楷体_GB2312" w:eastAsia="楷体_GB2312" w:cs="楷体_GB2312"/>
          <w:sz w:val="32"/>
          <w:szCs w:val="32"/>
        </w:rPr>
        <w:t>存在的问题</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需强化对</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提供的购买服务的项目进行监管追踪及提供的项目进行评价，实施管理及追踪。</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楷体_GB2312" w:hAnsi="楷体_GB2312" w:eastAsia="楷体_GB2312" w:cs="楷体_GB2312"/>
          <w:sz w:val="32"/>
          <w:szCs w:val="32"/>
        </w:rPr>
      </w:pPr>
      <w:r>
        <w:rPr>
          <w:rFonts w:hint="eastAsia" w:ascii="楷体_GB2312" w:hAnsi="楷体_GB2312" w:eastAsia="楷体_GB2312" w:cs="楷体_GB2312"/>
          <w:sz w:val="32"/>
          <w:szCs w:val="32"/>
        </w:rPr>
        <w:t>（三）</w:t>
      </w:r>
      <w:r>
        <w:rPr>
          <w:rFonts w:ascii="楷体_GB2312" w:hAnsi="楷体_GB2312" w:eastAsia="楷体_GB2312" w:cs="楷体_GB2312"/>
          <w:sz w:val="32"/>
          <w:szCs w:val="32"/>
        </w:rPr>
        <w:t>改进措施及建议</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加强对</w:t>
      </w:r>
      <w:r>
        <w:rPr>
          <w:rFonts w:hint="eastAsia" w:ascii="Times New Roman" w:hAnsi="Times New Roman" w:eastAsia="仿宋_GB2312"/>
          <w:sz w:val="32"/>
          <w:szCs w:val="32"/>
        </w:rPr>
        <w:t>云南便易捷科技有限公司</w:t>
      </w:r>
      <w:r>
        <w:rPr>
          <w:rFonts w:ascii="Times New Roman" w:hAnsi="Times New Roman" w:eastAsia="仿宋_GB2312"/>
          <w:sz w:val="32"/>
          <w:szCs w:val="32"/>
        </w:rPr>
        <w:t>所提供的购买服务的项目进行管理，以及加强对购买服务质量的把控，强化对项目实施过程及后期的追踪，及时发现和了解服务中存在的问题并及时解决，</w:t>
      </w:r>
      <w:r>
        <w:rPr>
          <w:rFonts w:hint="eastAsia" w:ascii="Times New Roman" w:hAnsi="Times New Roman" w:eastAsia="仿宋_GB2312"/>
          <w:sz w:val="32"/>
          <w:szCs w:val="32"/>
        </w:rPr>
        <w:t>便于云南便易捷科技有限公司</w:t>
      </w:r>
      <w:r>
        <w:rPr>
          <w:rFonts w:ascii="Times New Roman" w:hAnsi="Times New Roman" w:eastAsia="仿宋_GB2312"/>
          <w:sz w:val="32"/>
          <w:szCs w:val="32"/>
        </w:rPr>
        <w:t>更好的</w:t>
      </w:r>
      <w:r>
        <w:rPr>
          <w:rFonts w:hint="eastAsia" w:ascii="Times New Roman" w:hAnsi="Times New Roman" w:eastAsia="仿宋_GB2312"/>
          <w:sz w:val="32"/>
          <w:szCs w:val="32"/>
        </w:rPr>
        <w:t>提供技术支持服务</w:t>
      </w:r>
      <w:r>
        <w:rPr>
          <w:rFonts w:ascii="Times New Roman" w:hAnsi="Times New Roman" w:eastAsia="仿宋_GB2312"/>
          <w:sz w:val="32"/>
          <w:szCs w:val="32"/>
        </w:rPr>
        <w:t>工作。</w:t>
      </w:r>
    </w:p>
    <w:p>
      <w:pPr>
        <w:topLinePunct/>
        <w:spacing w:line="600" w:lineRule="exact"/>
        <w:ind w:firstLine="640" w:firstLineChars="200"/>
        <w:rPr>
          <w:rFonts w:ascii="Times New Roman" w:hAnsi="Times New Roman" w:eastAsia="仿宋_GB2312"/>
          <w:sz w:val="32"/>
          <w:szCs w:val="32"/>
        </w:rPr>
      </w:pPr>
    </w:p>
    <w:p>
      <w:pPr>
        <w:spacing w:line="600" w:lineRule="exact"/>
        <w:jc w:val="center"/>
        <w:rPr>
          <w:rFonts w:ascii="Times New Roman" w:hAnsi="Times New Roman" w:eastAsia="仿宋_GB2312"/>
          <w:sz w:val="32"/>
          <w:szCs w:val="32"/>
        </w:rPr>
      </w:pPr>
      <w:r>
        <w:rPr>
          <w:rFonts w:ascii="Times New Roman" w:hAnsi="Times New Roman" w:eastAsia="方正小标宋简体"/>
          <w:sz w:val="32"/>
          <w:szCs w:val="32"/>
        </w:rPr>
        <w:t>绩效评价报告正文后附以下佐证材料</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 xml:space="preserve"> （昆财资【2020】11号）  昆明市财政局关于编报2019年度行政事业单位国有资产报告及公共基础设施等行政事业性国有资产报告的通知</w:t>
      </w:r>
      <w:r>
        <w:rPr>
          <w:rFonts w:ascii="Times New Roman" w:hAnsi="Times New Roman" w:eastAsia="仿宋_GB2312"/>
          <w:sz w:val="32"/>
          <w:szCs w:val="32"/>
        </w:rPr>
        <w:t>;</w:t>
      </w:r>
    </w:p>
    <w:p>
      <w:pPr>
        <w:keepNext w:val="0"/>
        <w:keepLines w:val="0"/>
        <w:pageBreakBefore w:val="0"/>
        <w:widowControl w:val="0"/>
        <w:kinsoku/>
        <w:wordWrap/>
        <w:overflowPunct/>
        <w:topLinePunct/>
        <w:autoSpaceDE/>
        <w:autoSpaceDN/>
        <w:bidi w:val="0"/>
        <w:adjustRightInd/>
        <w:snapToGrid/>
        <w:spacing w:line="600" w:lineRule="exact"/>
        <w:ind w:firstLine="640" w:firstLineChars="200"/>
        <w:textAlignment w:val="auto"/>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(盘财资[2020]3号)   盘龙区财政局关于做好2019年度公共基础设施等行政事业性单位国有资产报告工作的通知</w:t>
      </w:r>
      <w:r>
        <w:rPr>
          <w:rFonts w:hint="eastAsia" w:ascii="Times New Roman" w:hAnsi="Times New Roman" w:eastAsia="仿宋_GB2312"/>
          <w:sz w:val="32"/>
          <w:szCs w:val="32"/>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fldChar w:fldCharType="begin"/>
    </w:r>
    <w:r>
      <w:instrText xml:space="preserve"> PAGE   \* MERGEFORMAT </w:instrText>
    </w:r>
    <w:r>
      <w:fldChar w:fldCharType="separate"/>
    </w:r>
    <w:r>
      <w:rPr>
        <w:lang w:val="zh-CN"/>
      </w:rPr>
      <w:t>20</w:t>
    </w:r>
    <w:r>
      <w:rPr>
        <w:lang w:val="zh-CN"/>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fldChar w:fldCharType="begin"/>
    </w:r>
    <w:r>
      <w:instrText xml:space="preserve"> PAGE   \* MERGEFORMAT </w:instrText>
    </w:r>
    <w:r>
      <w:fldChar w:fldCharType="separate"/>
    </w:r>
    <w:r>
      <w:rPr>
        <w:lang w:val="zh-CN"/>
      </w:rPr>
      <w:t>2</w:t>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CDD536"/>
    <w:multiLevelType w:val="singleLevel"/>
    <w:tmpl w:val="8FCDD536"/>
    <w:lvl w:ilvl="0" w:tentative="0">
      <w:start w:val="2"/>
      <w:numFmt w:val="decimal"/>
      <w:lvlText w:val="%1."/>
      <w:lvlJc w:val="left"/>
      <w:pPr>
        <w:tabs>
          <w:tab w:val="left" w:pos="312"/>
        </w:tabs>
      </w:pPr>
    </w:lvl>
  </w:abstractNum>
  <w:abstractNum w:abstractNumId="1">
    <w:nsid w:val="4BE02478"/>
    <w:multiLevelType w:val="singleLevel"/>
    <w:tmpl w:val="4BE02478"/>
    <w:lvl w:ilvl="0" w:tentative="0">
      <w:start w:val="2"/>
      <w:numFmt w:val="chineseCounting"/>
      <w:suff w:val="nothing"/>
      <w:lvlText w:val="%1、"/>
      <w:lvlJc w:val="left"/>
      <w:rPr>
        <w:rFonts w:hint="eastAsia"/>
      </w:rPr>
    </w:lvl>
  </w:abstractNum>
  <w:abstractNum w:abstractNumId="2">
    <w:nsid w:val="5638DC08"/>
    <w:multiLevelType w:val="singleLevel"/>
    <w:tmpl w:val="5638DC08"/>
    <w:lvl w:ilvl="0" w:tentative="0">
      <w:start w:val="3"/>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36409"/>
    <w:rsid w:val="0A682BA7"/>
    <w:rsid w:val="15C36351"/>
    <w:rsid w:val="7ED936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9">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unhideWhenUsed/>
    <w:qFormat/>
    <w:uiPriority w:val="0"/>
    <w:pPr>
      <w:spacing w:after="120"/>
      <w:ind w:left="420" w:leftChars="200"/>
    </w:pPr>
  </w:style>
  <w:style w:type="paragraph" w:styleId="6">
    <w:name w:val="footer"/>
    <w:basedOn w:val="1"/>
    <w:unhideWhenUsed/>
    <w:qFormat/>
    <w:uiPriority w:val="99"/>
    <w:pPr>
      <w:tabs>
        <w:tab w:val="center" w:pos="4153"/>
        <w:tab w:val="right" w:pos="8306"/>
      </w:tabs>
      <w:snapToGrid w:val="0"/>
      <w:jc w:val="left"/>
    </w:pPr>
    <w:rPr>
      <w:kern w:val="0"/>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4"/>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2">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2021-06-01T02:42:00Z</dcterms:created>
  <dc:creator>Administrator</dc:creator>
  <cp:lastModifiedBy>Administrator</cp:lastModifiedBy>
  <dcterms:modified xsi:type="dcterms:W3CDTF">2021-06-08T09:22:08Z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