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楷体" w:eastAsia="方正小标宋简体"/>
          <w:sz w:val="44"/>
          <w:szCs w:val="44"/>
        </w:rPr>
      </w:pPr>
    </w:p>
    <w:p>
      <w:pPr>
        <w:spacing w:line="560" w:lineRule="exact"/>
        <w:jc w:val="center"/>
        <w:rPr>
          <w:rFonts w:ascii="方正小标宋简体" w:hAnsi="黑体" w:eastAsia="方正小标宋简体"/>
          <w:sz w:val="44"/>
          <w:szCs w:val="44"/>
        </w:rPr>
      </w:pPr>
      <w:r>
        <w:rPr>
          <w:rFonts w:hint="eastAsia" w:ascii="方正小标宋简体" w:hAnsi="楷体" w:eastAsia="方正小标宋简体"/>
          <w:sz w:val="44"/>
          <w:szCs w:val="44"/>
        </w:rPr>
        <w:t>昆明市盘龙区妇女联合会妇女儿童发展规划及妇女儿童相关工作经费</w:t>
      </w:r>
      <w:r>
        <w:rPr>
          <w:rFonts w:hint="eastAsia" w:ascii="方正小标宋简体" w:hAnsi="黑体" w:eastAsia="方正小标宋简体"/>
          <w:sz w:val="44"/>
          <w:szCs w:val="44"/>
        </w:rPr>
        <w:t>支出绩效</w:t>
      </w:r>
    </w:p>
    <w:p>
      <w:pPr>
        <w:spacing w:line="560" w:lineRule="exact"/>
        <w:jc w:val="center"/>
        <w:rPr>
          <w:rFonts w:ascii="方正小标宋简体" w:hAnsi="楷体" w:eastAsia="方正小标宋简体"/>
          <w:sz w:val="44"/>
          <w:szCs w:val="44"/>
        </w:rPr>
      </w:pPr>
      <w:r>
        <w:rPr>
          <w:rFonts w:hint="eastAsia" w:ascii="方正小标宋简体" w:hAnsi="黑体" w:eastAsia="方正小标宋简体"/>
          <w:sz w:val="44"/>
          <w:szCs w:val="44"/>
        </w:rPr>
        <w:t>自评报告</w:t>
      </w:r>
    </w:p>
    <w:p>
      <w:pPr>
        <w:topLinePunct/>
        <w:spacing w:line="560" w:lineRule="exact"/>
        <w:ind w:firstLine="800" w:firstLineChars="250"/>
        <w:rPr>
          <w:rFonts w:ascii="黑体" w:eastAsia="黑体"/>
          <w:sz w:val="32"/>
          <w:szCs w:val="32"/>
        </w:rPr>
      </w:pPr>
    </w:p>
    <w:p>
      <w:pPr>
        <w:jc w:val="center"/>
        <w:rPr>
          <w:rFonts w:ascii="黑体" w:hAnsi="黑体" w:eastAsia="黑体"/>
          <w:bCs/>
          <w:sz w:val="52"/>
          <w:szCs w:val="52"/>
        </w:rPr>
      </w:pPr>
      <w:r>
        <w:rPr>
          <w:rFonts w:hint="eastAsia" w:ascii="黑体" w:hAnsi="黑体" w:eastAsia="黑体" w:cs="黑体"/>
          <w:bCs/>
          <w:sz w:val="52"/>
          <w:szCs w:val="52"/>
        </w:rPr>
        <w:t>（ 2020年度）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ind w:firstLine="1105" w:firstLineChars="393"/>
        <w:rPr>
          <w:rFonts w:ascii="Times New Roman" w:hAnsi="Times New Roman"/>
          <w:b/>
          <w:bCs/>
          <w:sz w:val="44"/>
          <w:szCs w:val="44"/>
          <w:u w:val="single"/>
        </w:rPr>
      </w:pPr>
      <w:r>
        <w:rPr>
          <w:rFonts w:hint="eastAsia" w:ascii="Times New Roman" w:hAnsi="Times New Roman" w:eastAsia="黑体" w:cs="黑体"/>
          <w:b/>
          <w:bCs/>
          <w:sz w:val="28"/>
          <w:szCs w:val="28"/>
        </w:rPr>
        <w:t xml:space="preserve">单位名称：  </w:t>
      </w:r>
      <w:r>
        <w:rPr>
          <w:rFonts w:hint="eastAsia" w:ascii="Times New Roman" w:hAnsi="Times New Roman" w:eastAsia="黑体" w:cs="黑体"/>
          <w:b/>
          <w:bCs/>
          <w:sz w:val="28"/>
          <w:szCs w:val="28"/>
          <w:u w:val="single"/>
        </w:rPr>
        <w:t xml:space="preserve">（公章）                   </w:t>
      </w:r>
    </w:p>
    <w:p>
      <w:pPr>
        <w:spacing w:before="120" w:after="120" w:line="480" w:lineRule="auto"/>
        <w:ind w:firstLine="1105" w:firstLineChars="393"/>
        <w:rPr>
          <w:rFonts w:ascii="Times New Roman" w:hAnsi="Times New Roman"/>
          <w:b/>
          <w:bCs/>
          <w:sz w:val="44"/>
          <w:szCs w:val="44"/>
          <w:u w:val="single"/>
        </w:rPr>
      </w:pPr>
      <w:r>
        <w:rPr>
          <w:rFonts w:hint="eastAsia" w:ascii="Times New Roman" w:hAnsi="Times New Roman" w:eastAsia="黑体" w:cs="黑体"/>
          <w:b/>
          <w:bCs/>
          <w:sz w:val="28"/>
          <w:szCs w:val="28"/>
        </w:rPr>
        <w:t xml:space="preserve">项目单位： </w:t>
      </w:r>
      <w:r>
        <w:rPr>
          <w:rFonts w:hint="eastAsia" w:ascii="Times New Roman" w:hAnsi="Times New Roman" w:eastAsia="黑体" w:cs="黑体"/>
          <w:b/>
          <w:bCs/>
          <w:sz w:val="28"/>
          <w:szCs w:val="28"/>
          <w:u w:val="single"/>
        </w:rPr>
        <w:t xml:space="preserve">         盘龙区妇联          </w:t>
      </w:r>
    </w:p>
    <w:p>
      <w:pPr>
        <w:spacing w:before="120" w:after="120" w:line="480" w:lineRule="auto"/>
        <w:ind w:firstLine="1105" w:firstLineChars="393"/>
        <w:rPr>
          <w:rFonts w:ascii="Times New Roman" w:hAnsi="Times New Roman" w:eastAsia="黑体"/>
          <w:b/>
          <w:bCs/>
          <w:sz w:val="44"/>
          <w:szCs w:val="44"/>
          <w:u w:val="single"/>
        </w:rPr>
      </w:pPr>
      <w:r>
        <w:rPr>
          <w:rFonts w:hint="eastAsia" w:ascii="Times New Roman" w:hAnsi="Times New Roman" w:eastAsia="黑体" w:cs="黑体"/>
          <w:b/>
          <w:bCs/>
          <w:sz w:val="28"/>
          <w:szCs w:val="28"/>
        </w:rPr>
        <w:t xml:space="preserve">主管单位： </w:t>
      </w:r>
      <w:r>
        <w:rPr>
          <w:rFonts w:hint="eastAsia" w:ascii="Times New Roman" w:hAnsi="Times New Roman" w:eastAsia="黑体" w:cs="黑体"/>
          <w:b/>
          <w:bCs/>
          <w:sz w:val="28"/>
          <w:szCs w:val="28"/>
          <w:u w:val="single"/>
        </w:rPr>
        <w:t xml:space="preserve">                             </w:t>
      </w:r>
    </w:p>
    <w:p>
      <w:pPr>
        <w:spacing w:before="120" w:after="120" w:line="480" w:lineRule="auto"/>
        <w:ind w:firstLine="1105" w:firstLineChars="393"/>
        <w:rPr>
          <w:rFonts w:ascii="黑体" w:hAnsi="黑体" w:eastAsia="黑体"/>
          <w:sz w:val="28"/>
          <w:szCs w:val="28"/>
        </w:rPr>
      </w:pPr>
      <w:r>
        <w:rPr>
          <w:rFonts w:hint="eastAsia" w:ascii="Times New Roman" w:hAnsi="Times New Roman" w:eastAsia="黑体" w:cs="黑体"/>
          <w:b/>
          <w:bCs/>
          <w:sz w:val="28"/>
          <w:szCs w:val="28"/>
        </w:rPr>
        <w:t>项目名称：</w:t>
      </w:r>
      <w:r>
        <w:rPr>
          <w:rFonts w:hint="eastAsia" w:ascii="黑体" w:hAnsi="黑体" w:eastAsia="黑体" w:cs="黑体"/>
          <w:b/>
          <w:bCs/>
          <w:sz w:val="28"/>
          <w:szCs w:val="28"/>
        </w:rPr>
        <w:t xml:space="preserve"> </w:t>
      </w:r>
      <w:r>
        <w:rPr>
          <w:rFonts w:hint="eastAsia" w:ascii="黑体" w:hAnsi="黑体" w:eastAsia="黑体" w:cs="黑体"/>
          <w:b/>
          <w:bCs/>
          <w:sz w:val="28"/>
          <w:szCs w:val="28"/>
          <w:u w:val="thick"/>
        </w:rPr>
        <w:t xml:space="preserve"> </w:t>
      </w:r>
      <w:r>
        <w:rPr>
          <w:rFonts w:hint="eastAsia" w:ascii="黑体" w:hAnsi="黑体" w:eastAsia="黑体"/>
          <w:sz w:val="28"/>
          <w:szCs w:val="28"/>
          <w:u w:val="thick"/>
        </w:rPr>
        <w:t>妇女儿童发展规划及妇女儿童相关工作经费</w:t>
      </w:r>
      <w:r>
        <w:rPr>
          <w:rFonts w:hint="eastAsia" w:ascii="黑体" w:hAnsi="黑体" w:eastAsia="黑体" w:cs="黑体"/>
          <w:b/>
          <w:bCs/>
          <w:sz w:val="28"/>
          <w:szCs w:val="28"/>
          <w:u w:val="thick"/>
        </w:rPr>
        <w:t xml:space="preserve">  </w:t>
      </w:r>
      <w:r>
        <w:rPr>
          <w:rFonts w:hint="eastAsia" w:ascii="Times New Roman" w:hAnsi="Times New Roman" w:eastAsia="黑体" w:cs="黑体"/>
          <w:b/>
          <w:bCs/>
          <w:sz w:val="28"/>
          <w:szCs w:val="28"/>
        </w:rPr>
        <w:t xml:space="preserve">           </w:t>
      </w:r>
      <w:r>
        <w:rPr>
          <w:rFonts w:hint="eastAsia" w:ascii="Times New Roman" w:hAnsi="Times New Roman" w:eastAsia="黑体" w:cs="黑体"/>
          <w:b/>
          <w:bCs/>
          <w:sz w:val="28"/>
          <w:szCs w:val="28"/>
          <w:u w:val="thick"/>
        </w:rPr>
        <w:t xml:space="preserve">               </w:t>
      </w:r>
    </w:p>
    <w:p>
      <w:pPr>
        <w:spacing w:before="120" w:after="120" w:line="480" w:lineRule="auto"/>
        <w:ind w:firstLine="978" w:firstLineChars="348"/>
        <w:rPr>
          <w:rFonts w:ascii="Times New Roman" w:hAnsi="Times New Roman" w:eastAsia="黑体"/>
          <w:b/>
          <w:bCs/>
          <w:sz w:val="44"/>
          <w:szCs w:val="44"/>
          <w:u w:val="single"/>
        </w:rPr>
      </w:pP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u w:val="single"/>
        </w:rPr>
        <w:t xml:space="preserve">       2021年5月           </w:t>
      </w: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2"/>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2"/>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2"/>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12"/>
              <w:widowControl w:val="0"/>
              <w:spacing w:after="0" w:line="240" w:lineRule="auto"/>
              <w:jc w:val="center"/>
              <w:rPr>
                <w:rFonts w:ascii="仿宋_GB2312" w:hAnsi="Times New Roman" w:eastAsia="仿宋_GB2312" w:cs="黑体"/>
                <w:kern w:val="2"/>
                <w:sz w:val="24"/>
                <w:szCs w:val="24"/>
                <w:lang w:val="zh-TW"/>
              </w:rPr>
            </w:pPr>
            <w:r>
              <w:rPr>
                <w:rFonts w:hint="eastAsia" w:ascii="仿宋_GB2312" w:hAnsi="Times New Roman" w:eastAsia="仿宋_GB2312" w:cs="黑体"/>
                <w:kern w:val="2"/>
                <w:sz w:val="24"/>
                <w:szCs w:val="24"/>
                <w:lang w:val="zh-TW"/>
              </w:rPr>
              <w:t>姓名</w:t>
            </w:r>
          </w:p>
        </w:tc>
        <w:tc>
          <w:tcPr>
            <w:tcW w:w="1620" w:type="dxa"/>
            <w:vAlign w:val="center"/>
          </w:tcPr>
          <w:p>
            <w:pPr>
              <w:pStyle w:val="12"/>
              <w:widowControl w:val="0"/>
              <w:spacing w:after="0" w:line="240" w:lineRule="auto"/>
              <w:jc w:val="center"/>
              <w:rPr>
                <w:rFonts w:ascii="仿宋_GB2312" w:hAnsi="Times New Roman" w:eastAsia="仿宋_GB2312" w:cs="黑体"/>
                <w:kern w:val="2"/>
                <w:sz w:val="24"/>
                <w:szCs w:val="24"/>
                <w:lang w:val="zh-TW"/>
              </w:rPr>
            </w:pPr>
            <w:r>
              <w:rPr>
                <w:rFonts w:hint="eastAsia" w:ascii="仿宋_GB2312" w:hAnsi="Times New Roman" w:eastAsia="仿宋_GB2312" w:cs="黑体"/>
                <w:kern w:val="2"/>
                <w:sz w:val="24"/>
                <w:szCs w:val="24"/>
                <w:lang w:val="zh-TW"/>
              </w:rPr>
              <w:t>职务/职称</w:t>
            </w:r>
          </w:p>
        </w:tc>
        <w:tc>
          <w:tcPr>
            <w:tcW w:w="1621" w:type="dxa"/>
            <w:vAlign w:val="center"/>
          </w:tcPr>
          <w:p>
            <w:pPr>
              <w:pStyle w:val="12"/>
              <w:widowControl w:val="0"/>
              <w:spacing w:after="0" w:line="240" w:lineRule="auto"/>
              <w:jc w:val="center"/>
              <w:rPr>
                <w:rFonts w:ascii="仿宋_GB2312" w:hAnsi="Times New Roman" w:eastAsia="仿宋_GB2312" w:cs="黑体"/>
                <w:kern w:val="2"/>
                <w:sz w:val="24"/>
                <w:szCs w:val="24"/>
                <w:lang w:val="zh-TW"/>
              </w:rPr>
            </w:pPr>
            <w:r>
              <w:rPr>
                <w:rFonts w:hint="eastAsia" w:ascii="仿宋_GB2312" w:hAnsi="Times New Roman" w:eastAsia="仿宋_GB2312" w:cs="黑体"/>
                <w:kern w:val="2"/>
                <w:sz w:val="24"/>
                <w:szCs w:val="24"/>
                <w:lang w:val="zh-TW"/>
              </w:rPr>
              <w:t>所属</w:t>
            </w:r>
          </w:p>
          <w:p>
            <w:pPr>
              <w:pStyle w:val="12"/>
              <w:widowControl w:val="0"/>
              <w:spacing w:after="0" w:line="240" w:lineRule="auto"/>
              <w:jc w:val="center"/>
              <w:rPr>
                <w:rFonts w:ascii="仿宋_GB2312" w:hAnsi="Times New Roman" w:eastAsia="仿宋_GB2312" w:cs="黑体"/>
                <w:kern w:val="2"/>
                <w:sz w:val="24"/>
                <w:szCs w:val="24"/>
                <w:lang w:val="zh-TW"/>
              </w:rPr>
            </w:pPr>
            <w:r>
              <w:rPr>
                <w:rFonts w:hint="eastAsia" w:ascii="仿宋_GB2312" w:hAnsi="Times New Roman" w:eastAsia="仿宋_GB2312" w:cs="黑体"/>
                <w:kern w:val="2"/>
                <w:sz w:val="24"/>
                <w:szCs w:val="24"/>
                <w:lang w:val="zh-TW"/>
              </w:rPr>
              <w:t>单位/处室</w:t>
            </w:r>
          </w:p>
        </w:tc>
        <w:tc>
          <w:tcPr>
            <w:tcW w:w="1621" w:type="dxa"/>
            <w:vAlign w:val="center"/>
          </w:tcPr>
          <w:p>
            <w:pPr>
              <w:pStyle w:val="12"/>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2" w:hRule="atLeast"/>
        </w:trPr>
        <w:tc>
          <w:tcPr>
            <w:tcW w:w="1620" w:type="dxa"/>
            <w:vAlign w:val="center"/>
          </w:tcPr>
          <w:p>
            <w:pPr>
              <w:pStyle w:val="12"/>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vAlign w:val="center"/>
          </w:tcPr>
          <w:p>
            <w:pPr>
              <w:pStyle w:val="12"/>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李哲</w:t>
            </w:r>
          </w:p>
        </w:tc>
        <w:tc>
          <w:tcPr>
            <w:tcW w:w="1620" w:type="dxa"/>
            <w:vAlign w:val="center"/>
          </w:tcPr>
          <w:p>
            <w:pPr>
              <w:pStyle w:val="12"/>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主席</w:t>
            </w:r>
          </w:p>
        </w:tc>
        <w:tc>
          <w:tcPr>
            <w:tcW w:w="1621" w:type="dxa"/>
            <w:vAlign w:val="center"/>
          </w:tcPr>
          <w:p>
            <w:pPr>
              <w:pStyle w:val="12"/>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办公室</w:t>
            </w:r>
          </w:p>
        </w:tc>
        <w:tc>
          <w:tcPr>
            <w:tcW w:w="1621" w:type="dxa"/>
            <w:vAlign w:val="center"/>
          </w:tcPr>
          <w:p>
            <w:pPr>
              <w:pStyle w:val="12"/>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李哲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9" w:hRule="atLeast"/>
        </w:trPr>
        <w:tc>
          <w:tcPr>
            <w:tcW w:w="1620" w:type="dxa"/>
            <w:vAlign w:val="center"/>
          </w:tcPr>
          <w:p>
            <w:pPr>
              <w:pStyle w:val="12"/>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李芸锋</w:t>
            </w:r>
          </w:p>
        </w:tc>
        <w:tc>
          <w:tcPr>
            <w:tcW w:w="1620"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副主席</w:t>
            </w:r>
          </w:p>
        </w:tc>
        <w:tc>
          <w:tcPr>
            <w:tcW w:w="1621"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办公室</w:t>
            </w:r>
          </w:p>
        </w:tc>
        <w:tc>
          <w:tcPr>
            <w:tcW w:w="1621"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李芸锋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trPr>
        <w:tc>
          <w:tcPr>
            <w:tcW w:w="1620" w:type="dxa"/>
            <w:vAlign w:val="center"/>
          </w:tcPr>
          <w:p>
            <w:pPr>
              <w:pStyle w:val="12"/>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徐力红</w:t>
            </w:r>
          </w:p>
        </w:tc>
        <w:tc>
          <w:tcPr>
            <w:tcW w:w="1620"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办公室主任</w:t>
            </w:r>
          </w:p>
        </w:tc>
        <w:tc>
          <w:tcPr>
            <w:tcW w:w="1621"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办公室</w:t>
            </w:r>
          </w:p>
        </w:tc>
        <w:tc>
          <w:tcPr>
            <w:tcW w:w="1621" w:type="dxa"/>
            <w:vAlign w:val="center"/>
          </w:tcPr>
          <w:p>
            <w:pPr>
              <w:pStyle w:val="12"/>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徐力红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trPr>
        <w:tc>
          <w:tcPr>
            <w:tcW w:w="1620" w:type="dxa"/>
            <w:vAlign w:val="center"/>
          </w:tcPr>
          <w:p>
            <w:pPr>
              <w:pStyle w:val="12"/>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 </w:t>
            </w:r>
          </w:p>
        </w:tc>
        <w:tc>
          <w:tcPr>
            <w:tcW w:w="1620" w:type="dxa"/>
          </w:tcPr>
          <w:p>
            <w:pPr>
              <w:pStyle w:val="12"/>
              <w:widowControl w:val="0"/>
              <w:spacing w:after="0" w:line="360" w:lineRule="auto"/>
              <w:jc w:val="center"/>
              <w:rPr>
                <w:rFonts w:ascii="仿宋_GB2312" w:hAnsi="Times New Roman" w:eastAsia="仿宋_GB2312" w:cs="黑体"/>
                <w:kern w:val="2"/>
                <w:sz w:val="24"/>
                <w:szCs w:val="24"/>
                <w:lang w:val="zh-TW" w:eastAsia="zh-TW"/>
              </w:rPr>
            </w:pPr>
          </w:p>
        </w:tc>
        <w:tc>
          <w:tcPr>
            <w:tcW w:w="1620" w:type="dxa"/>
          </w:tcPr>
          <w:p>
            <w:pPr>
              <w:pStyle w:val="12"/>
              <w:widowControl w:val="0"/>
              <w:spacing w:after="0" w:line="360" w:lineRule="auto"/>
              <w:jc w:val="center"/>
              <w:rPr>
                <w:rFonts w:ascii="仿宋_GB2312" w:hAnsi="Times New Roman" w:eastAsia="仿宋_GB2312" w:cs="黑体"/>
                <w:kern w:val="2"/>
                <w:sz w:val="24"/>
                <w:szCs w:val="24"/>
                <w:lang w:val="zh-TW" w:eastAsia="zh-TW"/>
              </w:rPr>
            </w:pPr>
          </w:p>
        </w:tc>
        <w:tc>
          <w:tcPr>
            <w:tcW w:w="1621" w:type="dxa"/>
          </w:tcPr>
          <w:p>
            <w:pPr>
              <w:pStyle w:val="12"/>
              <w:widowControl w:val="0"/>
              <w:spacing w:after="0" w:line="360" w:lineRule="auto"/>
              <w:jc w:val="center"/>
              <w:rPr>
                <w:rFonts w:ascii="仿宋_GB2312" w:hAnsi="Times New Roman" w:eastAsia="仿宋_GB2312" w:cs="黑体"/>
                <w:kern w:val="2"/>
                <w:sz w:val="24"/>
                <w:szCs w:val="24"/>
                <w:lang w:val="zh-TW" w:eastAsia="zh-TW"/>
              </w:rPr>
            </w:pPr>
          </w:p>
        </w:tc>
        <w:tc>
          <w:tcPr>
            <w:tcW w:w="1621" w:type="dxa"/>
          </w:tcPr>
          <w:p>
            <w:pPr>
              <w:pStyle w:val="12"/>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21" w:hRule="atLeast"/>
        </w:trPr>
        <w:tc>
          <w:tcPr>
            <w:tcW w:w="8102" w:type="dxa"/>
            <w:gridSpan w:val="5"/>
          </w:tcPr>
          <w:p>
            <w:pPr>
              <w:pStyle w:val="12"/>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2"/>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                          李勇</w:t>
            </w:r>
          </w:p>
          <w:p>
            <w:pPr>
              <w:pStyle w:val="12"/>
              <w:widowControl w:val="0"/>
              <w:spacing w:after="0" w:line="360" w:lineRule="auto"/>
              <w:jc w:val="both"/>
              <w:rPr>
                <w:rFonts w:ascii="Times New Roman" w:hAnsi="Times New Roman" w:eastAsia="黑体" w:cs="黑体"/>
                <w:kern w:val="2"/>
                <w:sz w:val="24"/>
                <w:szCs w:val="24"/>
                <w:lang w:val="zh-TW"/>
              </w:rPr>
            </w:pPr>
          </w:p>
          <w:p>
            <w:pPr>
              <w:pStyle w:val="12"/>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2021年 5月 12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98" w:hRule="atLeast"/>
        </w:trPr>
        <w:tc>
          <w:tcPr>
            <w:tcW w:w="8102" w:type="dxa"/>
            <w:gridSpan w:val="5"/>
          </w:tcPr>
          <w:p>
            <w:pPr>
              <w:pStyle w:val="12"/>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2"/>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                          李芸锋</w:t>
            </w:r>
          </w:p>
          <w:p>
            <w:pPr>
              <w:pStyle w:val="12"/>
              <w:widowControl w:val="0"/>
              <w:spacing w:after="0" w:line="360" w:lineRule="auto"/>
              <w:jc w:val="both"/>
              <w:rPr>
                <w:rFonts w:ascii="Times New Roman" w:hAnsi="Times New Roman" w:eastAsia="黑体" w:cs="黑体"/>
                <w:kern w:val="2"/>
                <w:sz w:val="24"/>
                <w:szCs w:val="24"/>
                <w:lang w:val="zh-TW"/>
              </w:rPr>
            </w:pPr>
          </w:p>
          <w:p>
            <w:pPr>
              <w:pStyle w:val="12"/>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2020年 5 月 12 日</w:t>
            </w:r>
          </w:p>
        </w:tc>
      </w:tr>
    </w:tbl>
    <w:p>
      <w:pPr>
        <w:pStyle w:val="12"/>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1"/>
        <w:jc w:val="center"/>
        <w:rPr>
          <w:rFonts w:ascii="仿宋" w:hAnsi="仿宋" w:eastAsia="仿宋" w:cs="Times New Roman"/>
          <w:color w:val="auto"/>
          <w:sz w:val="32"/>
          <w:szCs w:val="32"/>
        </w:rPr>
      </w:pPr>
      <w:r>
        <w:rPr>
          <w:rFonts w:hint="eastAsia" w:ascii="仿宋" w:hAnsi="仿宋" w:eastAsia="仿宋" w:cs="宋体"/>
          <w:color w:val="auto"/>
          <w:sz w:val="32"/>
          <w:szCs w:val="32"/>
          <w:lang w:val="zh-CN"/>
        </w:rPr>
        <w:t>目录</w:t>
      </w:r>
      <w:r>
        <w:rPr>
          <w:rFonts w:hint="eastAsia" w:ascii="仿宋" w:hAnsi="仿宋" w:eastAsia="仿宋"/>
          <w:sz w:val="32"/>
          <w:szCs w:val="32"/>
        </w:rPr>
        <w:t xml:space="preserve"> </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（一）项目概况。</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1.立项背景及目的</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2.项目实施情况</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3.资金来源及使用情况</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4.组织及管理情况</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（二）绩效目标。</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1.总目标</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2.年度目标</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二、绩效评价工作情况</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（一）绩效评价目的</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（二）绩效评价工作方案制定过程</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1.前期调研</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2.研究文件</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3.绩效评价指标体系及工作方案的设计</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（三）绩效评价原则、评价方法</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1.绩效评价原则。包括科学规范、公开公正、绩效相关等原则。</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2.绩效评价方法。包括指标评价、数据采集和社会调查中所采用的方法。</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（四）绩效评价实施过程</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1.前期准备</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 xml:space="preserve"> 2.组织实施</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3.数据分析和撰写报告。</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（五）本次绩效评价的局限性</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三、评价结论和绩效分析</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（一）评价结论</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评价结果</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（二）具体绩效分析</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四、成本效益分析</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五、主要经验及做法、存在的问题和建议</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（一）主要经验及做法</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（二）存在的问题</w:t>
      </w:r>
    </w:p>
    <w:p>
      <w:pPr>
        <w:topLinePunct/>
        <w:spacing w:line="440" w:lineRule="exact"/>
        <w:ind w:firstLine="700" w:firstLineChars="250"/>
        <w:rPr>
          <w:rFonts w:ascii="仿宋" w:hAnsi="仿宋" w:eastAsia="仿宋"/>
          <w:sz w:val="28"/>
          <w:szCs w:val="28"/>
        </w:rPr>
      </w:pPr>
      <w:r>
        <w:rPr>
          <w:rFonts w:hint="eastAsia" w:ascii="仿宋" w:hAnsi="仿宋" w:eastAsia="仿宋"/>
          <w:sz w:val="28"/>
          <w:szCs w:val="28"/>
        </w:rPr>
        <w:t>（三）建议和改进措施</w:t>
      </w:r>
    </w:p>
    <w:p>
      <w:pPr>
        <w:spacing w:line="440" w:lineRule="exact"/>
        <w:jc w:val="left"/>
        <w:rPr>
          <w:rFonts w:ascii="仿宋" w:hAnsi="仿宋" w:eastAsia="仿宋"/>
          <w:sz w:val="28"/>
          <w:szCs w:val="28"/>
        </w:rPr>
      </w:pPr>
    </w:p>
    <w:p>
      <w:pPr>
        <w:spacing w:line="440" w:lineRule="exact"/>
        <w:jc w:val="left"/>
        <w:rPr>
          <w:rFonts w:ascii="仿宋" w:hAnsi="仿宋" w:eastAsia="仿宋"/>
          <w:sz w:val="28"/>
          <w:szCs w:val="28"/>
        </w:rPr>
      </w:pPr>
    </w:p>
    <w:p>
      <w:pPr>
        <w:spacing w:line="440" w:lineRule="exact"/>
        <w:jc w:val="left"/>
        <w:rPr>
          <w:rFonts w:ascii="仿宋" w:hAnsi="仿宋" w:eastAsia="仿宋"/>
          <w:sz w:val="28"/>
          <w:szCs w:val="28"/>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440" w:lineRule="exact"/>
        <w:jc w:val="left"/>
        <w:rPr>
          <w:rFonts w:ascii="仿宋" w:hAnsi="仿宋" w:eastAsia="仿宋"/>
          <w:sz w:val="32"/>
          <w:szCs w:val="32"/>
        </w:rPr>
      </w:pPr>
    </w:p>
    <w:p>
      <w:pPr>
        <w:spacing w:line="560" w:lineRule="exact"/>
        <w:jc w:val="center"/>
        <w:rPr>
          <w:rFonts w:ascii="黑体" w:hAnsi="黑体" w:eastAsia="黑体"/>
          <w:sz w:val="44"/>
          <w:szCs w:val="44"/>
        </w:rPr>
      </w:pPr>
    </w:p>
    <w:p>
      <w:pPr>
        <w:spacing w:line="560" w:lineRule="exact"/>
        <w:jc w:val="center"/>
        <w:rPr>
          <w:rFonts w:ascii="黑体" w:hAnsi="黑体" w:eastAsia="黑体"/>
          <w:sz w:val="44"/>
          <w:szCs w:val="44"/>
        </w:rPr>
      </w:pPr>
      <w:r>
        <w:rPr>
          <w:rFonts w:hint="eastAsia" w:ascii="黑体" w:hAnsi="黑体" w:eastAsia="黑体"/>
          <w:sz w:val="44"/>
          <w:szCs w:val="44"/>
        </w:rPr>
        <w:t>盘龙区妇女联合会妇女儿童发展规划</w:t>
      </w:r>
    </w:p>
    <w:p>
      <w:pPr>
        <w:spacing w:line="560" w:lineRule="exact"/>
        <w:jc w:val="center"/>
        <w:rPr>
          <w:rFonts w:ascii="黑体" w:hAnsi="黑体" w:eastAsia="黑体"/>
          <w:sz w:val="44"/>
          <w:szCs w:val="44"/>
        </w:rPr>
      </w:pPr>
      <w:r>
        <w:rPr>
          <w:rFonts w:hint="eastAsia" w:ascii="黑体" w:hAnsi="黑体" w:eastAsia="黑体"/>
          <w:sz w:val="44"/>
          <w:szCs w:val="44"/>
        </w:rPr>
        <w:t>及妇女儿童相关工作经费支出绩效自评报告</w:t>
      </w:r>
    </w:p>
    <w:p>
      <w:pPr>
        <w:topLinePunct/>
        <w:spacing w:line="560" w:lineRule="exact"/>
        <w:ind w:firstLine="1100" w:firstLineChars="250"/>
        <w:rPr>
          <w:rFonts w:ascii="黑体" w:hAnsi="黑体" w:eastAsia="黑体"/>
          <w:sz w:val="44"/>
          <w:szCs w:val="44"/>
        </w:rPr>
      </w:pPr>
    </w:p>
    <w:p>
      <w:pPr>
        <w:topLinePunct/>
        <w:spacing w:line="560" w:lineRule="exact"/>
        <w:ind w:firstLine="803" w:firstLineChars="250"/>
        <w:rPr>
          <w:rFonts w:ascii="仿宋" w:hAnsi="仿宋" w:eastAsia="仿宋"/>
          <w:b/>
          <w:sz w:val="32"/>
          <w:szCs w:val="32"/>
        </w:rPr>
      </w:pPr>
      <w:r>
        <w:rPr>
          <w:rFonts w:hint="eastAsia" w:ascii="仿宋" w:hAnsi="仿宋" w:eastAsia="仿宋"/>
          <w:b/>
          <w:sz w:val="32"/>
          <w:szCs w:val="32"/>
        </w:rPr>
        <w:t>一、项目基本情况</w:t>
      </w:r>
    </w:p>
    <w:p>
      <w:pPr>
        <w:topLinePunct/>
        <w:spacing w:line="560" w:lineRule="exact"/>
        <w:ind w:firstLine="803" w:firstLineChars="250"/>
        <w:rPr>
          <w:rFonts w:ascii="仿宋" w:hAnsi="仿宋" w:eastAsia="仿宋"/>
          <w:b/>
          <w:sz w:val="32"/>
          <w:szCs w:val="32"/>
        </w:rPr>
      </w:pPr>
      <w:r>
        <w:rPr>
          <w:rFonts w:hint="eastAsia" w:ascii="仿宋" w:hAnsi="仿宋" w:eastAsia="仿宋"/>
          <w:b/>
          <w:sz w:val="32"/>
          <w:szCs w:val="32"/>
        </w:rPr>
        <w:t>（一）项目概况。</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1、立项背景及目的。</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实行男女平等是国家的基本国策，男女平等的实现程度是衡量社会文明进步的重要标志。妇女占全国人口的半数，是经济社会发展的重要力量。在发展中维护妇女权益，在维权中促进妇女发展，是实现妇女解放的内在动力和重要途径。保障妇女权益、促进妇女发展、推动男女平等，对国家经济社会发展和中华民族文明进步具有重要意义。儿童时期是人生发展的关键时期。为儿童提供必要的生存、发展、受保护和参与的机会和条件，最大限度地满足儿童的发展需要，发挥儿童潜能，将为儿童一生的发展奠定重要基础。儿童是人类的未来，是社会可持续发展的重要资源。儿童发展是国家经济社会发展与文明进步的重要组成部分，促进儿童发展，对于全面提高中华民族素质，建设人力资源强国具有重要战略意义。按照盘龙区委、区政府的2020年工作任务和昆明市妇女联合会下达的主要工作目标任务，以确保《盘龙区儿童发展规划（2011—2020）》《盘龙妇女发展规划（2011—2020）》两个规划（以下简称《两规》）顺利实施。认真贯彻党的十九大精神和省、市妇儿工委工作目标任务和要求，努力探索全面实施新的“两个规划”工作的有效途径，进一步强化工作措施，推动盘龙妇女儿童事业与经济社会的和谐发展。  </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2、项目实施情况。</w:t>
      </w:r>
    </w:p>
    <w:p>
      <w:pPr>
        <w:spacing w:line="560" w:lineRule="exact"/>
        <w:ind w:firstLine="640" w:firstLineChars="200"/>
        <w:rPr>
          <w:rFonts w:ascii="仿宋" w:hAnsi="仿宋" w:eastAsia="仿宋" w:cs="楷体"/>
          <w:sz w:val="32"/>
          <w:szCs w:val="32"/>
        </w:rPr>
      </w:pPr>
      <w:r>
        <w:rPr>
          <w:rFonts w:hint="eastAsia" w:ascii="仿宋" w:hAnsi="仿宋" w:eastAsia="仿宋" w:cs="楷体"/>
          <w:sz w:val="32"/>
          <w:szCs w:val="32"/>
        </w:rPr>
        <w:t>（一）坚持党对妇女儿童工作的领导，不断夯实工作基础</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2020年区妇儿工委办在开展工作的过程中切实增强“四个意识”，坚定“四个自信”，做到“两个维护”，自觉用习近平新时代中国特色社会主义思想武装头脑、指导实践、推动工作，筑牢思想根基，夯实工作基础。在工作中主动把党的意志主张具体而深入地转化到服务联系妇女儿童的实际行动中去，对照促进妇女儿童全面发展和保障妇女儿童合法权益的内容，立足妇儿工委办公室工作职能，找准工作的切入点和发力点，不断推进我区妇女儿童发展工作。</w:t>
      </w:r>
    </w:p>
    <w:p>
      <w:pPr>
        <w:spacing w:line="560" w:lineRule="exact"/>
        <w:ind w:firstLine="640" w:firstLineChars="200"/>
        <w:rPr>
          <w:rFonts w:ascii="仿宋" w:hAnsi="仿宋" w:eastAsia="仿宋" w:cs="黑体"/>
          <w:sz w:val="32"/>
          <w:szCs w:val="32"/>
        </w:rPr>
      </w:pPr>
      <w:r>
        <w:rPr>
          <w:rFonts w:hint="eastAsia" w:ascii="仿宋" w:hAnsi="仿宋" w:eastAsia="仿宋" w:cs="黑体"/>
          <w:sz w:val="32"/>
          <w:szCs w:val="32"/>
        </w:rPr>
        <w:t>(二)认真落实省、市部署，扎实有序推进妇女儿童各项工作</w:t>
      </w:r>
    </w:p>
    <w:p>
      <w:pPr>
        <w:spacing w:line="560" w:lineRule="exact"/>
        <w:ind w:firstLine="640" w:firstLineChars="200"/>
        <w:rPr>
          <w:rFonts w:ascii="仿宋" w:hAnsi="仿宋" w:eastAsia="仿宋" w:cs="楷体"/>
          <w:sz w:val="32"/>
          <w:szCs w:val="32"/>
        </w:rPr>
      </w:pPr>
      <w:r>
        <w:rPr>
          <w:rFonts w:hint="eastAsia" w:ascii="仿宋" w:hAnsi="仿宋" w:eastAsia="仿宋" w:cs="楷体"/>
          <w:sz w:val="32"/>
          <w:szCs w:val="32"/>
        </w:rPr>
        <w:t>（1）强化源头推动</w:t>
      </w:r>
    </w:p>
    <w:p>
      <w:pPr>
        <w:spacing w:line="560" w:lineRule="exact"/>
        <w:ind w:firstLine="643" w:firstLineChars="200"/>
        <w:rPr>
          <w:rFonts w:ascii="仿宋" w:hAnsi="仿宋" w:eastAsia="仿宋" w:cs="仿宋_GB2312"/>
          <w:sz w:val="32"/>
          <w:szCs w:val="32"/>
        </w:rPr>
      </w:pPr>
      <w:r>
        <w:rPr>
          <w:rFonts w:hint="eastAsia" w:ascii="仿宋" w:hAnsi="仿宋" w:eastAsia="仿宋" w:cs="仿宋_GB2312"/>
          <w:b/>
          <w:bCs/>
          <w:sz w:val="32"/>
          <w:szCs w:val="32"/>
        </w:rPr>
        <w:t>一是</w:t>
      </w:r>
      <w:r>
        <w:rPr>
          <w:rFonts w:hint="eastAsia" w:ascii="仿宋" w:hAnsi="仿宋" w:eastAsia="仿宋" w:cs="仿宋_GB2312"/>
          <w:sz w:val="32"/>
          <w:szCs w:val="32"/>
        </w:rPr>
        <w:t>2020年区政府分管副区长定期和不定期地听取妇儿工委工作汇报，区妇儿工委副主任，妇儿工委办主任于今年6月底向分管副区长就我区实施两个规划开展推进情况、指标完成情况、重难点指标推进情况及工作中存在的困难和问题进行专题汇报。</w:t>
      </w:r>
      <w:r>
        <w:rPr>
          <w:rFonts w:hint="eastAsia" w:ascii="仿宋" w:hAnsi="仿宋" w:eastAsia="仿宋" w:cs="仿宋_GB2312"/>
          <w:b/>
          <w:bCs/>
          <w:sz w:val="32"/>
          <w:szCs w:val="32"/>
        </w:rPr>
        <w:t>二是</w:t>
      </w:r>
      <w:r>
        <w:rPr>
          <w:rFonts w:hint="eastAsia" w:ascii="仿宋" w:hAnsi="仿宋" w:eastAsia="仿宋" w:cs="仿宋_GB2312"/>
          <w:sz w:val="32"/>
          <w:szCs w:val="32"/>
        </w:rPr>
        <w:t>于7月3日，盘龙区召开2020年妇女儿童工作委员（扩大）会暨成立盘龙区妇女儿童发展研究专家人才库会议。成员单位述职并部署工作，调动成员单位积极性，压实成员单位主体责任；推进性别平等评估审查配套制度建设工作，开展区妇女儿童专家库建设，成立盘龙区妇女儿童发展研究专家人才库，用好专家人才库，分领域、分专业，聚焦妇女儿童发展问题开展课题研究，形成相关报告，为本轮纲要规划终期评估及下轮纲要规划编制工作提供科学对策建议。三是及时调整、补充因工作岗位变动的成员单位分管领导和联络员，以保证工作的顺利进行。</w:t>
      </w:r>
    </w:p>
    <w:p>
      <w:pPr>
        <w:spacing w:line="560" w:lineRule="exact"/>
        <w:ind w:firstLine="640" w:firstLineChars="200"/>
        <w:rPr>
          <w:rFonts w:ascii="仿宋" w:hAnsi="仿宋" w:eastAsia="仿宋" w:cs="楷体"/>
          <w:sz w:val="32"/>
          <w:szCs w:val="32"/>
        </w:rPr>
      </w:pPr>
      <w:r>
        <w:rPr>
          <w:rFonts w:hint="eastAsia" w:ascii="仿宋" w:hAnsi="仿宋" w:eastAsia="仿宋" w:cs="楷体"/>
          <w:sz w:val="32"/>
          <w:szCs w:val="32"/>
        </w:rPr>
        <w:t>（2）开展两个规划终期评估工作</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在省、市妇儿工委指导领导下，采用项目化方式开展本轮盘龙区两个规划的十年终期评估工作。区妇儿工委办牵头收集汇总全区妇儿工委各成员单位对2010年至2019实施“两个规划”十年工作进行自查，在2020年8月20日前完成《2010-2019年盘龙区妇女发展规划终期预评估报告》及《2010-2019年盘龙区儿童发展规划终期预评估报告》并上报区人民政府分管领导审核研究，于2020年8月31日下午，盘龙区妇儿工委召开“2010-2020年盘龙区妇女儿童发展规划 ”十年终期预评估报告及未达标指标工作专题推进会。区政府副区长、区妇儿工委主任成钢及实施“两个规划”核心指标7家成员单位分管领导参加会议。会上，由区妇联党组书记、主席、妇儿工委副主任李哲代表区妇儿工委对盘龙区实施2010年-2019年妇女儿童发展规划预评估报告监测统计指标体系总体达标及不达标情况做整体汇报。区妇儿工委成主任对参会强调要求：</w:t>
      </w:r>
      <w:r>
        <w:rPr>
          <w:rFonts w:hint="eastAsia" w:ascii="仿宋" w:hAnsi="仿宋" w:eastAsia="仿宋" w:cs="仿宋_GB2312"/>
          <w:b/>
          <w:bCs/>
          <w:sz w:val="32"/>
          <w:szCs w:val="32"/>
        </w:rPr>
        <w:t>一是</w:t>
      </w:r>
      <w:r>
        <w:rPr>
          <w:rFonts w:hint="eastAsia" w:ascii="仿宋" w:hAnsi="仿宋" w:eastAsia="仿宋" w:cs="仿宋_GB2312"/>
          <w:sz w:val="32"/>
          <w:szCs w:val="32"/>
        </w:rPr>
        <w:t>要提高思想认识，切实加强妇女儿童工作的组织领导。要拔高政治站位，树牢“四个意识”，坚定“四个自信”，做到“两个维护”，切实增强做好新形势下妇女儿童工作责任感和使命感。</w:t>
      </w:r>
      <w:r>
        <w:rPr>
          <w:rFonts w:hint="eastAsia" w:ascii="仿宋" w:hAnsi="仿宋" w:eastAsia="仿宋" w:cs="仿宋_GB2312"/>
          <w:b/>
          <w:bCs/>
          <w:sz w:val="32"/>
          <w:szCs w:val="32"/>
        </w:rPr>
        <w:t>二是</w:t>
      </w:r>
      <w:r>
        <w:rPr>
          <w:rFonts w:hint="eastAsia" w:ascii="仿宋" w:hAnsi="仿宋" w:eastAsia="仿宋" w:cs="仿宋_GB2312"/>
          <w:sz w:val="32"/>
          <w:szCs w:val="32"/>
        </w:rPr>
        <w:t>在行动上坚决落实，以务实的举措、创新的招法，推动盘龙区实施妇女儿童工作事业全面发展，圆满完成盘龙区全面实施十年妇女儿童发展规划指标达标。</w:t>
      </w:r>
      <w:r>
        <w:rPr>
          <w:rFonts w:hint="eastAsia" w:ascii="仿宋" w:hAnsi="仿宋" w:eastAsia="仿宋" w:cs="仿宋_GB2312"/>
          <w:b/>
          <w:bCs/>
          <w:sz w:val="32"/>
          <w:szCs w:val="32"/>
        </w:rPr>
        <w:t>三是</w:t>
      </w:r>
      <w:r>
        <w:rPr>
          <w:rFonts w:hint="eastAsia" w:ascii="仿宋" w:hAnsi="仿宋" w:eastAsia="仿宋" w:cs="仿宋_GB2312"/>
          <w:sz w:val="32"/>
          <w:szCs w:val="32"/>
        </w:rPr>
        <w:t>要进一步提高妇女的政治参与水平，着力推动妇女更高质量更充分就业，全力推进教育和健康服务均等化。圆满完成“两个规划”终期评估。</w:t>
      </w:r>
      <w:r>
        <w:rPr>
          <w:rFonts w:hint="eastAsia" w:ascii="仿宋" w:hAnsi="仿宋" w:eastAsia="仿宋" w:cs="仿宋_GB2312"/>
          <w:b/>
          <w:bCs/>
          <w:sz w:val="32"/>
          <w:szCs w:val="32"/>
        </w:rPr>
        <w:t>四是</w:t>
      </w:r>
      <w:r>
        <w:rPr>
          <w:rFonts w:hint="eastAsia" w:ascii="仿宋" w:hAnsi="仿宋" w:eastAsia="仿宋" w:cs="仿宋_GB2312"/>
          <w:sz w:val="32"/>
          <w:szCs w:val="32"/>
        </w:rPr>
        <w:t>要提前谋划部署，确保新一轮“两个规划”编制具备科学性、前瞻性和可操作性;要狠抓责任落实，各成员单位主要领导要亲自过问，分管领导具体抓，确保各项工作有人抓、有人管、有人落实。</w:t>
      </w:r>
      <w:r>
        <w:rPr>
          <w:rFonts w:hint="eastAsia" w:ascii="仿宋" w:hAnsi="仿宋" w:eastAsia="仿宋" w:cs="仿宋_GB2312"/>
          <w:b/>
          <w:bCs/>
          <w:sz w:val="32"/>
          <w:szCs w:val="32"/>
        </w:rPr>
        <w:t>五是</w:t>
      </w:r>
      <w:r>
        <w:rPr>
          <w:rFonts w:hint="eastAsia" w:ascii="仿宋" w:hAnsi="仿宋" w:eastAsia="仿宋" w:cs="仿宋_GB2312"/>
          <w:sz w:val="32"/>
          <w:szCs w:val="32"/>
        </w:rPr>
        <w:t>区妇儿工委办公室要按照要求，对各成员单位十年来实施“两规”的资料进行搜集整理、查漏补缺、整理成册。各成员单位要密切配合、强化联动，尤其要做好“两个规划”各项数据指标的统计和达标工作，确保实现盘龙区妇女儿童发展研究指标体系涉及指标必达标，“两个规划”中主要指标无缺项、无空白。成副区长最后强调指出，各部门在全面提高妇女地位，促进男女平等和谐，保护妇女儿童的合法权益和健康、安全等方面做出了积极贡献，把妇女儿童“两个规划”工作作为一项重要任务来抓，工作有特点、亮点，解决重难点问题有力度，“两个规划”目标任务都完成的较好。就下一步推进“两规”提出了“五个一”的新要求：提高一个认识：要提高对妇女儿童工作的认识，妇女儿童工作是非常重要的一项工作，妇女儿童得到全面发展是全面建成小康社会的必然要求，也是社会更加和谐的重要内容。走出一个误区：要认清妇儿工委工作不只是妇联的工作，而是党和国家事业中的一项重要工作，也是各级政府牵头抓的一项重要工作。区妇儿工委办要做好统筹协调工作，做好每季度开展一次调研工作，确保“两个规划”顺利开展。压实一个责任：要压实妇儿工委成员单位“一把手”的责任。进一步增强各成员单位落实“两个规划”目标任务的积极性，有效推进妇女儿童事业的发展。完成一个目标：要完成妇儿工委“两个规划”纲要的目标。统筹协调各成员单位，整合全区各类资源，优化机制，强化督查工作，确保各项目标任务有序推进。对接一个规划：要编制好“十四五”妇女儿童发展规划，同时，要着手开展好调研，充分研究，准确把握盘龙区妇女儿童发展面临的新形势新变化，为研究编制新一轮“盘龙妇女儿童发展规划”提出更为科学合理的意见和建议，确保盘龙区实施十年“两个规划”全国先进单位的荣誉称号，通过本轮盘龙区实施“两个规划”十年的综合评估报告及完成监测指标情况，科学高效的编制下一轮盘龙妇女儿童发展规划，为盘龙区全面实施新一轮妇女儿童发展规划奠定夯实基础。</w:t>
      </w:r>
    </w:p>
    <w:p>
      <w:pPr>
        <w:spacing w:line="560" w:lineRule="exact"/>
        <w:ind w:firstLine="640" w:firstLineChars="200"/>
        <w:rPr>
          <w:rFonts w:ascii="仿宋" w:hAnsi="仿宋" w:eastAsia="仿宋" w:cs="楷体"/>
          <w:sz w:val="32"/>
          <w:szCs w:val="32"/>
        </w:rPr>
      </w:pPr>
      <w:r>
        <w:rPr>
          <w:rFonts w:hint="eastAsia" w:ascii="仿宋" w:hAnsi="仿宋" w:eastAsia="仿宋" w:cs="楷体"/>
          <w:sz w:val="32"/>
          <w:szCs w:val="32"/>
        </w:rPr>
        <w:t>（3）强化妇女儿童发展环境优化</w:t>
      </w:r>
    </w:p>
    <w:p>
      <w:pPr>
        <w:spacing w:line="560" w:lineRule="exact"/>
        <w:ind w:firstLine="643" w:firstLineChars="200"/>
        <w:rPr>
          <w:rFonts w:ascii="仿宋" w:hAnsi="仿宋" w:eastAsia="仿宋" w:cs="仿宋_GB2312"/>
          <w:sz w:val="32"/>
          <w:szCs w:val="32"/>
        </w:rPr>
      </w:pPr>
      <w:r>
        <w:rPr>
          <w:rFonts w:hint="eastAsia" w:ascii="仿宋" w:hAnsi="仿宋" w:eastAsia="仿宋" w:cs="仿宋_GB2312"/>
          <w:b/>
          <w:bCs/>
          <w:sz w:val="32"/>
          <w:szCs w:val="32"/>
        </w:rPr>
        <w:t>一是</w:t>
      </w:r>
      <w:r>
        <w:rPr>
          <w:rFonts w:hint="eastAsia" w:ascii="仿宋" w:hAnsi="仿宋" w:eastAsia="仿宋" w:cs="仿宋_GB2312"/>
          <w:sz w:val="32"/>
          <w:szCs w:val="32"/>
        </w:rPr>
        <w:t>完善落实云南省昆明市法规政策性别平等评估机制，进一步发挥法规政策性别平等咨询评估工作委员会作用，根据《2010年-2019年盘龙区妇女发展规划终期预评估报告》区妇儿工委办公室建议将其中我区未达标指标“居委会成员女性比例”作为区人大参与的重点难点调研指标，并将调研结果转化成人大建议，对地方性习俗民约、妇女就业、妇女参政等方面的相关政策进行评估。</w:t>
      </w:r>
      <w:r>
        <w:rPr>
          <w:rFonts w:hint="eastAsia" w:ascii="仿宋" w:hAnsi="仿宋" w:eastAsia="仿宋" w:cs="仿宋_GB2312"/>
          <w:b/>
          <w:bCs/>
          <w:sz w:val="32"/>
          <w:szCs w:val="32"/>
        </w:rPr>
        <w:t>二是</w:t>
      </w:r>
      <w:r>
        <w:rPr>
          <w:rFonts w:hint="eastAsia" w:ascii="仿宋" w:hAnsi="仿宋" w:eastAsia="仿宋" w:cs="仿宋_GB2312"/>
          <w:sz w:val="32"/>
          <w:szCs w:val="32"/>
        </w:rPr>
        <w:t>组织实施盘龙区“社区儿童保护项目”，引进社会组织，由专业的团队为社区提供专业的服务，进一步优化社区儿童成长环境，促进家庭、学校、社区三结合教育网络建设，为孩子营造健康和谐成长环境。截至八月底，在我辖区六个街道举办了34次活动，开展了儿童食品安全、道路安全、防拐骗、亲子互动体验、亲子阅读、如何与孩子有效沟通等多个儿童保护主题的活动，提升了儿童和家庭自我保护和社会保护的能力，得到了社区、家长和儿童的认可和喜爱。累计服务社区家长和儿童1501多人次，服务时长48.5个小时，近3000分钟。</w:t>
      </w:r>
      <w:r>
        <w:rPr>
          <w:rFonts w:hint="eastAsia" w:ascii="仿宋" w:hAnsi="仿宋" w:eastAsia="仿宋" w:cs="仿宋_GB2312"/>
          <w:b/>
          <w:bCs/>
          <w:sz w:val="32"/>
          <w:szCs w:val="32"/>
        </w:rPr>
        <w:t>三是</w:t>
      </w:r>
      <w:r>
        <w:rPr>
          <w:rFonts w:hint="eastAsia" w:ascii="仿宋" w:hAnsi="仿宋" w:eastAsia="仿宋" w:cs="仿宋_GB2312"/>
          <w:sz w:val="32"/>
          <w:szCs w:val="32"/>
        </w:rPr>
        <w:t>积极推进“母爱十平方”项目实施，为推进《盘龙儿童发展规划（2011-2020年）》“儿童与健康”领域中 “0-6个月婴儿纯母乳喂养率2020年达到95%以上”目标，在全区实施“母爱十平方”项目，在2020年上旬，对各街道及妇儿工委成员单位下发《关于做好2020年昆明市盘龙区“母爱10平方”项目选点申报工作的通知》，要求各街道及成员单位积极参与推进项目实施。</w:t>
      </w:r>
    </w:p>
    <w:p>
      <w:pPr>
        <w:spacing w:line="560" w:lineRule="exact"/>
        <w:ind w:firstLine="640" w:firstLineChars="200"/>
        <w:rPr>
          <w:rFonts w:ascii="仿宋" w:hAnsi="仿宋" w:eastAsia="仿宋" w:cs="楷体"/>
          <w:sz w:val="32"/>
          <w:szCs w:val="32"/>
        </w:rPr>
      </w:pPr>
      <w:r>
        <w:rPr>
          <w:rFonts w:hint="eastAsia" w:ascii="仿宋" w:hAnsi="仿宋" w:eastAsia="仿宋" w:cs="楷体"/>
          <w:sz w:val="32"/>
          <w:szCs w:val="32"/>
        </w:rPr>
        <w:t>（4）继续实施“春蕾计划”</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启动资助制度的修改完善工作。联合区教体局、区财政局等部门，继续做好“春蕾计划”实施工作。组织完成2020年“春蕾计划”年度资助工作。截止目前，盘龙区昆明市女子中学市级春蕾普通高中班推荐审核合格考生有10名。</w:t>
      </w:r>
    </w:p>
    <w:p>
      <w:pPr>
        <w:spacing w:line="560" w:lineRule="exact"/>
        <w:ind w:firstLine="640" w:firstLineChars="200"/>
        <w:rPr>
          <w:rFonts w:ascii="仿宋" w:hAnsi="仿宋" w:eastAsia="仿宋" w:cs="楷体"/>
          <w:sz w:val="32"/>
          <w:szCs w:val="32"/>
        </w:rPr>
      </w:pPr>
      <w:r>
        <w:rPr>
          <w:rFonts w:hint="eastAsia" w:ascii="仿宋" w:hAnsi="仿宋" w:eastAsia="仿宋" w:cs="楷体"/>
          <w:sz w:val="32"/>
          <w:szCs w:val="32"/>
        </w:rPr>
        <w:t>（5）控辍保学专项行动</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按照昆明市加强婚姻管理引领婚育新风三年专项行动领导小组办公室《关于对全市加强婚姻管理引领婚育新风三年专项行动进行督查的通知》（昆婚领办〔2020〕4号）文件要求，盘龙区妇儿工委高度重视，切实履行工作职责，配合并督促相关部门对文件中涉及盘龙区的控辍保学督查事项进行了认真落实，2019年9月，盘龙区在国网学籍系统台帐中的户籍需要劝返辍（失）学人员16人，通过控辍保学“四步法”的推进，截止目前，已全部劝返复学。在盘龙区控辍保学专项行动中，</w:t>
      </w:r>
      <w:r>
        <w:rPr>
          <w:rFonts w:hint="eastAsia" w:ascii="仿宋" w:hAnsi="仿宋" w:eastAsia="仿宋" w:cs="仿宋_GB2312"/>
          <w:b/>
          <w:bCs/>
          <w:sz w:val="32"/>
          <w:szCs w:val="32"/>
        </w:rPr>
        <w:t>一是</w:t>
      </w:r>
      <w:r>
        <w:rPr>
          <w:rFonts w:hint="eastAsia" w:ascii="仿宋" w:hAnsi="仿宋" w:eastAsia="仿宋" w:cs="仿宋_GB2312"/>
          <w:sz w:val="32"/>
          <w:szCs w:val="32"/>
        </w:rPr>
        <w:t>高度重视控辍保学工作，成立了以分管副区长任组长的控辍保学工作领导小组，加强对控辍保学工作的组织领导，明确部门职责，强化联防联控，充分运用好控辍保学联席会议制度，多次召开联席会议，研究部署工作任务，协调解决工作中的困难和问题。同时，按照昆明市的安排部署，结合盘龙区实际，2020年6月18日，配合区教体局召开会议2次，审议通过了《盘龙区2020年义务教育控辍保学工作方案》。盘龙区全力推进控辍保学工作，确保控辍保学工作落到实处。</w:t>
      </w:r>
      <w:r>
        <w:rPr>
          <w:rFonts w:hint="eastAsia" w:ascii="仿宋" w:hAnsi="仿宋" w:eastAsia="仿宋" w:cs="仿宋_GB2312"/>
          <w:b/>
          <w:bCs/>
          <w:sz w:val="32"/>
          <w:szCs w:val="32"/>
        </w:rPr>
        <w:t>二是</w:t>
      </w:r>
      <w:r>
        <w:rPr>
          <w:rFonts w:hint="eastAsia" w:ascii="仿宋" w:hAnsi="仿宋" w:eastAsia="仿宋" w:cs="仿宋_GB2312"/>
          <w:sz w:val="32"/>
          <w:szCs w:val="32"/>
        </w:rPr>
        <w:t>开展“控辍保学”宣传。结合“法治文化基层行活动”，组织志愿者深入基层开展“控辍保学”巡回宣讲，围绕《义务教育法》《未成年人保护法》《预防未成年人犯罪法》《劳动法》《婚姻法》《禁止使用童工规定》《教育行政处罚暂行实施办法》《云南省实施&lt;中华人民共和国义务教育法&gt;办法》等相关法律法规，结合典型案例以案释法。由区委政法委协调新闻媒体深入职能部门及街道、学校（单位）开展“控辍保学”系列采访宣传活动，有针对性的挖掘典型、凝聚成果、传递共识，多平台、多形式、全方位展现控辍保学的典型经验和成果。</w:t>
      </w:r>
      <w:r>
        <w:rPr>
          <w:rFonts w:hint="eastAsia" w:ascii="仿宋" w:hAnsi="仿宋" w:eastAsia="仿宋" w:cs="仿宋_GB2312"/>
          <w:b/>
          <w:bCs/>
          <w:sz w:val="32"/>
          <w:szCs w:val="32"/>
        </w:rPr>
        <w:t>三是</w:t>
      </w:r>
      <w:r>
        <w:rPr>
          <w:rFonts w:hint="eastAsia" w:ascii="仿宋" w:hAnsi="仿宋" w:eastAsia="仿宋" w:cs="仿宋_GB2312"/>
          <w:sz w:val="32"/>
          <w:szCs w:val="32"/>
        </w:rPr>
        <w:t>配合区教体局进一步强化“双线十人制”“动态归零督查制”和控辍保学问环工作管理机制，用好依法控辍保学“四步法”，压实“双线四级”责任。对未到学校的适龄儿童少年，组织街道、社区、教育等部门一起，多次入户，有针对性地开展劝返工作。截止目前，共进行宣传教育40余次，发放责令整改通知书4份。</w:t>
      </w:r>
      <w:r>
        <w:rPr>
          <w:rFonts w:hint="eastAsia" w:ascii="仿宋" w:hAnsi="仿宋" w:eastAsia="仿宋" w:cs="仿宋_GB2312"/>
          <w:b/>
          <w:bCs/>
          <w:sz w:val="32"/>
          <w:szCs w:val="32"/>
        </w:rPr>
        <w:t>四是</w:t>
      </w:r>
      <w:r>
        <w:rPr>
          <w:rFonts w:hint="eastAsia" w:ascii="仿宋" w:hAnsi="仿宋" w:eastAsia="仿宋" w:cs="仿宋_GB2312"/>
          <w:sz w:val="32"/>
          <w:szCs w:val="32"/>
        </w:rPr>
        <w:t>探索开展“送教上门”工作。盘龙区成立了盘龙区残疾人教育专家委员会，对因身体残疾原因辍学，经盘龙区残疾人教育专家委员会评估可以在校就读的，安置随班就读或进入特殊教育学校就读，学籍正常滚动。经专家委员会评估不适合在校学习的，由区教体局统筹安排，通过提供送教上门方式实施义务教育，并纳入学籍管理。现已为34名残疾儿童提供送教上门服务并建立了学籍。</w:t>
      </w:r>
      <w:r>
        <w:rPr>
          <w:rFonts w:hint="eastAsia" w:ascii="仿宋" w:hAnsi="仿宋" w:eastAsia="仿宋" w:cs="仿宋_GB2312"/>
          <w:b/>
          <w:bCs/>
          <w:sz w:val="32"/>
          <w:szCs w:val="32"/>
        </w:rPr>
        <w:t>五是</w:t>
      </w:r>
      <w:r>
        <w:rPr>
          <w:rFonts w:hint="eastAsia" w:ascii="仿宋" w:hAnsi="仿宋" w:eastAsia="仿宋" w:cs="仿宋_GB2312"/>
          <w:sz w:val="32"/>
          <w:szCs w:val="32"/>
        </w:rPr>
        <w:t>开展普职融合教育。积极探索，结合水源区实际，支持学校开设职初班，对少数劝返学生，安排到职初班学习，教学内容以文化知识学习、职业技能教育、民族文化教育为主，培养学生的学习兴趣，切实做好控辍保学工作。着力提高义务教育学校尤其是农村学校办学质量。督促各学校树立正确的办学思想，切实减轻中小学课业负担。针对学习困难学生，结合实际开展教育教学，培养他们的学习兴趣，不让学生因学习困难而辍学。</w:t>
      </w:r>
      <w:r>
        <w:rPr>
          <w:rFonts w:hint="eastAsia" w:ascii="仿宋" w:hAnsi="仿宋" w:eastAsia="仿宋" w:cs="仿宋_GB2312"/>
          <w:b/>
          <w:bCs/>
          <w:sz w:val="32"/>
          <w:szCs w:val="32"/>
        </w:rPr>
        <w:t>六是</w:t>
      </w:r>
      <w:r>
        <w:rPr>
          <w:rFonts w:hint="eastAsia" w:ascii="仿宋" w:hAnsi="仿宋" w:eastAsia="仿宋" w:cs="仿宋_GB2312"/>
          <w:sz w:val="32"/>
          <w:szCs w:val="32"/>
        </w:rPr>
        <w:t>做好学生资助工作。基本实现了学前到大学各阶段的补助，切实解决家庭经济困难学就学问题。2020年春季学期及时足额发放各项补助资金，标准为：1.按照300元/生.年补助标准发放学前困难儿童资助经费2237人次33.75万元；2.落实义务教育补助政策,按照寄宿制小学每生每年1000元，初中1250元；非寄宿制小学每生每年500元，初中625元的标准补助城乡义务教育街道家庭经济困难学生生活补助资金3610人，117.6万元；3.及时下达营养改善计划补助经费,按照800元/生.年标准为农村义务教育阶段学生及特殊教育学校学生提供营养膳食补助7301人次285.692万元；4.抓实中等教育阶段资助，①落实普通高中国家助学金发放。对具有正式注册学籍且家庭经济贫困的普通高中在校生，按一等助学金每人每学年2500元，二等助学金每人每学年1500元标准发放普高国家助学金845人次81.625万元；②对具有中等职业学校全日制正式学籍一、二、三年级在校农村（含县镇）学生实施国家免学费补助政策，补助标准为每生每学年2000元，2020年春季学期共发放中职国家免学费1691人次169.1万元；5.对具有中等职业学校全日制正式学籍一、二年级在校涉农专业及连片特困地区学生实施国家助学金补助政策按照每生每学年2000元标准，集中支付中职国家助学金651人次65.1万元；6.做好普通高校学生资助及贷款准备工作，①保障普通高校家庭经济困难新生资助。2020年中央专项彩票公益金润雨计划普通高校家庭经济困难新生入学资助项目及考入全日制普通高等院校贫困新生政府资助、云南省优秀贫困学子奖学金项目各项准备工作正在进行中。②加强对生源地信用助学贷款管理。由于疫情防控的需要，2020年生源地信用助学贷款首次采用预约续贷和远程续贷的方式，既方便了学生，也有效避免了办理期间的人员扎堆、聚集。截止2020年8月13日，全区共办理生源地信用助学贷款133笔，合同金额107.33万元。③完成大学生自主创业贷款工作。向创办企业或从事个体经营的高校毕业生，包括大学生“村官”和在校高年级大学生，以及已进行工商注册的首次创业人员发放两年无息贷款。截止2020年8月，我区教体局已完成本年大学生自主创业贷款“贷免扶补”工作任务，共扶持大学毕业创业者10户，发放创业贷款128万元。</w:t>
      </w:r>
    </w:p>
    <w:p>
      <w:pPr>
        <w:spacing w:line="560" w:lineRule="exact"/>
        <w:ind w:firstLine="640" w:firstLineChars="200"/>
        <w:rPr>
          <w:rFonts w:ascii="仿宋" w:hAnsi="仿宋" w:eastAsia="仿宋" w:cs="楷体"/>
          <w:sz w:val="32"/>
          <w:szCs w:val="32"/>
        </w:rPr>
      </w:pPr>
      <w:r>
        <w:rPr>
          <w:rFonts w:hint="eastAsia" w:ascii="仿宋" w:hAnsi="仿宋" w:eastAsia="仿宋" w:cs="楷体"/>
          <w:sz w:val="32"/>
          <w:szCs w:val="32"/>
        </w:rPr>
        <w:t>（6）超越狭隘意识局限，高调作为行事</w:t>
      </w:r>
    </w:p>
    <w:p>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着力构建盘龙区妇女儿童发展的政策环境我们一直认为，如果占据我区总人口三分之二的妇女儿童问题得不到很好的解决，那么构建和谐盘龙也将成为一句空话。因此，区妇女儿童工作委员会必须引导各级各有关单位站在全区发展大局，牢固树立为妇女儿童服务的意识，以强烈的责任感和使命感，把妇女儿童事业发展与本部门工作有机结合起来，把解决妇女儿童工作中存在的突出问题作为一项德政工程、民心工程来抓，为妇女儿童办几件看得见、摸得着的实事和好事，促进妇女儿童事业健康发展。这十年来，区妇儿工委办公室超越狭隘意识局限，高调作为行事，着眼于做大做强妇女儿童工作，积极主动协调参与各成员单位开展的各项与妇女儿童发展有关的活动，合力构建盘龙区妇女儿童发展的政策宣传保障环境。以活动为载体向全社会广泛宣传《盘龙区妇女发展规划(2001-2020)》、《盘龙区儿童发展规划(2001-2020)》、以及《儿童权利公约》、《妇女权益保障法》、《婚姻法》、《中华人民共和国教育法》、《中华人民共和国未成年人保护法》、《中华人民共和国预防未成年人犯罪法》等。特别是抓住“三八”妇女节、“六一”儿童节、计生宣传日等有利时机，以男女平等基本国策、“关注儿童、关心儿童、儿童优先”为主要内容，加大宣传力度，以营造社会共同关心、支持妇女儿童事业发展的良好氛围。据不完全统计:十年来我们区委宣传部、区教体局、区文明办、区科信局、区文旅局、区卫健局、区民政局、区总工会、团区委、区公安分局等单位开展诸如“别样三八”、“同心童愿·圆梦六一”、“最美家庭”、“文明家庭”、“最美庭院、绿色家庭”、“传承好家风好家训”、“防艾、防拐活动”“维权法律宣传周”、“同悦书香·相伴成长”等宣传近百余次;举办各类培训班近百余期;参与各类招聘活动几十起；并配合各部门组织开展分类活动。如为加强儿童基础教育，保证贫困儿童完成九年义务教育，我们妇儿工委办公室连续几年协调各部门在全区开展了较有影响的“春蕾计划”助学活动及“把爱带回家”活动，这些活动的开展得到全区广大党员干部和企业家的积极响应，无论是区级领导，还是普通干部，无论是机关，还是企业，无论是个人还是集体，都积极伸出了援助之手。此举不仅使全区近千名贫困女中、小学生得到资助，而且还使部分优秀女高中生得到了资助。我们还配同区人社局、职业中学开展大规模的培训活动，对辖区再就业女工进行了多个项目的实用技术培训。为了加大“两纲”、“两法”的宣传力度，充分利用新闻媒体，对各部门、各单位开展的各项男女平等国策宣传活动取得的好经验、好做法进行广泛宣传与推介。</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4.组织及管理情况。</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妇女儿童发展规划2011-2020实施中期评估及妇女儿童相关工作经费的使用，根据年初预算和年度工作任务目标、实施方案的内容及标准细化资金使用。在实施方案中，报经主席办公会或党组会集中研究同意后严格按照预算安排使用资金。</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（二）绩效目标。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1.总目标。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坚持男女平等基本国策和儿童优先原则，坚持保障妇女儿童合法权益，坚持共建共享，让广大妇女儿童共享改革发展成果；要坚持“儿童优先”，为儿童创造良好的发展环境；要关爱困境群体，保障困境妇女儿童得到关爱。依据《昆明妇女儿童发展规划（2011-2020年）》发展领域、主要目标和策略措施，组织实施，监测评估五部分。确定了健康、教育、福利、社会环境、法律保护五个发展领域及各领域的主要目标和策略措施，以落实儿童优先原则，保障儿童生存、发展、受保护和参与的权利，缩小儿童发展的城乡区域差距，提升儿童福利水平和身心健康水平，提高儿童整体素质，促进儿童健康、全面发展.</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2.年度目标。</w:t>
      </w:r>
    </w:p>
    <w:p>
      <w:pPr>
        <w:spacing w:line="560" w:lineRule="exact"/>
        <w:ind w:firstLine="640" w:firstLineChars="200"/>
        <w:rPr>
          <w:rFonts w:ascii="仿宋" w:hAnsi="仿宋" w:eastAsia="仿宋"/>
          <w:sz w:val="32"/>
          <w:szCs w:val="32"/>
        </w:rPr>
      </w:pPr>
      <w:r>
        <w:rPr>
          <w:rFonts w:hint="eastAsia" w:ascii="仿宋" w:hAnsi="仿宋" w:eastAsia="仿宋" w:cs="仿宋_GB2312"/>
          <w:bCs/>
          <w:snapToGrid w:val="0"/>
          <w:color w:val="000000" w:themeColor="text1"/>
          <w:sz w:val="32"/>
          <w:szCs w:val="32"/>
        </w:rPr>
        <w:t>持续推进落实家庭儿童工作。</w:t>
      </w:r>
      <w:r>
        <w:rPr>
          <w:rFonts w:hint="eastAsia" w:ascii="仿宋" w:hAnsi="仿宋" w:eastAsia="仿宋" w:cs="仿宋_GB2312"/>
          <w:b/>
          <w:bCs/>
          <w:sz w:val="32"/>
          <w:szCs w:val="32"/>
        </w:rPr>
        <w:t>一是</w:t>
      </w:r>
      <w:r>
        <w:rPr>
          <w:rFonts w:hint="eastAsia" w:ascii="仿宋" w:hAnsi="仿宋" w:eastAsia="仿宋" w:cs="仿宋_GB2312"/>
          <w:sz w:val="32"/>
          <w:szCs w:val="32"/>
        </w:rPr>
        <w:t>听取专题汇报。</w:t>
      </w:r>
      <w:r>
        <w:rPr>
          <w:rFonts w:hint="eastAsia" w:ascii="仿宋" w:hAnsi="仿宋" w:eastAsia="仿宋"/>
          <w:sz w:val="32"/>
          <w:szCs w:val="32"/>
        </w:rPr>
        <w:t>区政府分管领导听取了区妇儿工委办公室关于实施两个规划工作进展专题情况汇报，</w:t>
      </w:r>
      <w:r>
        <w:rPr>
          <w:rFonts w:hint="eastAsia" w:ascii="仿宋" w:hAnsi="仿宋" w:eastAsia="仿宋" w:cs="仿宋_GB2312"/>
          <w:sz w:val="32"/>
          <w:szCs w:val="32"/>
        </w:rPr>
        <w:t>并就“儿童之家”创建工作的责任落实进行统筹，理顺了工作关系。</w:t>
      </w:r>
      <w:r>
        <w:rPr>
          <w:rFonts w:hint="eastAsia" w:ascii="仿宋" w:hAnsi="仿宋" w:eastAsia="仿宋" w:cs="仿宋_GB2312"/>
          <w:b/>
          <w:bCs/>
          <w:sz w:val="32"/>
          <w:szCs w:val="32"/>
        </w:rPr>
        <w:t>二是</w:t>
      </w:r>
      <w:r>
        <w:rPr>
          <w:rFonts w:hint="eastAsia" w:ascii="仿宋" w:hAnsi="仿宋" w:eastAsia="仿宋"/>
          <w:sz w:val="32"/>
          <w:szCs w:val="32"/>
        </w:rPr>
        <w:t>区妇儿工委办公室积极组织开展“儿童之家”创建工作，通过实地查看，发放调查表广泛收集情况等方式，对盘龙区儿童之家的布点、建设、活动开展中存在的问题等进行了调研，并及时将创建启动经费拨付至各街道，目前，已创建区级儿童之家20个，完成创建任务。</w:t>
      </w:r>
      <w:r>
        <w:rPr>
          <w:rFonts w:hint="eastAsia" w:ascii="仿宋" w:hAnsi="仿宋" w:eastAsia="仿宋"/>
          <w:b/>
          <w:bCs/>
          <w:sz w:val="32"/>
          <w:szCs w:val="32"/>
        </w:rPr>
        <w:t>三</w:t>
      </w:r>
      <w:r>
        <w:rPr>
          <w:rFonts w:hint="eastAsia" w:ascii="仿宋" w:hAnsi="仿宋" w:eastAsia="仿宋" w:cs="仿宋_GB2312"/>
          <w:b/>
          <w:bCs/>
          <w:snapToGrid w:val="0"/>
          <w:color w:val="000000" w:themeColor="text1"/>
          <w:sz w:val="32"/>
          <w:szCs w:val="32"/>
        </w:rPr>
        <w:t>是</w:t>
      </w:r>
      <w:r>
        <w:rPr>
          <w:rFonts w:hint="eastAsia" w:ascii="仿宋" w:hAnsi="仿宋" w:eastAsia="仿宋" w:cs="仿宋_GB2312"/>
          <w:sz w:val="32"/>
          <w:szCs w:val="32"/>
        </w:rPr>
        <w:t>按照《</w:t>
      </w:r>
      <w:r>
        <w:rPr>
          <w:rFonts w:hint="eastAsia" w:ascii="仿宋" w:hAnsi="仿宋" w:eastAsia="仿宋" w:cs="仿宋_GB2312"/>
          <w:bCs/>
          <w:snapToGrid w:val="0"/>
          <w:color w:val="000000" w:themeColor="text1"/>
          <w:sz w:val="32"/>
          <w:szCs w:val="32"/>
        </w:rPr>
        <w:t>盘龙区妇联2020年社区家长学校星级创评计划</w:t>
      </w:r>
      <w:r>
        <w:rPr>
          <w:rFonts w:hint="eastAsia" w:ascii="仿宋" w:hAnsi="仿宋" w:eastAsia="仿宋" w:cs="仿宋_GB2312"/>
          <w:sz w:val="32"/>
          <w:szCs w:val="32"/>
        </w:rPr>
        <w:t>》有序推进“社区家长学校”星级管理创评工作。</w:t>
      </w:r>
      <w:r>
        <w:rPr>
          <w:rFonts w:hint="eastAsia" w:ascii="仿宋" w:hAnsi="仿宋" w:eastAsia="仿宋" w:cs="仿宋_GB2312"/>
          <w:b/>
          <w:snapToGrid w:val="0"/>
          <w:color w:val="000000" w:themeColor="text1"/>
          <w:sz w:val="32"/>
          <w:szCs w:val="32"/>
        </w:rPr>
        <w:t>四是</w:t>
      </w:r>
      <w:r>
        <w:rPr>
          <w:rFonts w:hint="eastAsia" w:ascii="仿宋" w:hAnsi="仿宋" w:eastAsia="仿宋" w:cs="仿宋_GB2312"/>
          <w:bCs/>
          <w:snapToGrid w:val="0"/>
          <w:color w:val="000000" w:themeColor="text1"/>
          <w:sz w:val="32"/>
          <w:szCs w:val="32"/>
        </w:rPr>
        <w:t>召开妇儿工委全会，与各单位签订目标责任书，全力推进《两规》各项指标如期完成。</w:t>
      </w:r>
      <w:r>
        <w:rPr>
          <w:rFonts w:hint="eastAsia" w:ascii="仿宋" w:hAnsi="仿宋" w:eastAsia="仿宋" w:cs="仿宋_GB2312"/>
          <w:b/>
          <w:snapToGrid w:val="0"/>
          <w:color w:val="000000" w:themeColor="text1"/>
          <w:sz w:val="32"/>
          <w:szCs w:val="32"/>
        </w:rPr>
        <w:t>五是</w:t>
      </w:r>
      <w:r>
        <w:rPr>
          <w:rFonts w:hint="eastAsia" w:ascii="仿宋" w:hAnsi="仿宋" w:eastAsia="仿宋" w:cs="仿宋_GB2312"/>
          <w:bCs/>
          <w:snapToGrid w:val="0"/>
          <w:color w:val="000000" w:themeColor="text1"/>
          <w:sz w:val="32"/>
          <w:szCs w:val="32"/>
        </w:rPr>
        <w:t>组织各街道、社区以“社区家长学校”“妇女之家”、“儿童之家”及“巾帼维权岗”为依托，开展家庭教育专题讲座42场，150人以上的家庭教育专题讲座5场。</w:t>
      </w:r>
      <w:r>
        <w:rPr>
          <w:rFonts w:hint="eastAsia" w:ascii="仿宋" w:hAnsi="仿宋" w:eastAsia="仿宋"/>
          <w:sz w:val="32"/>
          <w:szCs w:val="32"/>
        </w:rPr>
        <w:t>开展以“</w:t>
      </w:r>
      <w:r>
        <w:rPr>
          <w:rFonts w:hint="eastAsia" w:ascii="仿宋" w:hAnsi="仿宋" w:eastAsia="仿宋" w:cs="仿宋_GB2312"/>
          <w:sz w:val="32"/>
          <w:szCs w:val="32"/>
        </w:rPr>
        <w:t>男女平等基本国策与家庭责任”等为主题的宣讲活动，共开展150人以上的大型讲座</w:t>
      </w:r>
      <w:r>
        <w:rPr>
          <w:rFonts w:hint="eastAsia" w:ascii="仿宋" w:hAnsi="仿宋" w:eastAsia="仿宋"/>
          <w:sz w:val="32"/>
          <w:szCs w:val="32"/>
        </w:rPr>
        <w:t>3场。</w:t>
      </w:r>
      <w:r>
        <w:rPr>
          <w:rFonts w:hint="eastAsia" w:ascii="仿宋" w:hAnsi="仿宋" w:eastAsia="仿宋" w:cs="仿宋_GB2312"/>
          <w:b/>
          <w:snapToGrid w:val="0"/>
          <w:color w:val="000000" w:themeColor="text1"/>
          <w:sz w:val="32"/>
          <w:szCs w:val="32"/>
        </w:rPr>
        <w:t>六</w:t>
      </w:r>
      <w:r>
        <w:rPr>
          <w:rFonts w:hint="eastAsia" w:ascii="仿宋" w:hAnsi="仿宋" w:eastAsia="仿宋"/>
          <w:b/>
          <w:bCs/>
          <w:sz w:val="32"/>
          <w:szCs w:val="32"/>
        </w:rPr>
        <w:t>是</w:t>
      </w:r>
      <w:r>
        <w:rPr>
          <w:rFonts w:hint="eastAsia" w:ascii="仿宋" w:hAnsi="仿宋" w:eastAsia="仿宋" w:cs="仿宋_GB2312"/>
          <w:bCs/>
          <w:snapToGrid w:val="0"/>
          <w:color w:val="000000" w:themeColor="text1"/>
          <w:sz w:val="32"/>
          <w:szCs w:val="32"/>
        </w:rPr>
        <w:t>组织实施区级“社区儿童保护体系示范项目”，区妇儿工委办公室通过采取政府购买社会服务方式，在盘龙区拓东街道尚义社区、鼓楼街道桃源社区、东华街道文艺路社区、茨坝街道兰龙潭社区、金辰街道任旗营社区、青云街道云山社区等6个社区“儿童之家”开展“社区儿童保护体系示范项目”，遴选</w:t>
      </w:r>
      <w:r>
        <w:rPr>
          <w:rFonts w:hint="eastAsia" w:ascii="仿宋" w:hAnsi="仿宋" w:eastAsia="仿宋"/>
          <w:sz w:val="32"/>
          <w:szCs w:val="32"/>
        </w:rPr>
        <w:t>昆明悦行儿童发展中心、昆明力行儿童发展支持中心负责落地实施，开展活动125场，受益儿童及家长3200余人次</w:t>
      </w:r>
      <w:r>
        <w:rPr>
          <w:rFonts w:hint="eastAsia" w:ascii="仿宋" w:hAnsi="仿宋" w:eastAsia="仿宋" w:cs="仿宋_GB2312"/>
          <w:bCs/>
          <w:snapToGrid w:val="0"/>
          <w:color w:val="000000" w:themeColor="text1"/>
          <w:sz w:val="32"/>
          <w:szCs w:val="32"/>
        </w:rPr>
        <w:t>。</w:t>
      </w:r>
      <w:r>
        <w:rPr>
          <w:rFonts w:hint="eastAsia" w:ascii="仿宋" w:hAnsi="仿宋" w:eastAsia="仿宋"/>
          <w:b/>
          <w:bCs/>
          <w:sz w:val="32"/>
          <w:szCs w:val="32"/>
        </w:rPr>
        <w:t>七是</w:t>
      </w:r>
      <w:r>
        <w:rPr>
          <w:rFonts w:hint="eastAsia" w:ascii="仿宋" w:hAnsi="仿宋" w:eastAsia="仿宋"/>
          <w:sz w:val="32"/>
          <w:szCs w:val="32"/>
        </w:rPr>
        <w:t>积极推进“母爱十平方”项目实施，2020年创建“母爱十平方”3个，截止目前，全区共创建14个。</w:t>
      </w:r>
      <w:r>
        <w:rPr>
          <w:rFonts w:hint="eastAsia" w:ascii="仿宋" w:hAnsi="仿宋" w:eastAsia="仿宋"/>
          <w:b/>
          <w:bCs/>
          <w:sz w:val="32"/>
          <w:szCs w:val="32"/>
        </w:rPr>
        <w:t>八是</w:t>
      </w:r>
      <w:r>
        <w:rPr>
          <w:rFonts w:hint="eastAsia" w:ascii="仿宋" w:hAnsi="仿宋" w:eastAsia="仿宋" w:cs="仿宋_GB2312"/>
          <w:sz w:val="32"/>
          <w:szCs w:val="32"/>
        </w:rPr>
        <w:t>评选区级“最美家庭”50户，申报市级最美家庭21户，并积极组织街道、社区开展好家风、好家训巡讲活动32场。</w:t>
      </w:r>
      <w:r>
        <w:rPr>
          <w:rFonts w:hint="eastAsia" w:ascii="仿宋" w:hAnsi="仿宋" w:eastAsia="仿宋" w:cs="仿宋_GB2312"/>
          <w:b/>
          <w:snapToGrid w:val="0"/>
          <w:color w:val="000000" w:themeColor="text1"/>
          <w:sz w:val="32"/>
          <w:szCs w:val="32"/>
        </w:rPr>
        <w:t>九是</w:t>
      </w:r>
      <w:r>
        <w:rPr>
          <w:rFonts w:hint="eastAsia" w:ascii="仿宋" w:hAnsi="仿宋" w:eastAsia="仿宋"/>
          <w:sz w:val="32"/>
          <w:szCs w:val="32"/>
        </w:rPr>
        <w:t>区妇儿工委积极调动社会爱心企业免费为水源区适龄妇女开展妇女“生殖健康”普查工作，共有642余名妇女参与了普查活动</w:t>
      </w:r>
      <w:r>
        <w:rPr>
          <w:rFonts w:hint="eastAsia" w:ascii="仿宋" w:hAnsi="仿宋" w:eastAsia="仿宋"/>
          <w:color w:val="000000" w:themeColor="text1"/>
          <w:sz w:val="32"/>
          <w:szCs w:val="32"/>
        </w:rPr>
        <w:t>。</w:t>
      </w:r>
      <w:r>
        <w:rPr>
          <w:rFonts w:hint="eastAsia" w:ascii="仿宋" w:hAnsi="仿宋" w:eastAsia="仿宋" w:cs="仿宋_GB2312"/>
          <w:b/>
          <w:snapToGrid w:val="0"/>
          <w:color w:val="000000" w:themeColor="text1"/>
          <w:sz w:val="32"/>
          <w:szCs w:val="32"/>
        </w:rPr>
        <w:t>十是</w:t>
      </w:r>
      <w:r>
        <w:rPr>
          <w:rFonts w:hint="eastAsia" w:ascii="仿宋" w:hAnsi="仿宋" w:eastAsia="仿宋" w:cs="仿宋_GB2312"/>
          <w:bCs/>
          <w:snapToGrid w:val="0"/>
          <w:color w:val="000000" w:themeColor="text1"/>
          <w:sz w:val="32"/>
          <w:szCs w:val="32"/>
        </w:rPr>
        <w:t>在母亲节对61名贫困母亲一对一慰问，提升孝母感恩的良好道德风尚。在国际儿童节慰问留守、流动、贫困、特殊儿童共230名，为孩子们带去了米、油、书包、文具、书籍等慰问物资。</w:t>
      </w:r>
      <w:r>
        <w:rPr>
          <w:rFonts w:hint="eastAsia" w:ascii="仿宋" w:hAnsi="仿宋" w:eastAsia="仿宋" w:cs="仿宋_GB2312"/>
          <w:b/>
          <w:snapToGrid w:val="0"/>
          <w:color w:val="000000" w:themeColor="text1"/>
          <w:sz w:val="32"/>
          <w:szCs w:val="32"/>
        </w:rPr>
        <w:t>十一是</w:t>
      </w:r>
      <w:r>
        <w:rPr>
          <w:rFonts w:hint="eastAsia" w:ascii="仿宋" w:hAnsi="仿宋" w:eastAsia="仿宋" w:cs="仿宋_GB2312"/>
          <w:bCs/>
          <w:snapToGrid w:val="0"/>
          <w:color w:val="000000" w:themeColor="text1"/>
          <w:sz w:val="32"/>
          <w:szCs w:val="32"/>
        </w:rPr>
        <w:t>制定下发了《</w:t>
      </w:r>
      <w:bookmarkStart w:id="0" w:name="_Hlk7565750"/>
      <w:bookmarkStart w:id="1" w:name="_Hlk7602989"/>
      <w:bookmarkStart w:id="2" w:name="_Hlk7592835"/>
      <w:r>
        <w:rPr>
          <w:rFonts w:hint="eastAsia" w:ascii="仿宋" w:hAnsi="仿宋" w:eastAsia="仿宋" w:cs="仿宋_GB2312"/>
          <w:bCs/>
          <w:snapToGrid w:val="0"/>
          <w:color w:val="000000" w:themeColor="text1"/>
          <w:sz w:val="32"/>
          <w:szCs w:val="32"/>
        </w:rPr>
        <w:t>盘龙区开展义务教育阶段辍学失学儿童</w:t>
      </w:r>
      <w:bookmarkEnd w:id="0"/>
      <w:bookmarkEnd w:id="1"/>
      <w:r>
        <w:rPr>
          <w:rFonts w:hint="eastAsia" w:ascii="仿宋" w:hAnsi="仿宋" w:eastAsia="仿宋" w:cs="仿宋_GB2312"/>
          <w:bCs/>
          <w:snapToGrid w:val="0"/>
          <w:color w:val="000000" w:themeColor="text1"/>
          <w:sz w:val="32"/>
          <w:szCs w:val="32"/>
        </w:rPr>
        <w:t>统计核实工作</w:t>
      </w:r>
      <w:bookmarkEnd w:id="2"/>
      <w:r>
        <w:rPr>
          <w:rFonts w:hint="eastAsia" w:ascii="仿宋" w:hAnsi="仿宋" w:eastAsia="仿宋" w:cs="仿宋_GB2312"/>
          <w:bCs/>
          <w:snapToGrid w:val="0"/>
          <w:color w:val="000000" w:themeColor="text1"/>
          <w:sz w:val="32"/>
          <w:szCs w:val="32"/>
        </w:rPr>
        <w:t>的通知》、《关于开展2020年盘龙区义务教育阶段辍学失学儿童统计核实工作的方案》，有计划、有步骤、有重点地推进“保学控辍”工作。</w:t>
      </w:r>
    </w:p>
    <w:p>
      <w:pPr>
        <w:topLinePunct/>
        <w:spacing w:line="560" w:lineRule="exact"/>
        <w:ind w:firstLine="800" w:firstLineChars="250"/>
        <w:rPr>
          <w:rFonts w:ascii="黑体" w:hAnsi="黑体" w:eastAsia="黑体"/>
          <w:sz w:val="32"/>
          <w:szCs w:val="32"/>
        </w:rPr>
      </w:pPr>
      <w:r>
        <w:rPr>
          <w:rFonts w:hint="eastAsia" w:ascii="黑体" w:hAnsi="黑体" w:eastAsia="黑体"/>
          <w:sz w:val="32"/>
          <w:szCs w:val="32"/>
        </w:rPr>
        <w:t>二、绩效评价工作情况</w:t>
      </w:r>
    </w:p>
    <w:p>
      <w:pPr>
        <w:topLinePunct/>
        <w:spacing w:line="560" w:lineRule="exact"/>
        <w:ind w:firstLine="800" w:firstLineChars="250"/>
        <w:rPr>
          <w:rFonts w:ascii="楷体" w:hAnsi="楷体" w:eastAsia="楷体"/>
          <w:sz w:val="32"/>
          <w:szCs w:val="32"/>
        </w:rPr>
      </w:pPr>
      <w:r>
        <w:rPr>
          <w:rFonts w:hint="eastAsia" w:ascii="楷体" w:hAnsi="楷体" w:eastAsia="楷体"/>
          <w:sz w:val="32"/>
          <w:szCs w:val="32"/>
        </w:rPr>
        <w:t>（一）绩效评价目的。</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通过项目资金收支情况、绩效目标设置情况、资金使用情况、资金管理情况、取得成效情况进行自评，了解资金使用是否达到了预期目标、资金管理是否规范、资金使用是否有效，检验资金支出效率和效果，分析存在问题及原因，及时总结经验，改进管理措施，不断增强和落实管理责任，完善工作机制，有效提高资金管理水平和使用效益。</w:t>
      </w:r>
    </w:p>
    <w:p>
      <w:pPr>
        <w:topLinePunct/>
        <w:spacing w:line="560" w:lineRule="exact"/>
        <w:ind w:firstLine="800" w:firstLineChars="250"/>
        <w:rPr>
          <w:rFonts w:ascii="楷体" w:hAnsi="楷体" w:eastAsia="楷体"/>
          <w:sz w:val="32"/>
          <w:szCs w:val="32"/>
        </w:rPr>
      </w:pPr>
      <w:r>
        <w:rPr>
          <w:rFonts w:hint="eastAsia" w:ascii="楷体" w:hAnsi="楷体" w:eastAsia="楷体"/>
          <w:sz w:val="32"/>
          <w:szCs w:val="32"/>
        </w:rPr>
        <w:t>（二）绩效评价工作方案制定过程。</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1.前期调研。</w:t>
      </w:r>
    </w:p>
    <w:p>
      <w:pPr>
        <w:topLinePunct/>
        <w:spacing w:line="560" w:lineRule="exact"/>
        <w:ind w:firstLine="790" w:firstLineChars="250"/>
        <w:rPr>
          <w:rFonts w:ascii="仿宋" w:hAnsi="仿宋" w:eastAsia="仿宋"/>
          <w:caps/>
          <w:color w:val="000000"/>
          <w:w w:val="99"/>
          <w:sz w:val="32"/>
          <w:szCs w:val="32"/>
        </w:rPr>
      </w:pPr>
      <w:r>
        <w:rPr>
          <w:rFonts w:hint="eastAsia" w:ascii="仿宋" w:hAnsi="仿宋" w:eastAsia="仿宋"/>
          <w:caps/>
          <w:color w:val="000000"/>
          <w:w w:val="99"/>
          <w:sz w:val="32"/>
          <w:szCs w:val="32"/>
        </w:rPr>
        <w:t>区妇联对绩效评价工作高度重视，根据《</w:t>
      </w:r>
      <w:r>
        <w:rPr>
          <w:rFonts w:hint="eastAsia" w:ascii="仿宋" w:hAnsi="仿宋" w:eastAsia="仿宋"/>
          <w:sz w:val="32"/>
          <w:szCs w:val="32"/>
        </w:rPr>
        <w:t>昆明市盘龙区财政局关于开展2020年度区级预算支出绩效自评工作的通知》</w:t>
      </w:r>
      <w:r>
        <w:rPr>
          <w:rFonts w:hint="eastAsia" w:ascii="仿宋" w:hAnsi="仿宋" w:eastAsia="仿宋"/>
          <w:color w:val="000000" w:themeColor="text1"/>
          <w:sz w:val="32"/>
          <w:szCs w:val="32"/>
        </w:rPr>
        <w:t xml:space="preserve">盘财绩〔2021〕1号 ) </w:t>
      </w:r>
      <w:r>
        <w:rPr>
          <w:rFonts w:hint="eastAsia" w:ascii="仿宋" w:hAnsi="仿宋" w:eastAsia="仿宋"/>
          <w:sz w:val="32"/>
          <w:szCs w:val="32"/>
        </w:rPr>
        <w:t>的要求</w:t>
      </w:r>
      <w:r>
        <w:rPr>
          <w:rFonts w:hint="eastAsia" w:ascii="仿宋" w:hAnsi="仿宋" w:eastAsia="仿宋"/>
          <w:caps/>
          <w:color w:val="000000" w:themeColor="text1"/>
          <w:w w:val="99"/>
          <w:sz w:val="32"/>
          <w:szCs w:val="32"/>
        </w:rPr>
        <w:t>，召开专题会议对做好部门支出绩效自评</w:t>
      </w:r>
      <w:r>
        <w:rPr>
          <w:rFonts w:hint="eastAsia" w:ascii="仿宋" w:hAnsi="仿宋" w:eastAsia="仿宋"/>
          <w:caps/>
          <w:color w:val="000000"/>
          <w:w w:val="99"/>
          <w:sz w:val="32"/>
          <w:szCs w:val="32"/>
        </w:rPr>
        <w:t>工作进行了研究和部署，并成立了分管副主席为组长的绩效管理工作领导小组，明确由区妇联办公室牵头，各业务部门配合，按照通知要求认真做好绩效评价各项工作，在规定时限内完成绩效评价工作任务。</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2.研究文件。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《〈昆明妇女儿童发展规划（2011-2020年〉工作考核办法的通知》（昆妇儿工委〔2014〕6号）；昆妇儿工委办〔2014〕2号关于做好昆明市进一步推进 “母爱10平方”项目工作的通知；昆妇儿工委办〔2016〕8号关于进一步完善两规监测统计评估工作的通知；《盘龙儿童发展规划（2011-2020年）》和《盘龙妇女发展规划（2011-2020年）》。</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3.绩效评价指标体系及工作方案的设计。</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 区妇儿工委办公室</w:t>
      </w:r>
      <w:r>
        <w:rPr>
          <w:rFonts w:ascii="仿宋" w:hAnsi="仿宋" w:eastAsia="仿宋"/>
          <w:sz w:val="32"/>
          <w:szCs w:val="32"/>
        </w:rPr>
        <w:t>通过听取汇报、查看资料、现场考察、与相关</w:t>
      </w:r>
      <w:r>
        <w:rPr>
          <w:rFonts w:hint="eastAsia" w:ascii="仿宋" w:hAnsi="仿宋" w:eastAsia="仿宋"/>
          <w:sz w:val="32"/>
          <w:szCs w:val="32"/>
        </w:rPr>
        <w:t>成员单位</w:t>
      </w:r>
      <w:r>
        <w:rPr>
          <w:rFonts w:ascii="仿宋" w:hAnsi="仿宋" w:eastAsia="仿宋"/>
          <w:sz w:val="32"/>
          <w:szCs w:val="32"/>
        </w:rPr>
        <w:t>座谈、信息反馈等方式进行，通过督导协助解决实际困难和问题，了解和掌握项目点的运行情况，提出建议，改进工作。协调</w:t>
      </w:r>
      <w:r>
        <w:rPr>
          <w:rFonts w:hint="eastAsia" w:ascii="仿宋" w:hAnsi="仿宋" w:eastAsia="仿宋"/>
          <w:sz w:val="32"/>
          <w:szCs w:val="32"/>
        </w:rPr>
        <w:t>各成员单位</w:t>
      </w:r>
      <w:r>
        <w:rPr>
          <w:rFonts w:ascii="仿宋" w:hAnsi="仿宋" w:eastAsia="仿宋"/>
          <w:sz w:val="32"/>
          <w:szCs w:val="32"/>
        </w:rPr>
        <w:t>对项目进行支持，推动项目的可持续发展。</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区妇联严格按照要求积极开展部门支出绩效自评工作，成立绩效管理领导小组，组织各业务科室及业务人员学习相关文件精神。立足工作实际和特点，根据工作任务、职能职责、预算管理相关制度、部门预（决）算情况、年度履职绩效目标，制定了《盘龙区妇联整体支出绩效自评指标体系评分表》，结合区委区政府和市妇联的年度工作考核情况，对绩效目标设置是否科学、预算执行是否有效、预算目标是否完成、支出效益是否明显进行了认真分析评价，形成了绩效自评报告</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（三）绩效评价原则、评价方法</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1.绩效评价原则。</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按照科学规范、公开公正、绩效相结合原则。</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2.绩效评价方法。</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平时考核和年终考核相结合。</w:t>
      </w:r>
    </w:p>
    <w:p>
      <w:pPr>
        <w:topLinePunct/>
        <w:spacing w:line="560" w:lineRule="exact"/>
        <w:ind w:firstLine="480" w:firstLineChars="150"/>
        <w:rPr>
          <w:rFonts w:ascii="仿宋" w:hAnsi="仿宋" w:eastAsia="仿宋"/>
          <w:sz w:val="32"/>
          <w:szCs w:val="32"/>
        </w:rPr>
      </w:pPr>
      <w:r>
        <w:rPr>
          <w:rFonts w:hint="eastAsia" w:ascii="仿宋" w:hAnsi="仿宋" w:eastAsia="仿宋"/>
          <w:sz w:val="32"/>
          <w:szCs w:val="32"/>
        </w:rPr>
        <w:t>（四）绩效评价实施过程</w:t>
      </w:r>
    </w:p>
    <w:p>
      <w:pPr>
        <w:spacing w:line="560" w:lineRule="exact"/>
        <w:ind w:left="1" w:firstLine="640" w:firstLineChars="200"/>
        <w:jc w:val="left"/>
        <w:rPr>
          <w:rFonts w:ascii="仿宋" w:hAnsi="仿宋" w:eastAsia="仿宋"/>
          <w:color w:val="000000"/>
          <w:sz w:val="32"/>
          <w:szCs w:val="32"/>
        </w:rPr>
      </w:pPr>
      <w:r>
        <w:rPr>
          <w:rFonts w:hint="eastAsia" w:ascii="仿宋" w:hAnsi="仿宋" w:eastAsia="仿宋"/>
          <w:color w:val="000000"/>
          <w:sz w:val="32"/>
          <w:szCs w:val="32"/>
        </w:rPr>
        <w:t>1、前期准备：</w:t>
      </w:r>
      <w:r>
        <w:rPr>
          <w:rFonts w:hint="eastAsia" w:ascii="仿宋" w:hAnsi="仿宋" w:eastAsia="仿宋"/>
          <w:sz w:val="32"/>
          <w:szCs w:val="32"/>
        </w:rPr>
        <w:t>区妇联</w:t>
      </w:r>
      <w:r>
        <w:rPr>
          <w:rFonts w:hint="eastAsia" w:ascii="仿宋" w:hAnsi="仿宋" w:eastAsia="仿宋"/>
          <w:color w:val="000000"/>
          <w:sz w:val="32"/>
          <w:szCs w:val="32"/>
        </w:rPr>
        <w:t>将项目绩效评价工作作为一项重要工作组织落实，认真学习省、市、区绩效评价相关文件精神，积极参加区财政局举办的绩效评价培训，为扎实抓好绩效评价工作夯实理论基础。</w:t>
      </w:r>
    </w:p>
    <w:p>
      <w:pPr>
        <w:spacing w:line="560" w:lineRule="exact"/>
        <w:ind w:left="1" w:firstLine="640" w:firstLineChars="200"/>
        <w:jc w:val="left"/>
        <w:rPr>
          <w:rFonts w:ascii="仿宋" w:hAnsi="仿宋" w:eastAsia="仿宋"/>
          <w:color w:val="000000"/>
          <w:szCs w:val="21"/>
        </w:rPr>
      </w:pPr>
      <w:r>
        <w:rPr>
          <w:rFonts w:hint="eastAsia" w:ascii="仿宋" w:hAnsi="仿宋" w:eastAsia="仿宋"/>
          <w:color w:val="000000"/>
          <w:sz w:val="32"/>
          <w:szCs w:val="32"/>
        </w:rPr>
        <w:t>2、组织实施：一是结合工作职责提出年度主要工作内容和总体目标；二是将年度项目目标任务进行分解和细化，提出预期实现的效益；三是加强绩效督查和跟踪管理，半年和年底按照财政部门的安排和部署对</w:t>
      </w:r>
      <w:r>
        <w:rPr>
          <w:rFonts w:hint="eastAsia" w:ascii="仿宋" w:hAnsi="仿宋" w:eastAsia="仿宋"/>
          <w:sz w:val="32"/>
          <w:szCs w:val="32"/>
        </w:rPr>
        <w:t>妇联</w:t>
      </w:r>
      <w:r>
        <w:rPr>
          <w:rFonts w:hint="eastAsia" w:ascii="仿宋" w:hAnsi="仿宋" w:eastAsia="仿宋"/>
          <w:color w:val="000000"/>
          <w:sz w:val="32"/>
          <w:szCs w:val="32"/>
        </w:rPr>
        <w:t>项目支出绩效自评指标主项进行自评，按要求写出绩效评价报告。</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（五）本次绩效评价的局限性。</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sz w:val="32"/>
          <w:szCs w:val="32"/>
        </w:rPr>
        <w:t>1.</w:t>
      </w:r>
      <w:r>
        <w:rPr>
          <w:rFonts w:hint="eastAsia" w:ascii="仿宋" w:hAnsi="仿宋" w:eastAsia="仿宋"/>
          <w:color w:val="000000" w:themeColor="text1"/>
          <w:sz w:val="32"/>
          <w:szCs w:val="32"/>
        </w:rPr>
        <w:t>实施的效果丰富性上有差异，经费使用上还存在不科学的情况。</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2.受实际工作安排影响，项目实际支出进度与年初预算中项目支出进度要求存在一定差距。</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三、评价结论和绩效分析</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（一）评价结论。</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评价结果</w:t>
      </w:r>
    </w:p>
    <w:p>
      <w:pPr>
        <w:widowControl/>
        <w:spacing w:line="560" w:lineRule="exact"/>
        <w:ind w:firstLine="640" w:firstLineChars="200"/>
        <w:jc w:val="left"/>
        <w:rPr>
          <w:rFonts w:ascii="仿宋" w:hAnsi="仿宋" w:eastAsia="仿宋" w:cs="仿宋_GB2312"/>
          <w:color w:val="000000" w:themeColor="text1"/>
          <w:sz w:val="32"/>
          <w:szCs w:val="32"/>
          <w:lang w:val="zh-CN" w:bidi="th-TH"/>
        </w:rPr>
      </w:pPr>
      <w:r>
        <w:rPr>
          <w:rFonts w:hint="eastAsia" w:ascii="仿宋" w:hAnsi="仿宋" w:eastAsia="仿宋" w:cs="仿宋_GB2312"/>
          <w:color w:val="000000" w:themeColor="text1"/>
          <w:sz w:val="32"/>
          <w:szCs w:val="32"/>
          <w:lang w:val="zh-CN" w:bidi="th-TH"/>
        </w:rPr>
        <w:t>盘龙区妇联</w:t>
      </w:r>
      <w:r>
        <w:rPr>
          <w:rFonts w:hint="eastAsia" w:ascii="仿宋" w:hAnsi="仿宋" w:eastAsia="仿宋"/>
          <w:sz w:val="32"/>
          <w:szCs w:val="32"/>
        </w:rPr>
        <w:t>妇女儿童发展规划2011-2020实施中期评估及妇女儿童相关工作经费</w:t>
      </w:r>
      <w:r>
        <w:rPr>
          <w:rFonts w:hint="eastAsia" w:ascii="仿宋" w:hAnsi="仿宋" w:eastAsia="仿宋" w:cs="仿宋_GB2312"/>
          <w:color w:val="000000" w:themeColor="text1"/>
          <w:sz w:val="32"/>
          <w:szCs w:val="32"/>
          <w:lang w:val="zh-CN" w:bidi="th-TH"/>
        </w:rPr>
        <w:t>绩效目标完成情况良好。</w:t>
      </w:r>
    </w:p>
    <w:p>
      <w:pPr>
        <w:widowControl/>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（二）具体绩效分析。</w:t>
      </w:r>
    </w:p>
    <w:p>
      <w:pPr>
        <w:widowControl/>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kern w:val="0"/>
          <w:sz w:val="32"/>
          <w:szCs w:val="32"/>
        </w:rPr>
        <w:t>区妇联组织工作对照区委区政府确定的工作任务, 省、市妇联下达的工作任务和2020年度区目标责任单位主</w:t>
      </w:r>
      <w:r>
        <w:rPr>
          <w:rFonts w:hint="eastAsia" w:ascii="仿宋" w:hAnsi="仿宋" w:eastAsia="仿宋"/>
          <w:color w:val="000000" w:themeColor="text1"/>
          <w:sz w:val="32"/>
          <w:szCs w:val="32"/>
        </w:rPr>
        <w:t>要工作目标，细化分解任务，落实到分管领导和责任人，</w:t>
      </w:r>
      <w:r>
        <w:rPr>
          <w:rFonts w:hint="eastAsia" w:ascii="仿宋" w:hAnsi="仿宋" w:eastAsia="仿宋"/>
          <w:bCs/>
          <w:kern w:val="32"/>
          <w:sz w:val="32"/>
          <w:szCs w:val="30"/>
        </w:rPr>
        <w:t>广泛深入地宣传妇女工作和保障妇女权益的法律法规，调动社会各方面的力量，齐抓共管，加大力度，切实将妇女工作落到实处。</w:t>
      </w:r>
      <w:r>
        <w:rPr>
          <w:rFonts w:hint="eastAsia" w:ascii="仿宋" w:hAnsi="仿宋" w:eastAsia="仿宋"/>
          <w:color w:val="000000" w:themeColor="text1"/>
          <w:sz w:val="32"/>
          <w:szCs w:val="32"/>
        </w:rPr>
        <w:t>以落实儿童优先原则，保障儿童生存、发展、受保护和参与的权利，缩小儿童发展的城乡区域差距，提升儿童福利水平和身心健康水平，提高妇女儿童整体素质，促进妇女儿童健康、全面发展。</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四、成本效益分析</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项目有节支增效的改进措施。严格按照《昆明市妇联财务管理办法》执行，建立项目资金管理制度、工作项目执行情况通报制度、信息报送、加强研究与探索，使项目资金运行更为节约和有效，加强项目管理,安排使用和专项经费,严格执行目管理制度。</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项目有规范的内控机制。年初有计划，年中有检查，年底有考核，通过严格的考核机制推动项目规范化 。加强项目管理,安排使用专项经费,严格执行项目管理制度.加强经费使用管理，专款专用，高效合理的安排资金使用好专项资金，严格执行项目管理制度和财务管理制度。</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项目有达到标准的质量管理水平。制定项目后续管理办法，严格执行财经纪律和财务制度，专款专用，加强经费使用管理，确保项目充分发挥效效做好对账、报账工作，接受财政局相关科室审核，同时由部门负责人做好监督，探索建立“建、管、用”长效机制。</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五、主要经验及做法、存在的问题和建议</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（一）主要经验及做法；</w:t>
      </w:r>
    </w:p>
    <w:p>
      <w:pPr>
        <w:topLinePunct/>
        <w:spacing w:line="560" w:lineRule="exact"/>
        <w:ind w:firstLine="800" w:firstLineChars="250"/>
        <w:jc w:val="left"/>
        <w:rPr>
          <w:rFonts w:ascii="仿宋" w:hAnsi="仿宋" w:eastAsia="仿宋"/>
          <w:color w:val="000000" w:themeColor="text1"/>
          <w:sz w:val="32"/>
          <w:szCs w:val="32"/>
        </w:rPr>
      </w:pPr>
      <w:r>
        <w:rPr>
          <w:rFonts w:hint="eastAsia" w:ascii="仿宋" w:hAnsi="仿宋" w:eastAsia="仿宋"/>
          <w:color w:val="000000" w:themeColor="text1"/>
          <w:sz w:val="32"/>
          <w:szCs w:val="32"/>
        </w:rPr>
        <w:t>根据年度内可预见的组织工作任务，确定单位年度预算目标，细化预算指标,科学合理编制预算，推进预算编制科学化、准确化。年度预算编制后，加强预算执行管理，根据实际情况，定期做好预算执行分析，掌握预算执行进度，及时找出预算实际执行情况与预算目标之间存在的差异，采取有效措施纠正偏差，提高预算执行时效性和均衡性，提高预算支出执行效率，同时为下次科学、准确编制组织工作预算提供经验。</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（二）存在的问题；</w:t>
      </w:r>
      <w:r>
        <w:rPr>
          <w:rFonts w:hint="eastAsia" w:ascii="仿宋" w:hAnsi="仿宋" w:eastAsia="仿宋"/>
          <w:sz w:val="32"/>
          <w:szCs w:val="32"/>
        </w:rPr>
        <w:t>绩效指标不够清晰、明确、完整，部分绩效指标与支出绩效目标有差距。</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color w:val="000000" w:themeColor="text1"/>
          <w:sz w:val="32"/>
          <w:szCs w:val="32"/>
        </w:rPr>
        <w:t>（三）建议和改进措施。</w:t>
      </w:r>
    </w:p>
    <w:p>
      <w:pPr>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bCs/>
          <w:color w:val="000000" w:themeColor="text1"/>
          <w:sz w:val="32"/>
          <w:szCs w:val="32"/>
        </w:rPr>
        <w:t>认真做好项目需求分析，有效制定项目绩效目标；全方位制定项目绩效目标，以便对项目的实施效果全面的评估。</w:t>
      </w:r>
    </w:p>
    <w:sectPr>
      <w:pgSz w:w="11906" w:h="16838"/>
      <w:pgMar w:top="1191" w:right="1134" w:bottom="1191"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95635"/>
      <w:docPartObj>
        <w:docPartGallery w:val="autotext"/>
      </w:docPartObj>
    </w:sdtPr>
    <w:sdtContent>
      <w:p>
        <w:pPr>
          <w:pStyle w:val="3"/>
          <w:jc w:val="center"/>
        </w:pPr>
        <w:r>
          <w:fldChar w:fldCharType="begin"/>
        </w:r>
        <w:r>
          <w:instrText xml:space="preserve"> PAGE   \* MERGEFORMAT </w:instrText>
        </w:r>
        <w:r>
          <w:fldChar w:fldCharType="separate"/>
        </w:r>
        <w:r>
          <w:rPr>
            <w:lang w:val="zh-CN"/>
          </w:rPr>
          <w:t>19</w:t>
        </w:r>
        <w:r>
          <w:rPr>
            <w:lang w:val="zh-CN"/>
          </w:rPr>
          <w:fldChar w:fldCharType="end"/>
        </w:r>
        <w:bookmarkStart w:id="3" w:name="_GoBack"/>
        <w:bookmarkEnd w:id="3"/>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2F8B"/>
    <w:rsid w:val="00004E3B"/>
    <w:rsid w:val="00026020"/>
    <w:rsid w:val="000264CC"/>
    <w:rsid w:val="00032ABD"/>
    <w:rsid w:val="000473EB"/>
    <w:rsid w:val="000539B4"/>
    <w:rsid w:val="000863EF"/>
    <w:rsid w:val="00087AA1"/>
    <w:rsid w:val="000A4FB2"/>
    <w:rsid w:val="000B01A7"/>
    <w:rsid w:val="000B2C9C"/>
    <w:rsid w:val="000E4ABF"/>
    <w:rsid w:val="00105E74"/>
    <w:rsid w:val="00111B4C"/>
    <w:rsid w:val="00122E91"/>
    <w:rsid w:val="00130381"/>
    <w:rsid w:val="00161872"/>
    <w:rsid w:val="001654E3"/>
    <w:rsid w:val="0017101C"/>
    <w:rsid w:val="0017191B"/>
    <w:rsid w:val="001D47BA"/>
    <w:rsid w:val="001E1A44"/>
    <w:rsid w:val="001F0F1C"/>
    <w:rsid w:val="00214181"/>
    <w:rsid w:val="00217F71"/>
    <w:rsid w:val="00225991"/>
    <w:rsid w:val="00281ED2"/>
    <w:rsid w:val="002B434E"/>
    <w:rsid w:val="002B57ED"/>
    <w:rsid w:val="002D42AF"/>
    <w:rsid w:val="002E161B"/>
    <w:rsid w:val="002E5562"/>
    <w:rsid w:val="002F1E90"/>
    <w:rsid w:val="00305BA5"/>
    <w:rsid w:val="003147DD"/>
    <w:rsid w:val="0032089A"/>
    <w:rsid w:val="00323B4E"/>
    <w:rsid w:val="003245A3"/>
    <w:rsid w:val="00327CCE"/>
    <w:rsid w:val="0035263F"/>
    <w:rsid w:val="003644D4"/>
    <w:rsid w:val="00371834"/>
    <w:rsid w:val="003B2DEB"/>
    <w:rsid w:val="003B3D2A"/>
    <w:rsid w:val="003D16B5"/>
    <w:rsid w:val="003D376A"/>
    <w:rsid w:val="003E021A"/>
    <w:rsid w:val="003E3D74"/>
    <w:rsid w:val="003E3F39"/>
    <w:rsid w:val="004810E9"/>
    <w:rsid w:val="0049606F"/>
    <w:rsid w:val="004B6808"/>
    <w:rsid w:val="004C15FD"/>
    <w:rsid w:val="004D1E2B"/>
    <w:rsid w:val="004F23CE"/>
    <w:rsid w:val="00507D76"/>
    <w:rsid w:val="00535310"/>
    <w:rsid w:val="0058285B"/>
    <w:rsid w:val="00584F1F"/>
    <w:rsid w:val="00597368"/>
    <w:rsid w:val="005B2DD2"/>
    <w:rsid w:val="005C121C"/>
    <w:rsid w:val="005C1B12"/>
    <w:rsid w:val="005C5FE7"/>
    <w:rsid w:val="0061776D"/>
    <w:rsid w:val="00631822"/>
    <w:rsid w:val="00642589"/>
    <w:rsid w:val="00644549"/>
    <w:rsid w:val="00657B47"/>
    <w:rsid w:val="0067712A"/>
    <w:rsid w:val="00682BED"/>
    <w:rsid w:val="00690D44"/>
    <w:rsid w:val="006A7362"/>
    <w:rsid w:val="006B5DF0"/>
    <w:rsid w:val="006C178D"/>
    <w:rsid w:val="006E1DF0"/>
    <w:rsid w:val="006E47CD"/>
    <w:rsid w:val="00705B71"/>
    <w:rsid w:val="00723620"/>
    <w:rsid w:val="00734218"/>
    <w:rsid w:val="0073570C"/>
    <w:rsid w:val="00736B0A"/>
    <w:rsid w:val="007576D7"/>
    <w:rsid w:val="0079249C"/>
    <w:rsid w:val="00792F8B"/>
    <w:rsid w:val="00794005"/>
    <w:rsid w:val="007A40E4"/>
    <w:rsid w:val="007A79B4"/>
    <w:rsid w:val="007B3224"/>
    <w:rsid w:val="007B3D15"/>
    <w:rsid w:val="007B3FEB"/>
    <w:rsid w:val="008032C3"/>
    <w:rsid w:val="00837736"/>
    <w:rsid w:val="008A0745"/>
    <w:rsid w:val="008B1297"/>
    <w:rsid w:val="008C3201"/>
    <w:rsid w:val="008D481D"/>
    <w:rsid w:val="009302FC"/>
    <w:rsid w:val="00956EAA"/>
    <w:rsid w:val="00986AE0"/>
    <w:rsid w:val="00990997"/>
    <w:rsid w:val="009A49ED"/>
    <w:rsid w:val="009D36DC"/>
    <w:rsid w:val="009D3B1F"/>
    <w:rsid w:val="00A219F8"/>
    <w:rsid w:val="00A407AA"/>
    <w:rsid w:val="00A41F91"/>
    <w:rsid w:val="00A45705"/>
    <w:rsid w:val="00A870E9"/>
    <w:rsid w:val="00AD090D"/>
    <w:rsid w:val="00AF0340"/>
    <w:rsid w:val="00AF2B73"/>
    <w:rsid w:val="00B15F14"/>
    <w:rsid w:val="00B21234"/>
    <w:rsid w:val="00B26B4B"/>
    <w:rsid w:val="00BB49E1"/>
    <w:rsid w:val="00BE1DD7"/>
    <w:rsid w:val="00BE2BF9"/>
    <w:rsid w:val="00C16614"/>
    <w:rsid w:val="00C71406"/>
    <w:rsid w:val="00CA16B4"/>
    <w:rsid w:val="00CB4A51"/>
    <w:rsid w:val="00CE4F43"/>
    <w:rsid w:val="00CF122C"/>
    <w:rsid w:val="00D03EE9"/>
    <w:rsid w:val="00D27649"/>
    <w:rsid w:val="00D37A42"/>
    <w:rsid w:val="00DA56EC"/>
    <w:rsid w:val="00DC22E9"/>
    <w:rsid w:val="00E36F7C"/>
    <w:rsid w:val="00E65ACF"/>
    <w:rsid w:val="00E8198D"/>
    <w:rsid w:val="00EB09A7"/>
    <w:rsid w:val="00EB3694"/>
    <w:rsid w:val="00EC5577"/>
    <w:rsid w:val="00EF4D2E"/>
    <w:rsid w:val="00EF609C"/>
    <w:rsid w:val="00F06EF9"/>
    <w:rsid w:val="00F41479"/>
    <w:rsid w:val="00F5432E"/>
    <w:rsid w:val="00FC0B28"/>
    <w:rsid w:val="00FC45E7"/>
    <w:rsid w:val="00FC5F89"/>
    <w:rsid w:val="00FF0187"/>
    <w:rsid w:val="00FF37F8"/>
    <w:rsid w:val="00FF39D4"/>
    <w:rsid w:val="3E0D0B26"/>
    <w:rsid w:val="49096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0"/>
    <w:pPr>
      <w:widowControl/>
      <w:spacing w:before="100" w:beforeAutospacing="1" w:after="100" w:afterAutospacing="1"/>
      <w:jc w:val="left"/>
    </w:pPr>
    <w:rPr>
      <w:rFonts w:ascii="宋体" w:hAnsi="宋体" w:cs="宋体"/>
      <w:kern w:val="0"/>
      <w:sz w:val="24"/>
      <w:szCs w:val="24"/>
    </w:rPr>
  </w:style>
  <w:style w:type="character" w:customStyle="1" w:styleId="8">
    <w:name w:val="edui-faked-checkword"/>
    <w:basedOn w:val="7"/>
    <w:uiPriority w:val="0"/>
  </w:style>
  <w:style w:type="character" w:customStyle="1" w:styleId="9">
    <w:name w:val="页眉 Char"/>
    <w:basedOn w:val="7"/>
    <w:link w:val="4"/>
    <w:semiHidden/>
    <w:uiPriority w:val="99"/>
    <w:rPr>
      <w:rFonts w:ascii="Calibri" w:hAnsi="Calibri" w:eastAsia="宋体" w:cs="Times New Roman"/>
      <w:sz w:val="18"/>
      <w:szCs w:val="18"/>
    </w:rPr>
  </w:style>
  <w:style w:type="character" w:customStyle="1" w:styleId="10">
    <w:name w:val="页脚 Char"/>
    <w:basedOn w:val="7"/>
    <w:link w:val="3"/>
    <w:qFormat/>
    <w:uiPriority w:val="99"/>
    <w:rPr>
      <w:rFonts w:ascii="Calibri" w:hAnsi="Calibri" w:eastAsia="宋体" w:cs="Times New Roman"/>
      <w:sz w:val="18"/>
      <w:szCs w:val="18"/>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2">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3">
    <w:name w:val="标题 1 Char"/>
    <w:basedOn w:val="7"/>
    <w:link w:val="2"/>
    <w:qFormat/>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8DE96F-1907-48CB-AA94-4575A8D33D44}">
  <ds:schemaRefs/>
</ds:datastoreItem>
</file>

<file path=docProps/app.xml><?xml version="1.0" encoding="utf-8"?>
<Properties xmlns="http://schemas.openxmlformats.org/officeDocument/2006/extended-properties" xmlns:vt="http://schemas.openxmlformats.org/officeDocument/2006/docPropsVTypes">
  <Template>Normal</Template>
  <Pages>19</Pages>
  <Words>1680</Words>
  <Characters>9582</Characters>
  <Lines>79</Lines>
  <Paragraphs>22</Paragraphs>
  <TotalTime>341</TotalTime>
  <ScaleCrop>false</ScaleCrop>
  <LinksUpToDate>false</LinksUpToDate>
  <CharactersWithSpaces>11240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2020-03-02T02:50:00Z</dcterms:created>
  <dc:creator>Administrator</dc:creator>
  <cp:lastModifiedBy>TurboMs</cp:lastModifiedBy>
  <cp:lastPrinted>2021-07-12T06:48:00Z</cp:lastPrinted>
  <dcterms:modified xsi:type="dcterms:W3CDTF">2021-09-27T08:07:09Z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