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rPr>
      </w:pPr>
    </w:p>
    <w:p>
      <w:pPr>
        <w:jc w:val="center"/>
        <w:rPr>
          <w:rFonts w:ascii="黑体" w:hAnsi="黑体" w:eastAsia="黑体"/>
          <w:bCs/>
          <w:sz w:val="52"/>
          <w:szCs w:val="52"/>
        </w:rPr>
      </w:pPr>
      <w:r>
        <w:rPr>
          <w:rFonts w:hint="eastAsia" w:ascii="黑体" w:hAnsi="黑体" w:eastAsia="黑体" w:cs="黑体"/>
          <w:bCs/>
          <w:sz w:val="52"/>
          <w:szCs w:val="52"/>
        </w:rPr>
        <w:t>盘龙区</w:t>
      </w:r>
      <w:r>
        <w:rPr>
          <w:rFonts w:hint="eastAsia" w:ascii="黑体" w:hAnsi="黑体" w:eastAsia="黑体" w:cs="黑体"/>
          <w:bCs/>
          <w:sz w:val="52"/>
          <w:szCs w:val="52"/>
          <w:lang w:eastAsia="zh-CN"/>
        </w:rPr>
        <w:t>残疾人联合会</w:t>
      </w:r>
      <w:r>
        <w:rPr>
          <w:rFonts w:hint="eastAsia" w:ascii="黑体" w:hAnsi="黑体" w:eastAsia="黑体"/>
          <w:bCs/>
          <w:sz w:val="52"/>
          <w:szCs w:val="52"/>
          <w:lang w:val="en-US" w:eastAsia="zh-CN"/>
        </w:rPr>
        <w:t>2020</w:t>
      </w:r>
      <w:r>
        <w:rPr>
          <w:rFonts w:hint="eastAsia" w:ascii="黑体" w:hAnsi="黑体" w:eastAsia="黑体"/>
          <w:bCs/>
          <w:sz w:val="52"/>
          <w:szCs w:val="52"/>
        </w:rPr>
        <w:t>年</w:t>
      </w:r>
    </w:p>
    <w:p>
      <w:pPr>
        <w:jc w:val="center"/>
        <w:rPr>
          <w:rFonts w:ascii="黑体" w:hAnsi="黑体" w:eastAsia="黑体"/>
          <w:bCs/>
          <w:sz w:val="52"/>
          <w:szCs w:val="52"/>
        </w:rPr>
      </w:pPr>
      <w:r>
        <w:rPr>
          <w:rFonts w:hint="eastAsia" w:ascii="黑体" w:hAnsi="黑体" w:eastAsia="黑体" w:cs="黑体"/>
          <w:bCs/>
          <w:sz w:val="52"/>
          <w:szCs w:val="52"/>
        </w:rPr>
        <w:t>部门整体支出绩效自评报告</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rPr>
          <w:rFonts w:ascii="Times New Roman" w:hAnsi="Times New Roman" w:eastAsia="黑体"/>
          <w:b/>
          <w:bCs/>
          <w:sz w:val="32"/>
          <w:szCs w:val="32"/>
        </w:rPr>
      </w:pPr>
      <w:r>
        <w:rPr>
          <w:rFonts w:ascii="Times New Roman" w:hAnsi="Times New Roman" w:eastAsia="黑体" w:cs="黑体"/>
          <w:b/>
          <w:bCs/>
          <w:sz w:val="32"/>
          <w:szCs w:val="32"/>
        </w:rPr>
        <mc:AlternateContent>
          <mc:Choice Requires="wps">
            <w:drawing>
              <wp:anchor distT="0" distB="0" distL="114300" distR="114300" simplePos="0" relativeHeight="251659264" behindDoc="0" locked="0" layoutInCell="1" allowOverlap="1">
                <wp:simplePos x="0" y="0"/>
                <wp:positionH relativeFrom="column">
                  <wp:posOffset>1695450</wp:posOffset>
                </wp:positionH>
                <wp:positionV relativeFrom="paragraph">
                  <wp:posOffset>211455</wp:posOffset>
                </wp:positionV>
                <wp:extent cx="3457575" cy="0"/>
                <wp:effectExtent l="0" t="0" r="0" b="0"/>
                <wp:wrapNone/>
                <wp:docPr id="1" name="直接箭头连接符 1"/>
                <wp:cNvGraphicFramePr/>
                <a:graphic xmlns:a="http://schemas.openxmlformats.org/drawingml/2006/main">
                  <a:graphicData uri="http://schemas.microsoft.com/office/word/2010/wordprocessingShape">
                    <wps:wsp>
                      <wps:cNvCnPr/>
                      <wps:spPr>
                        <a:xfrm>
                          <a:off x="0" y="0"/>
                          <a:ext cx="3457575"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133.5pt;margin-top:16.65pt;height:0pt;width:272.25pt;z-index:251659264;mso-width-relative:page;mso-height-relative:page;" filled="f" stroked="t" coordsize="21600,21600" o:gfxdata="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GMnml1wAA&#10;AAkBAAAPAAAAAAAAAAEAIAAAACIAAABkcnMvZG93bnJldi54bWxQSwECFAAUAAAACACHTuJA/QXH&#10;XuYBAACsAwAADgAAAAAAAAABACAAAAAmAQAAZHJzL2Uyb0RvYy54bWxQSwUGAAAAAAYABgBZAQAA&#10;fgUAAAAA&#10;">
                <v:fill on="f" focussize="0,0"/>
                <v:stroke color="#000000" joinstyle="round"/>
                <v:imagedata o:title=""/>
                <o:lock v:ext="edit" aspectratio="f"/>
              </v:shape>
            </w:pict>
          </mc:Fallback>
        </mc:AlternateContent>
      </w:r>
      <w:r>
        <w:rPr>
          <w:rFonts w:hint="eastAsia" w:ascii="Times New Roman" w:hAnsi="Times New Roman" w:eastAsia="黑体" w:cs="黑体"/>
          <w:b/>
          <w:bCs/>
          <w:sz w:val="32"/>
          <w:szCs w:val="32"/>
        </w:rPr>
        <w:t>项目名称：</w:t>
      </w:r>
      <w:r>
        <w:rPr>
          <w:rFonts w:hint="eastAsia" w:ascii="Times New Roman" w:hAnsi="Times New Roman" w:eastAsia="黑体" w:cs="黑体"/>
          <w:b/>
          <w:bCs/>
          <w:sz w:val="32"/>
          <w:szCs w:val="32"/>
          <w:lang w:eastAsia="zh-CN"/>
        </w:rPr>
        <w:t>昆明市盘龙区残疾人联合会</w:t>
      </w:r>
      <w:r>
        <w:rPr>
          <w:rFonts w:hint="eastAsia" w:ascii="Times New Roman" w:hAnsi="Times New Roman" w:eastAsia="黑体" w:cs="黑体"/>
          <w:b/>
          <w:bCs/>
          <w:sz w:val="32"/>
          <w:szCs w:val="32"/>
        </w:rPr>
        <w:t>部门整体支出</w:t>
      </w:r>
    </w:p>
    <w:p>
      <w:pPr>
        <w:adjustRightInd w:val="0"/>
        <w:snapToGrid w:val="0"/>
        <w:spacing w:line="360" w:lineRule="auto"/>
        <w:rPr>
          <w:rFonts w:hint="eastAsia" w:ascii="Times New Roman" w:hAnsi="Times New Roman" w:eastAsia="黑体" w:cs="黑体"/>
          <w:b/>
          <w:bCs/>
          <w:sz w:val="32"/>
          <w:szCs w:val="32"/>
          <w:lang w:eastAsia="zh-CN"/>
        </w:rPr>
      </w:pPr>
      <w:r>
        <w:rPr>
          <w:rFonts w:ascii="Times New Roman" w:hAnsi="Times New Roman" w:eastAsia="黑体" w:cs="黑体"/>
          <w:b/>
          <w:bCs/>
          <w:sz w:val="32"/>
          <w:szCs w:val="32"/>
        </w:rPr>
        <mc:AlternateContent>
          <mc:Choice Requires="wps">
            <w:drawing>
              <wp:anchor distT="0" distB="0" distL="114300" distR="114300" simplePos="0" relativeHeight="251660288" behindDoc="0" locked="0" layoutInCell="1" allowOverlap="1">
                <wp:simplePos x="0" y="0"/>
                <wp:positionH relativeFrom="column">
                  <wp:posOffset>1695450</wp:posOffset>
                </wp:positionH>
                <wp:positionV relativeFrom="paragraph">
                  <wp:posOffset>217805</wp:posOffset>
                </wp:positionV>
                <wp:extent cx="3457575" cy="0"/>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3457575"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133.5pt;margin-top:17.15pt;height:0pt;width:272.25pt;z-index:251660288;mso-width-relative:page;mso-height-relative:page;" filled="f" stroked="t" coordsize="21600,21600" o:gfxdata="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Sv0PcNgA&#10;AAAJAQAADwAAAAAAAAABACAAAAAiAAAAZHJzL2Rvd25yZXYueG1sUEsBAhQAFAAAAAgAh07iQGTT&#10;Wn7mAQAArAMAAA4AAAAAAAAAAQAgAAAAJwEAAGRycy9lMm9Eb2MueG1sUEsFBgAAAAAGAAYAWQEA&#10;AH8FAAAAAA==&#10;">
                <v:fill on="f" focussize="0,0"/>
                <v:stroke color="#000000" joinstyle="round"/>
                <v:imagedata o:title=""/>
                <o:lock v:ext="edit" aspectratio="f"/>
              </v:shape>
            </w:pict>
          </mc:Fallback>
        </mc:AlternateContent>
      </w:r>
      <w:r>
        <w:rPr>
          <w:rFonts w:hint="eastAsia" w:ascii="Times New Roman" w:hAnsi="Times New Roman" w:eastAsia="黑体" w:cs="黑体"/>
          <w:b/>
          <w:bCs/>
          <w:sz w:val="32"/>
          <w:szCs w:val="32"/>
        </w:rPr>
        <w:t>部门名称：</w:t>
      </w:r>
      <w:r>
        <w:rPr>
          <w:rFonts w:hint="eastAsia" w:ascii="Times New Roman" w:hAnsi="Times New Roman" w:eastAsia="黑体" w:cs="黑体"/>
          <w:b/>
          <w:bCs/>
          <w:sz w:val="32"/>
          <w:szCs w:val="32"/>
          <w:lang w:eastAsia="zh-CN"/>
        </w:rPr>
        <w:t>昆明市盘龙区残疾人联合会</w:t>
      </w:r>
    </w:p>
    <w:p>
      <w:pPr>
        <w:adjustRightInd w:val="0"/>
        <w:snapToGrid w:val="0"/>
        <w:spacing w:line="360" w:lineRule="auto"/>
        <w:rPr>
          <w:rFonts w:ascii="Times New Roman" w:hAnsi="Times New Roman" w:eastAsia="黑体"/>
          <w:b/>
          <w:bCs/>
          <w:sz w:val="32"/>
          <w:szCs w:val="32"/>
        </w:rPr>
      </w:pPr>
      <w:r>
        <w:rPr>
          <w:rFonts w:ascii="Times New Roman" w:hAnsi="Times New Roman" w:eastAsia="黑体" w:cs="黑体"/>
          <w:b/>
          <w:bCs/>
          <w:sz w:val="32"/>
          <w:szCs w:val="32"/>
        </w:rPr>
        <mc:AlternateContent>
          <mc:Choice Requires="wps">
            <w:drawing>
              <wp:anchor distT="0" distB="0" distL="114300" distR="114300" simplePos="0" relativeHeight="251661312" behindDoc="0" locked="0" layoutInCell="1" allowOverlap="1">
                <wp:simplePos x="0" y="0"/>
                <wp:positionH relativeFrom="column">
                  <wp:posOffset>1695450</wp:posOffset>
                </wp:positionH>
                <wp:positionV relativeFrom="paragraph">
                  <wp:posOffset>253365</wp:posOffset>
                </wp:positionV>
                <wp:extent cx="3457575" cy="0"/>
                <wp:effectExtent l="0" t="0" r="0" b="0"/>
                <wp:wrapNone/>
                <wp:docPr id="3" name="直接箭头连接符 3"/>
                <wp:cNvGraphicFramePr/>
                <a:graphic xmlns:a="http://schemas.openxmlformats.org/drawingml/2006/main">
                  <a:graphicData uri="http://schemas.microsoft.com/office/word/2010/wordprocessingShape">
                    <wps:wsp>
                      <wps:cNvCnPr/>
                      <wps:spPr>
                        <a:xfrm>
                          <a:off x="0" y="0"/>
                          <a:ext cx="3457575"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_x0000_s1026" o:spid="_x0000_s1026" o:spt="32" type="#_x0000_t32" style="position:absolute;left:0pt;margin-left:133.5pt;margin-top:19.95pt;height:0pt;width:272.25pt;z-index:251661312;mso-width-relative:page;mso-height-relative:page;" filled="f" stroked="t" coordsize="21600,21600" o:gfxdata="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IEn4I1wAA&#10;AAkBAAAPAAAAAAAAAAEAIAAAACIAAABkcnMvZG93bnJldi54bWxQSwECFAAUAAAACACHTuJALGMB&#10;1+YBAACsAwAADgAAAAAAAAABACAAAAAmAQAAZHJzL2Uyb0RvYy54bWxQSwUGAAAAAAYABgBZAQAA&#10;fgUAAAAA&#10;">
                <v:fill on="f" focussize="0,0"/>
                <v:stroke color="#000000" joinstyle="round"/>
                <v:imagedata o:title=""/>
                <o:lock v:ext="edit" aspectratio="f"/>
              </v:shape>
            </w:pict>
          </mc:Fallback>
        </mc:AlternateContent>
      </w:r>
      <w:r>
        <w:rPr>
          <w:rFonts w:hint="eastAsia" w:ascii="Times New Roman" w:hAnsi="Times New Roman" w:eastAsia="黑体" w:cs="黑体"/>
          <w:b/>
          <w:bCs/>
          <w:sz w:val="32"/>
          <w:szCs w:val="32"/>
        </w:rPr>
        <w:t>评价机构：</w:t>
      </w:r>
      <w:r>
        <w:rPr>
          <w:rFonts w:hint="eastAsia" w:ascii="Times New Roman" w:hAnsi="Times New Roman" w:eastAsia="黑体" w:cs="黑体"/>
          <w:b/>
          <w:bCs/>
          <w:sz w:val="32"/>
          <w:szCs w:val="32"/>
          <w:lang w:eastAsia="zh-CN"/>
        </w:rPr>
        <w:t>昆明市盘龙区残疾人联合会</w:t>
      </w:r>
    </w:p>
    <w:p>
      <w:pPr>
        <w:spacing w:line="360" w:lineRule="auto"/>
        <w:ind w:left="1740" w:leftChars="580"/>
        <w:rPr>
          <w:rFonts w:ascii="Times New Roman" w:hAnsi="Times New Roman" w:eastAsia="黑体"/>
          <w:b/>
          <w:bCs/>
          <w:sz w:val="32"/>
          <w:szCs w:val="32"/>
        </w:rPr>
      </w:pPr>
    </w:p>
    <w:p>
      <w:pPr>
        <w:jc w:val="center"/>
        <w:rPr>
          <w:rFonts w:ascii="Times New Roman" w:hAnsi="Times New Roman" w:eastAsia="黑体" w:cs="黑体"/>
          <w:b/>
          <w:bCs/>
          <w:sz w:val="32"/>
          <w:szCs w:val="32"/>
        </w:rPr>
      </w:pPr>
      <w:r>
        <w:rPr>
          <w:rFonts w:ascii="Times New Roman" w:hAnsi="Times New Roman" w:eastAsia="黑体"/>
          <w:b/>
          <w:bCs/>
          <w:sz w:val="32"/>
          <w:szCs w:val="32"/>
        </w:rPr>
        <w:t>20</w:t>
      </w:r>
      <w:r>
        <w:rPr>
          <w:rFonts w:hint="eastAsia" w:ascii="Times New Roman" w:hAnsi="Times New Roman" w:eastAsia="黑体"/>
          <w:b/>
          <w:bCs/>
          <w:sz w:val="32"/>
          <w:szCs w:val="32"/>
          <w:lang w:val="en-US" w:eastAsia="zh-CN"/>
        </w:rPr>
        <w:t>21</w:t>
      </w:r>
      <w:r>
        <w:rPr>
          <w:rFonts w:hint="eastAsia" w:ascii="Times New Roman" w:hAnsi="Times New Roman" w:eastAsia="黑体" w:cs="黑体"/>
          <w:b/>
          <w:bCs/>
          <w:sz w:val="32"/>
          <w:szCs w:val="32"/>
        </w:rPr>
        <w:t>年</w:t>
      </w:r>
      <w:r>
        <w:rPr>
          <w:rFonts w:hint="eastAsia" w:ascii="Times New Roman" w:hAnsi="Times New Roman" w:eastAsia="黑体"/>
          <w:b/>
          <w:bCs/>
          <w:sz w:val="32"/>
          <w:szCs w:val="32"/>
          <w:lang w:val="en-US" w:eastAsia="zh-CN"/>
        </w:rPr>
        <w:t>05</w:t>
      </w:r>
      <w:r>
        <w:rPr>
          <w:rFonts w:hint="eastAsia" w:ascii="Times New Roman" w:hAnsi="Times New Roman" w:eastAsia="黑体" w:cs="黑体"/>
          <w:b/>
          <w:bCs/>
          <w:sz w:val="32"/>
          <w:szCs w:val="32"/>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仿宋_GB2312"/>
          <w:b/>
          <w:bCs/>
          <w:sz w:val="28"/>
          <w:szCs w:val="28"/>
        </w:rPr>
      </w:pPr>
    </w:p>
    <w:p>
      <w:pPr>
        <w:widowControl/>
        <w:jc w:val="left"/>
        <w:rPr>
          <w:rFonts w:ascii="Times New Roman" w:hAnsi="Times New Roman" w:eastAsia="仿宋_GB2312"/>
          <w:b/>
          <w:bCs/>
          <w:sz w:val="28"/>
          <w:szCs w:val="28"/>
        </w:rPr>
        <w:sectPr>
          <w:footerReference r:id="rId5" w:type="first"/>
          <w:headerReference r:id="rId3" w:type="default"/>
          <w:footerReference r:id="rId4" w:type="default"/>
          <w:pgSz w:w="11906" w:h="16838"/>
          <w:pgMar w:top="1701" w:right="1587" w:bottom="1587" w:left="1587" w:header="851" w:footer="992" w:gutter="0"/>
          <w:cols w:space="425" w:num="1"/>
          <w:titlePg/>
          <w:docGrid w:type="lines" w:linePitch="312" w:charSpace="0"/>
        </w:sectPr>
      </w:pPr>
    </w:p>
    <w:p>
      <w:pPr>
        <w:pStyle w:val="10"/>
        <w:widowControl w:val="0"/>
        <w:spacing w:after="0" w:line="360" w:lineRule="auto"/>
        <w:ind w:left="60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8"/>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10"/>
              <w:widowControl w:val="0"/>
              <w:spacing w:after="0" w:line="24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评价小组</w:t>
            </w:r>
          </w:p>
          <w:p>
            <w:pPr>
              <w:pStyle w:val="10"/>
              <w:widowControl w:val="0"/>
              <w:spacing w:after="0" w:line="24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机构职位</w:t>
            </w:r>
          </w:p>
        </w:tc>
        <w:tc>
          <w:tcPr>
            <w:tcW w:w="1620" w:type="dxa"/>
            <w:noWrap w:val="0"/>
            <w:vAlign w:val="center"/>
          </w:tcPr>
          <w:p>
            <w:pPr>
              <w:pStyle w:val="10"/>
              <w:widowControl w:val="0"/>
              <w:spacing w:after="0" w:line="24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姓名</w:t>
            </w:r>
          </w:p>
        </w:tc>
        <w:tc>
          <w:tcPr>
            <w:tcW w:w="1620" w:type="dxa"/>
            <w:noWrap w:val="0"/>
            <w:vAlign w:val="center"/>
          </w:tcPr>
          <w:p>
            <w:pPr>
              <w:pStyle w:val="10"/>
              <w:widowControl w:val="0"/>
              <w:spacing w:after="0" w:line="24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职务/职称</w:t>
            </w:r>
          </w:p>
        </w:tc>
        <w:tc>
          <w:tcPr>
            <w:tcW w:w="1621" w:type="dxa"/>
            <w:noWrap w:val="0"/>
            <w:vAlign w:val="center"/>
          </w:tcPr>
          <w:p>
            <w:pPr>
              <w:pStyle w:val="10"/>
              <w:widowControl w:val="0"/>
              <w:spacing w:after="0" w:line="24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所属</w:t>
            </w:r>
          </w:p>
          <w:p>
            <w:pPr>
              <w:pStyle w:val="10"/>
              <w:widowControl w:val="0"/>
              <w:spacing w:after="0" w:line="24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单位/处室</w:t>
            </w:r>
          </w:p>
        </w:tc>
        <w:tc>
          <w:tcPr>
            <w:tcW w:w="1621" w:type="dxa"/>
            <w:noWrap w:val="0"/>
            <w:vAlign w:val="center"/>
          </w:tcPr>
          <w:p>
            <w:pPr>
              <w:pStyle w:val="10"/>
              <w:widowControl w:val="0"/>
              <w:spacing w:after="0" w:line="24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10"/>
              <w:widowControl w:val="0"/>
              <w:spacing w:after="0" w:line="24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组长</w:t>
            </w:r>
          </w:p>
        </w:tc>
        <w:tc>
          <w:tcPr>
            <w:tcW w:w="1620" w:type="dxa"/>
            <w:noWrap w:val="0"/>
            <w:vAlign w:val="top"/>
          </w:tcPr>
          <w:p>
            <w:pPr>
              <w:pStyle w:val="10"/>
              <w:widowControl w:val="0"/>
              <w:spacing w:after="0" w:line="240" w:lineRule="auto"/>
              <w:jc w:val="both"/>
              <w:rPr>
                <w:rFonts w:hint="eastAsia"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en-US" w:eastAsia="zh-CN"/>
              </w:rPr>
              <w:t>黎如珊</w:t>
            </w:r>
          </w:p>
        </w:tc>
        <w:tc>
          <w:tcPr>
            <w:tcW w:w="1620" w:type="dxa"/>
            <w:noWrap w:val="0"/>
            <w:vAlign w:val="top"/>
          </w:tcPr>
          <w:p>
            <w:pPr>
              <w:pStyle w:val="10"/>
              <w:widowControl w:val="0"/>
              <w:spacing w:after="0" w:line="240" w:lineRule="auto"/>
              <w:jc w:val="both"/>
              <w:rPr>
                <w:rFonts w:hint="eastAsia"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eastAsia="zh-CN"/>
              </w:rPr>
              <w:t>理事长</w:t>
            </w:r>
          </w:p>
        </w:tc>
        <w:tc>
          <w:tcPr>
            <w:tcW w:w="1621" w:type="dxa"/>
            <w:noWrap w:val="0"/>
            <w:vAlign w:val="top"/>
          </w:tcPr>
          <w:p>
            <w:pPr>
              <w:pStyle w:val="10"/>
              <w:widowControl w:val="0"/>
              <w:spacing w:after="0" w:line="240" w:lineRule="auto"/>
              <w:jc w:val="both"/>
              <w:rPr>
                <w:rFonts w:hint="eastAsia"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eastAsia="zh-CN"/>
              </w:rPr>
              <w:t>办公室</w:t>
            </w:r>
          </w:p>
        </w:tc>
        <w:tc>
          <w:tcPr>
            <w:tcW w:w="1621" w:type="dxa"/>
            <w:noWrap w:val="0"/>
            <w:vAlign w:val="top"/>
          </w:tcPr>
          <w:p>
            <w:pPr>
              <w:pStyle w:val="10"/>
              <w:widowControl w:val="0"/>
              <w:spacing w:after="0" w:line="240" w:lineRule="auto"/>
              <w:jc w:val="both"/>
              <w:rPr>
                <w:rFonts w:hint="eastAsia" w:asciiTheme="majorEastAsia" w:hAnsiTheme="majorEastAsia" w:eastAsiaTheme="majorEastAsia" w:cstheme="maj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10"/>
              <w:widowControl w:val="0"/>
              <w:spacing w:after="0" w:line="36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副组长</w:t>
            </w:r>
          </w:p>
        </w:tc>
        <w:tc>
          <w:tcPr>
            <w:tcW w:w="1620" w:type="dxa"/>
            <w:noWrap w:val="0"/>
            <w:vAlign w:val="top"/>
          </w:tcPr>
          <w:p>
            <w:pPr>
              <w:pStyle w:val="10"/>
              <w:widowControl w:val="0"/>
              <w:spacing w:after="0" w:line="360" w:lineRule="auto"/>
              <w:jc w:val="both"/>
              <w:rPr>
                <w:rFonts w:hint="eastAsia"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eastAsia="zh-CN"/>
              </w:rPr>
              <w:t>贺新生</w:t>
            </w:r>
          </w:p>
        </w:tc>
        <w:tc>
          <w:tcPr>
            <w:tcW w:w="1620" w:type="dxa"/>
            <w:noWrap w:val="0"/>
            <w:vAlign w:val="top"/>
          </w:tcPr>
          <w:p>
            <w:pPr>
              <w:pStyle w:val="10"/>
              <w:widowControl w:val="0"/>
              <w:spacing w:after="0" w:line="360" w:lineRule="auto"/>
              <w:jc w:val="both"/>
              <w:rPr>
                <w:rFonts w:hint="eastAsia"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eastAsia="zh-CN"/>
              </w:rPr>
              <w:t>副理事长</w:t>
            </w:r>
          </w:p>
        </w:tc>
        <w:tc>
          <w:tcPr>
            <w:tcW w:w="1621" w:type="dxa"/>
            <w:noWrap w:val="0"/>
            <w:vAlign w:val="top"/>
          </w:tcPr>
          <w:p>
            <w:pPr>
              <w:widowControl w:val="0"/>
              <w:spacing w:after="0" w:line="360" w:lineRule="auto"/>
              <w:ind w:left="0" w:leftChars="0" w:firstLine="0" w:firstLineChars="0"/>
              <w:jc w:val="left"/>
              <w:rPr>
                <w:rFonts w:hint="eastAsia"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eastAsia="zh-CN"/>
              </w:rPr>
              <w:t>办公室</w:t>
            </w:r>
          </w:p>
        </w:tc>
        <w:tc>
          <w:tcPr>
            <w:tcW w:w="1621" w:type="dxa"/>
            <w:noWrap w:val="0"/>
            <w:vAlign w:val="top"/>
          </w:tcPr>
          <w:p>
            <w:pPr>
              <w:pStyle w:val="10"/>
              <w:widowControl w:val="0"/>
              <w:spacing w:after="0" w:line="360" w:lineRule="auto"/>
              <w:jc w:val="both"/>
              <w:rPr>
                <w:rFonts w:hint="eastAsia" w:asciiTheme="majorEastAsia" w:hAnsiTheme="majorEastAsia" w:eastAsiaTheme="majorEastAsia" w:cstheme="maj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10"/>
              <w:widowControl w:val="0"/>
              <w:spacing w:after="0" w:line="36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成员</w:t>
            </w:r>
          </w:p>
        </w:tc>
        <w:tc>
          <w:tcPr>
            <w:tcW w:w="1620" w:type="dxa"/>
            <w:noWrap w:val="0"/>
            <w:vAlign w:val="top"/>
          </w:tcPr>
          <w:p>
            <w:pPr>
              <w:pStyle w:val="10"/>
              <w:widowControl w:val="0"/>
              <w:spacing w:after="0" w:line="360" w:lineRule="auto"/>
              <w:jc w:val="both"/>
              <w:rPr>
                <w:rFonts w:hint="eastAsia"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en-US" w:eastAsia="zh-CN"/>
              </w:rPr>
              <w:t>王海燕</w:t>
            </w:r>
          </w:p>
        </w:tc>
        <w:tc>
          <w:tcPr>
            <w:tcW w:w="1620" w:type="dxa"/>
            <w:noWrap w:val="0"/>
            <w:vAlign w:val="top"/>
          </w:tcPr>
          <w:p>
            <w:pPr>
              <w:pStyle w:val="10"/>
              <w:widowControl w:val="0"/>
              <w:spacing w:after="0" w:line="360" w:lineRule="auto"/>
              <w:jc w:val="both"/>
              <w:rPr>
                <w:rFonts w:hint="eastAsia"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eastAsia="zh-CN"/>
              </w:rPr>
              <w:t>组联教就科科长</w:t>
            </w:r>
          </w:p>
        </w:tc>
        <w:tc>
          <w:tcPr>
            <w:tcW w:w="1621" w:type="dxa"/>
            <w:noWrap w:val="0"/>
            <w:vAlign w:val="top"/>
          </w:tcPr>
          <w:p>
            <w:pPr>
              <w:widowControl w:val="0"/>
              <w:spacing w:after="0" w:line="360" w:lineRule="auto"/>
              <w:ind w:left="0" w:leftChars="0" w:firstLine="0" w:firstLineChars="0"/>
              <w:jc w:val="left"/>
              <w:rPr>
                <w:rFonts w:hint="eastAsia"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eastAsia="zh-CN"/>
              </w:rPr>
              <w:t>组联教就科</w:t>
            </w:r>
          </w:p>
        </w:tc>
        <w:tc>
          <w:tcPr>
            <w:tcW w:w="1621" w:type="dxa"/>
            <w:noWrap w:val="0"/>
            <w:vAlign w:val="top"/>
          </w:tcPr>
          <w:p>
            <w:pPr>
              <w:pStyle w:val="10"/>
              <w:widowControl w:val="0"/>
              <w:spacing w:after="0" w:line="360" w:lineRule="auto"/>
              <w:jc w:val="both"/>
              <w:rPr>
                <w:rFonts w:hint="eastAsia" w:asciiTheme="majorEastAsia" w:hAnsiTheme="majorEastAsia" w:eastAsiaTheme="majorEastAsia" w:cstheme="maj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10"/>
              <w:widowControl w:val="0"/>
              <w:spacing w:after="0" w:line="36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成员</w:t>
            </w:r>
          </w:p>
        </w:tc>
        <w:tc>
          <w:tcPr>
            <w:tcW w:w="1620" w:type="dxa"/>
            <w:noWrap w:val="0"/>
            <w:vAlign w:val="top"/>
          </w:tcPr>
          <w:p>
            <w:pPr>
              <w:pStyle w:val="10"/>
              <w:widowControl w:val="0"/>
              <w:spacing w:after="0" w:line="360" w:lineRule="auto"/>
              <w:jc w:val="both"/>
              <w:rPr>
                <w:rFonts w:hint="eastAsia"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eastAsia="zh-CN"/>
              </w:rPr>
              <w:t>王媛萍</w:t>
            </w:r>
          </w:p>
        </w:tc>
        <w:tc>
          <w:tcPr>
            <w:tcW w:w="1620" w:type="dxa"/>
            <w:noWrap w:val="0"/>
            <w:vAlign w:val="top"/>
          </w:tcPr>
          <w:p>
            <w:pPr>
              <w:pStyle w:val="10"/>
              <w:widowControl w:val="0"/>
              <w:spacing w:after="0" w:line="360" w:lineRule="auto"/>
              <w:jc w:val="both"/>
              <w:rPr>
                <w:rFonts w:hint="eastAsia"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eastAsia="zh-CN"/>
              </w:rPr>
              <w:t>康复宣文科科长</w:t>
            </w:r>
          </w:p>
        </w:tc>
        <w:tc>
          <w:tcPr>
            <w:tcW w:w="1621" w:type="dxa"/>
            <w:noWrap w:val="0"/>
            <w:vAlign w:val="top"/>
          </w:tcPr>
          <w:p>
            <w:pPr>
              <w:pStyle w:val="10"/>
              <w:widowControl w:val="0"/>
              <w:spacing w:after="0" w:line="360" w:lineRule="auto"/>
              <w:jc w:val="both"/>
              <w:rPr>
                <w:rFonts w:hint="eastAsia"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eastAsia="zh-CN"/>
              </w:rPr>
              <w:t>康复宣文科</w:t>
            </w:r>
          </w:p>
        </w:tc>
        <w:tc>
          <w:tcPr>
            <w:tcW w:w="1621" w:type="dxa"/>
            <w:noWrap w:val="0"/>
            <w:vAlign w:val="top"/>
          </w:tcPr>
          <w:p>
            <w:pPr>
              <w:pStyle w:val="10"/>
              <w:widowControl w:val="0"/>
              <w:spacing w:after="0" w:line="360" w:lineRule="auto"/>
              <w:jc w:val="both"/>
              <w:rPr>
                <w:rFonts w:hint="eastAsia" w:asciiTheme="majorEastAsia" w:hAnsiTheme="majorEastAsia" w:eastAsiaTheme="majorEastAsia" w:cstheme="maj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10"/>
              <w:widowControl w:val="0"/>
              <w:spacing w:after="0" w:line="36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成员</w:t>
            </w:r>
          </w:p>
        </w:tc>
        <w:tc>
          <w:tcPr>
            <w:tcW w:w="1620" w:type="dxa"/>
            <w:noWrap w:val="0"/>
            <w:vAlign w:val="top"/>
          </w:tcPr>
          <w:p>
            <w:pPr>
              <w:pStyle w:val="10"/>
              <w:widowControl w:val="0"/>
              <w:spacing w:after="0" w:line="360" w:lineRule="auto"/>
              <w:jc w:val="both"/>
              <w:rPr>
                <w:rFonts w:hint="eastAsia" w:asciiTheme="majorEastAsia" w:hAnsiTheme="majorEastAsia" w:eastAsiaTheme="majorEastAsia" w:cstheme="majorEastAsia"/>
                <w:kern w:val="2"/>
                <w:sz w:val="28"/>
                <w:szCs w:val="28"/>
                <w:lang w:val="zh-TW" w:eastAsia="zh-CN"/>
              </w:rPr>
            </w:pPr>
            <w:r>
              <w:rPr>
                <w:rFonts w:hint="eastAsia" w:asciiTheme="majorEastAsia" w:hAnsiTheme="majorEastAsia" w:eastAsiaTheme="majorEastAsia" w:cstheme="majorEastAsia"/>
                <w:kern w:val="2"/>
                <w:sz w:val="28"/>
                <w:szCs w:val="28"/>
                <w:lang w:val="zh-TW" w:eastAsia="zh-CN"/>
              </w:rPr>
              <w:t>袁军</w:t>
            </w:r>
          </w:p>
        </w:tc>
        <w:tc>
          <w:tcPr>
            <w:tcW w:w="1620" w:type="dxa"/>
            <w:noWrap w:val="0"/>
            <w:vAlign w:val="top"/>
          </w:tcPr>
          <w:p>
            <w:pPr>
              <w:pStyle w:val="10"/>
              <w:widowControl w:val="0"/>
              <w:spacing w:after="0" w:line="360" w:lineRule="auto"/>
              <w:jc w:val="both"/>
              <w:rPr>
                <w:rFonts w:hint="eastAsia" w:asciiTheme="majorEastAsia" w:hAnsiTheme="majorEastAsia" w:eastAsiaTheme="majorEastAsia" w:cstheme="majorEastAsia"/>
                <w:kern w:val="2"/>
                <w:sz w:val="28"/>
                <w:szCs w:val="28"/>
                <w:lang w:val="zh-TW" w:eastAsia="zh-CN"/>
              </w:rPr>
            </w:pPr>
            <w:r>
              <w:rPr>
                <w:rFonts w:hint="eastAsia" w:asciiTheme="majorEastAsia" w:hAnsiTheme="majorEastAsia" w:eastAsiaTheme="majorEastAsia" w:cstheme="majorEastAsia"/>
                <w:kern w:val="2"/>
                <w:sz w:val="28"/>
                <w:szCs w:val="28"/>
                <w:lang w:val="zh-TW" w:eastAsia="zh-CN"/>
              </w:rPr>
              <w:t>办公室主任</w:t>
            </w:r>
          </w:p>
        </w:tc>
        <w:tc>
          <w:tcPr>
            <w:tcW w:w="1621" w:type="dxa"/>
            <w:noWrap w:val="0"/>
            <w:vAlign w:val="top"/>
          </w:tcPr>
          <w:p>
            <w:pPr>
              <w:pStyle w:val="10"/>
              <w:widowControl w:val="0"/>
              <w:spacing w:after="0" w:line="360" w:lineRule="auto"/>
              <w:jc w:val="both"/>
              <w:rPr>
                <w:rFonts w:hint="eastAsia" w:asciiTheme="majorEastAsia" w:hAnsiTheme="majorEastAsia" w:eastAsiaTheme="majorEastAsia" w:cstheme="majorEastAsia"/>
                <w:kern w:val="2"/>
                <w:sz w:val="28"/>
                <w:szCs w:val="28"/>
                <w:lang w:val="zh-TW" w:eastAsia="zh-CN"/>
              </w:rPr>
            </w:pPr>
            <w:r>
              <w:rPr>
                <w:rFonts w:hint="eastAsia" w:asciiTheme="majorEastAsia" w:hAnsiTheme="majorEastAsia" w:eastAsiaTheme="majorEastAsia" w:cstheme="majorEastAsia"/>
                <w:kern w:val="2"/>
                <w:sz w:val="28"/>
                <w:szCs w:val="28"/>
                <w:lang w:val="zh-TW" w:eastAsia="zh-CN"/>
              </w:rPr>
              <w:t>办公室</w:t>
            </w:r>
          </w:p>
        </w:tc>
        <w:tc>
          <w:tcPr>
            <w:tcW w:w="1621" w:type="dxa"/>
            <w:noWrap w:val="0"/>
            <w:vAlign w:val="top"/>
          </w:tcPr>
          <w:p>
            <w:pPr>
              <w:pStyle w:val="10"/>
              <w:widowControl w:val="0"/>
              <w:spacing w:after="0" w:line="360" w:lineRule="auto"/>
              <w:jc w:val="both"/>
              <w:rPr>
                <w:rFonts w:hint="eastAsia" w:asciiTheme="majorEastAsia" w:hAnsiTheme="majorEastAsia" w:eastAsiaTheme="majorEastAsia" w:cstheme="maj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20" w:type="dxa"/>
            <w:noWrap w:val="0"/>
            <w:vAlign w:val="center"/>
          </w:tcPr>
          <w:p>
            <w:pPr>
              <w:pStyle w:val="10"/>
              <w:widowControl w:val="0"/>
              <w:spacing w:after="0" w:line="36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成员</w:t>
            </w:r>
          </w:p>
        </w:tc>
        <w:tc>
          <w:tcPr>
            <w:tcW w:w="1620" w:type="dxa"/>
            <w:noWrap w:val="0"/>
            <w:vAlign w:val="top"/>
          </w:tcPr>
          <w:p>
            <w:pPr>
              <w:pStyle w:val="10"/>
              <w:widowControl w:val="0"/>
              <w:spacing w:after="0" w:line="360" w:lineRule="auto"/>
              <w:jc w:val="both"/>
              <w:rPr>
                <w:rFonts w:hint="eastAsia" w:asciiTheme="majorEastAsia" w:hAnsiTheme="majorEastAsia" w:eastAsiaTheme="majorEastAsia" w:cstheme="majorEastAsia"/>
                <w:kern w:val="2"/>
                <w:sz w:val="28"/>
                <w:szCs w:val="28"/>
                <w:lang w:val="en-US" w:eastAsia="zh-CN"/>
              </w:rPr>
            </w:pPr>
            <w:r>
              <w:rPr>
                <w:rFonts w:hint="eastAsia" w:asciiTheme="majorEastAsia" w:hAnsiTheme="majorEastAsia" w:eastAsiaTheme="majorEastAsia" w:cstheme="majorEastAsia"/>
                <w:kern w:val="2"/>
                <w:sz w:val="28"/>
                <w:szCs w:val="28"/>
                <w:lang w:val="en-US" w:eastAsia="zh-CN"/>
              </w:rPr>
              <w:t>赵荣玲</w:t>
            </w:r>
          </w:p>
        </w:tc>
        <w:tc>
          <w:tcPr>
            <w:tcW w:w="1620" w:type="dxa"/>
            <w:noWrap w:val="0"/>
            <w:vAlign w:val="top"/>
          </w:tcPr>
          <w:p>
            <w:pPr>
              <w:pStyle w:val="10"/>
              <w:widowControl w:val="0"/>
              <w:spacing w:after="0" w:line="360" w:lineRule="auto"/>
              <w:jc w:val="both"/>
              <w:rPr>
                <w:rFonts w:hint="eastAsia" w:asciiTheme="majorEastAsia" w:hAnsiTheme="majorEastAsia" w:eastAsiaTheme="majorEastAsia" w:cstheme="majorEastAsia"/>
                <w:kern w:val="2"/>
                <w:sz w:val="28"/>
                <w:szCs w:val="28"/>
                <w:lang w:val="zh-TW" w:eastAsia="zh-CN"/>
              </w:rPr>
            </w:pPr>
            <w:r>
              <w:rPr>
                <w:rFonts w:hint="eastAsia" w:asciiTheme="majorEastAsia" w:hAnsiTheme="majorEastAsia" w:eastAsiaTheme="majorEastAsia" w:cstheme="majorEastAsia"/>
                <w:kern w:val="2"/>
                <w:sz w:val="28"/>
                <w:szCs w:val="28"/>
                <w:lang w:val="zh-TW" w:eastAsia="zh-CN"/>
              </w:rPr>
              <w:t>财务人员</w:t>
            </w:r>
          </w:p>
        </w:tc>
        <w:tc>
          <w:tcPr>
            <w:tcW w:w="1621" w:type="dxa"/>
            <w:noWrap w:val="0"/>
            <w:vAlign w:val="top"/>
          </w:tcPr>
          <w:p>
            <w:pPr>
              <w:pStyle w:val="10"/>
              <w:widowControl w:val="0"/>
              <w:spacing w:after="0" w:line="360" w:lineRule="auto"/>
              <w:jc w:val="both"/>
              <w:rPr>
                <w:rFonts w:hint="eastAsia" w:asciiTheme="majorEastAsia" w:hAnsiTheme="majorEastAsia" w:eastAsiaTheme="majorEastAsia" w:cstheme="majorEastAsia"/>
                <w:kern w:val="2"/>
                <w:sz w:val="28"/>
                <w:szCs w:val="28"/>
                <w:lang w:val="zh-TW" w:eastAsia="zh-CN"/>
              </w:rPr>
            </w:pPr>
            <w:r>
              <w:rPr>
                <w:rFonts w:hint="eastAsia" w:asciiTheme="majorEastAsia" w:hAnsiTheme="majorEastAsia" w:eastAsiaTheme="majorEastAsia" w:cstheme="majorEastAsia"/>
                <w:kern w:val="2"/>
                <w:sz w:val="28"/>
                <w:szCs w:val="28"/>
                <w:lang w:val="zh-TW" w:eastAsia="zh-CN"/>
              </w:rPr>
              <w:t>办公室</w:t>
            </w:r>
          </w:p>
        </w:tc>
        <w:tc>
          <w:tcPr>
            <w:tcW w:w="1621" w:type="dxa"/>
            <w:noWrap w:val="0"/>
            <w:vAlign w:val="top"/>
          </w:tcPr>
          <w:p>
            <w:pPr>
              <w:pStyle w:val="10"/>
              <w:widowControl w:val="0"/>
              <w:spacing w:after="0" w:line="360" w:lineRule="auto"/>
              <w:jc w:val="both"/>
              <w:rPr>
                <w:rFonts w:hint="eastAsia" w:asciiTheme="majorEastAsia" w:hAnsiTheme="majorEastAsia" w:eastAsiaTheme="majorEastAsia" w:cstheme="maj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99" w:hRule="atLeast"/>
        </w:trPr>
        <w:tc>
          <w:tcPr>
            <w:tcW w:w="8102" w:type="dxa"/>
            <w:gridSpan w:val="5"/>
            <w:noWrap w:val="0"/>
            <w:vAlign w:val="top"/>
          </w:tcPr>
          <w:p>
            <w:pPr>
              <w:pStyle w:val="10"/>
              <w:widowControl w:val="0"/>
              <w:spacing w:after="0" w:line="360" w:lineRule="auto"/>
              <w:jc w:val="both"/>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报告撰写人（签字）：</w:t>
            </w:r>
          </w:p>
          <w:p>
            <w:pPr>
              <w:pStyle w:val="10"/>
              <w:widowControl w:val="0"/>
              <w:spacing w:after="0" w:line="360" w:lineRule="auto"/>
              <w:jc w:val="both"/>
              <w:rPr>
                <w:rFonts w:hint="eastAsia" w:asciiTheme="majorEastAsia" w:hAnsiTheme="majorEastAsia" w:eastAsiaTheme="majorEastAsia" w:cstheme="majorEastAsia"/>
                <w:kern w:val="2"/>
                <w:sz w:val="28"/>
                <w:szCs w:val="28"/>
                <w:lang w:val="zh-TW"/>
              </w:rPr>
            </w:pPr>
          </w:p>
          <w:p>
            <w:pPr>
              <w:pStyle w:val="10"/>
              <w:widowControl w:val="0"/>
              <w:spacing w:after="0" w:line="360" w:lineRule="auto"/>
              <w:jc w:val="both"/>
              <w:rPr>
                <w:rFonts w:hint="eastAsia" w:asciiTheme="majorEastAsia" w:hAnsiTheme="majorEastAsia" w:eastAsiaTheme="majorEastAsia" w:cstheme="majorEastAsia"/>
                <w:kern w:val="2"/>
                <w:sz w:val="28"/>
                <w:szCs w:val="28"/>
                <w:lang w:val="zh-TW"/>
              </w:rPr>
            </w:pPr>
          </w:p>
          <w:p>
            <w:pPr>
              <w:pStyle w:val="10"/>
              <w:widowControl w:val="0"/>
              <w:wordWrap w:val="0"/>
              <w:spacing w:after="0" w:line="360" w:lineRule="auto"/>
              <w:jc w:val="right"/>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71" w:hRule="atLeast"/>
        </w:trPr>
        <w:tc>
          <w:tcPr>
            <w:tcW w:w="8102" w:type="dxa"/>
            <w:gridSpan w:val="5"/>
            <w:noWrap w:val="0"/>
            <w:vAlign w:val="top"/>
          </w:tcPr>
          <w:p>
            <w:pPr>
              <w:pStyle w:val="10"/>
              <w:widowControl w:val="0"/>
              <w:spacing w:after="0" w:line="360" w:lineRule="auto"/>
              <w:jc w:val="both"/>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评价工作负责人（签字）：</w:t>
            </w:r>
          </w:p>
          <w:p>
            <w:pPr>
              <w:pStyle w:val="10"/>
              <w:widowControl w:val="0"/>
              <w:spacing w:after="0" w:line="360" w:lineRule="auto"/>
              <w:jc w:val="both"/>
              <w:rPr>
                <w:rFonts w:hint="eastAsia" w:asciiTheme="majorEastAsia" w:hAnsiTheme="majorEastAsia" w:eastAsiaTheme="majorEastAsia" w:cstheme="majorEastAsia"/>
                <w:kern w:val="2"/>
                <w:sz w:val="28"/>
                <w:szCs w:val="28"/>
                <w:lang w:val="zh-TW"/>
              </w:rPr>
            </w:pPr>
          </w:p>
          <w:p>
            <w:pPr>
              <w:pStyle w:val="10"/>
              <w:widowControl w:val="0"/>
              <w:spacing w:after="0" w:line="360" w:lineRule="auto"/>
              <w:jc w:val="both"/>
              <w:rPr>
                <w:rFonts w:hint="eastAsia" w:asciiTheme="majorEastAsia" w:hAnsiTheme="majorEastAsia" w:eastAsiaTheme="majorEastAsia" w:cstheme="majorEastAsia"/>
                <w:kern w:val="2"/>
                <w:sz w:val="28"/>
                <w:szCs w:val="28"/>
                <w:lang w:val="zh-TW"/>
              </w:rPr>
            </w:pPr>
          </w:p>
          <w:p>
            <w:pPr>
              <w:pStyle w:val="10"/>
              <w:widowControl w:val="0"/>
              <w:wordWrap w:val="0"/>
              <w:spacing w:after="0" w:line="360" w:lineRule="auto"/>
              <w:jc w:val="right"/>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年  月  日</w:t>
            </w:r>
          </w:p>
        </w:tc>
      </w:tr>
    </w:tbl>
    <w:p>
      <w:pPr>
        <w:pStyle w:val="10"/>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10"/>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pPr>
        <w:pStyle w:val="11"/>
        <w:jc w:val="center"/>
        <w:rPr>
          <w:rFonts w:ascii="方正小标宋_GBK" w:hAnsi="Times New Roman" w:eastAsia="方正小标宋_GBK" w:cs="Times New Roman"/>
          <w:b w:val="0"/>
          <w:color w:val="auto"/>
        </w:rPr>
      </w:pPr>
      <w:r>
        <w:rPr>
          <w:rFonts w:hint="eastAsia" w:ascii="方正小标宋_GBK" w:hAnsi="Times New Roman" w:eastAsia="方正小标宋_GBK" w:cs="宋体"/>
          <w:b w:val="0"/>
          <w:color w:val="auto"/>
          <w:lang w:val="zh-CN"/>
        </w:rPr>
        <w:t>目</w:t>
      </w:r>
      <w:r>
        <w:rPr>
          <w:rFonts w:hint="eastAsia" w:ascii="方正小标宋_GBK" w:hAnsi="Times New Roman" w:eastAsia="方正小标宋_GBK" w:cs="宋体"/>
          <w:b w:val="0"/>
          <w:color w:val="auto"/>
          <w:lang w:val="en-US" w:eastAsia="zh-CN"/>
        </w:rPr>
        <w:t xml:space="preserve"> </w:t>
      </w:r>
      <w:r>
        <w:rPr>
          <w:rFonts w:hint="eastAsia" w:ascii="方正小标宋_GBK" w:hAnsi="Times New Roman" w:eastAsia="方正小标宋_GBK" w:cs="宋体"/>
          <w:b w:val="0"/>
          <w:color w:val="auto"/>
          <w:lang w:val="zh-CN"/>
        </w:rPr>
        <w:t>录</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一、摘要</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二、部门概况</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（一）部门机构设置、编制</w:t>
      </w:r>
      <w:r>
        <w:rPr>
          <w:rFonts w:hint="eastAsia" w:asciiTheme="majorEastAsia" w:hAnsiTheme="majorEastAsia" w:eastAsiaTheme="majorEastAsia" w:cstheme="majorEastAsia"/>
          <w:sz w:val="28"/>
          <w:szCs w:val="28"/>
        </w:rPr>
        <w:tab/>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（二）部门职能</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（三）部门工作完成情况</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（四）部门管理制度 </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（五）部门资金来源及使用情况</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（六）政府采购情况 </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（七）固定资产情况</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三、绩效目标</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四、评价思路和过程</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（一）评价思路</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（二）评价目的</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（三）评价依据</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（四）评价对象及评价时段</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五、评价结论和绩效分析</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（一）评价结论</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（二）具体绩效分析</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六、主要经验做法</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七、存在的问题</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八、改进措施及建议</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00" w:lineRule="exact"/>
        <w:ind w:firstLine="560" w:firstLineChars="200"/>
        <w:jc w:val="left"/>
        <w:rPr>
          <w:rFonts w:hint="eastAsia" w:asciiTheme="majorEastAsia" w:hAnsiTheme="majorEastAsia" w:eastAsiaTheme="majorEastAsia" w:cstheme="majorEastAsia"/>
          <w:sz w:val="28"/>
          <w:szCs w:val="28"/>
        </w:rPr>
      </w:pP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附件1 成本费用分析报告</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附件2</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rPr>
        <w:t>部门职能分解</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附件3</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rPr>
        <w:t xml:space="preserve">评价指标体系 </w:t>
      </w:r>
    </w:p>
    <w:p>
      <w:pPr>
        <w:spacing w:line="400" w:lineRule="exact"/>
        <w:ind w:firstLine="560" w:firstLineChars="200"/>
        <w:jc w:val="left"/>
        <w:rPr>
          <w:rFonts w:hint="eastAsia" w:asciiTheme="majorEastAsia" w:hAnsiTheme="majorEastAsia" w:eastAsiaTheme="majorEastAsia" w:cstheme="majorEastAsia"/>
          <w:sz w:val="28"/>
          <w:szCs w:val="28"/>
          <w:lang w:val="en-US" w:eastAsia="zh-CN"/>
        </w:rPr>
      </w:pPr>
      <w:r>
        <w:rPr>
          <w:rFonts w:hint="eastAsia" w:asciiTheme="majorEastAsia" w:hAnsiTheme="majorEastAsia" w:eastAsiaTheme="majorEastAsia" w:cstheme="majorEastAsia"/>
          <w:sz w:val="28"/>
          <w:szCs w:val="28"/>
          <w:lang w:val="en-US" w:eastAsia="zh-CN"/>
        </w:rPr>
        <w:t>附件4 2020年工作总结</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附件5</w:t>
      </w:r>
      <w:r>
        <w:rPr>
          <w:rFonts w:hint="eastAsia" w:asciiTheme="majorEastAsia" w:hAnsiTheme="majorEastAsia" w:eastAsiaTheme="majorEastAsia" w:cstheme="majorEastAsia"/>
          <w:sz w:val="28"/>
          <w:szCs w:val="28"/>
          <w:lang w:val="en-US" w:eastAsia="zh-CN"/>
        </w:rPr>
        <w:t xml:space="preserve"> </w:t>
      </w:r>
      <w:r>
        <w:rPr>
          <w:rFonts w:hint="eastAsia" w:asciiTheme="majorEastAsia" w:hAnsiTheme="majorEastAsia" w:eastAsiaTheme="majorEastAsia" w:cstheme="majorEastAsia"/>
          <w:sz w:val="28"/>
          <w:szCs w:val="28"/>
        </w:rPr>
        <w:t>工作底稿</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0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附件6 </w:t>
      </w:r>
      <w:r>
        <w:rPr>
          <w:rFonts w:hint="eastAsia" w:asciiTheme="majorEastAsia" w:hAnsiTheme="majorEastAsia" w:eastAsiaTheme="majorEastAsia" w:cstheme="majorEastAsia"/>
          <w:sz w:val="28"/>
          <w:szCs w:val="28"/>
          <w:lang w:eastAsia="zh-CN"/>
        </w:rPr>
        <w:t>盘龙区残联</w:t>
      </w:r>
      <w:r>
        <w:rPr>
          <w:rFonts w:hint="eastAsia" w:asciiTheme="majorEastAsia" w:hAnsiTheme="majorEastAsia" w:eastAsiaTheme="majorEastAsia" w:cstheme="majorEastAsia"/>
          <w:sz w:val="28"/>
          <w:szCs w:val="28"/>
          <w:lang w:val="en-US" w:eastAsia="zh-CN"/>
        </w:rPr>
        <w:t>2020</w:t>
      </w:r>
      <w:r>
        <w:rPr>
          <w:rFonts w:hint="eastAsia" w:asciiTheme="majorEastAsia" w:hAnsiTheme="majorEastAsia" w:eastAsiaTheme="majorEastAsia" w:cstheme="majorEastAsia"/>
          <w:sz w:val="28"/>
          <w:szCs w:val="28"/>
        </w:rPr>
        <w:t>年部门预算、决算明细表（单位：元）</w:t>
      </w:r>
    </w:p>
    <w:p>
      <w:pPr>
        <w:spacing w:line="600" w:lineRule="exact"/>
        <w:ind w:firstLine="600" w:firstLineChars="200"/>
        <w:jc w:val="left"/>
        <w:rPr>
          <w:rFonts w:ascii="黑体" w:hAnsi="黑体" w:eastAsia="黑体"/>
          <w:szCs w:val="32"/>
        </w:rPr>
      </w:pPr>
    </w:p>
    <w:p>
      <w:pPr>
        <w:spacing w:line="600" w:lineRule="exact"/>
        <w:ind w:firstLine="600" w:firstLineChars="200"/>
        <w:jc w:val="center"/>
        <w:rPr>
          <w:rFonts w:ascii="方正小标宋_GBK" w:hAnsi="黑体" w:eastAsia="方正小标宋_GBK"/>
          <w:szCs w:val="32"/>
        </w:rPr>
      </w:pPr>
    </w:p>
    <w:p>
      <w:pPr>
        <w:keepNext/>
        <w:keepLines/>
        <w:pageBreakBefore w:val="0"/>
        <w:widowControl w:val="0"/>
        <w:kinsoku/>
        <w:wordWrap/>
        <w:overflowPunct/>
        <w:topLinePunct w:val="0"/>
        <w:autoSpaceDE/>
        <w:autoSpaceDN/>
        <w:bidi w:val="0"/>
        <w:adjustRightInd/>
        <w:snapToGrid/>
        <w:spacing w:line="600" w:lineRule="exact"/>
        <w:ind w:firstLine="0" w:firstLineChars="0"/>
        <w:jc w:val="center"/>
        <w:textAlignment w:val="auto"/>
        <w:outlineLvl w:val="9"/>
      </w:pPr>
      <w:r>
        <w:rPr>
          <w:rFonts w:hint="eastAsia" w:ascii="方正小标宋简体" w:hAnsi="方正小标宋简体" w:eastAsia="方正小标宋简体" w:cs="方正小标宋简体"/>
          <w:sz w:val="44"/>
          <w:szCs w:val="44"/>
          <w:lang w:eastAsia="zh-CN"/>
        </w:rPr>
        <w:t>盘龙区残疾人联合会</w:t>
      </w:r>
      <w:r>
        <w:rPr>
          <w:rFonts w:hint="eastAsia" w:ascii="方正小标宋简体" w:hAnsi="方正小标宋简体" w:eastAsia="方正小标宋简体" w:cs="方正小标宋简体"/>
          <w:sz w:val="44"/>
          <w:szCs w:val="44"/>
        </w:rPr>
        <w:t>2</w:t>
      </w:r>
      <w:r>
        <w:rPr>
          <w:rFonts w:hint="eastAsia" w:ascii="方正小标宋简体" w:hAnsi="方正小标宋简体" w:eastAsia="方正小标宋简体" w:cs="方正小标宋简体"/>
          <w:sz w:val="44"/>
          <w:szCs w:val="44"/>
          <w:lang w:val="en-US" w:eastAsia="zh-CN"/>
        </w:rPr>
        <w:t>020</w:t>
      </w:r>
      <w:r>
        <w:rPr>
          <w:rFonts w:hint="eastAsia" w:ascii="方正小标宋简体" w:hAnsi="方正小标宋简体" w:eastAsia="方正小标宋简体" w:cs="方正小标宋简体"/>
          <w:sz w:val="44"/>
          <w:szCs w:val="44"/>
        </w:rPr>
        <w:t>年度部门整体支出绩效评价报告</w:t>
      </w:r>
    </w:p>
    <w:p>
      <w:pPr>
        <w:pStyle w:val="3"/>
        <w:pageBreakBefore w:val="0"/>
        <w:widowControl w:val="0"/>
        <w:kinsoku/>
        <w:wordWrap/>
        <w:overflowPunct/>
        <w:autoSpaceDE/>
        <w:autoSpaceDN/>
        <w:bidi w:val="0"/>
        <w:adjustRightInd/>
        <w:snapToGrid/>
        <w:spacing w:line="600" w:lineRule="exact"/>
        <w:ind w:firstLine="643" w:firstLineChars="200"/>
        <w:jc w:val="both"/>
        <w:textAlignment w:val="auto"/>
        <w:rPr>
          <w:rFonts w:hint="eastAsia"/>
          <w:sz w:val="32"/>
          <w:szCs w:val="32"/>
        </w:rPr>
      </w:pPr>
    </w:p>
    <w:p>
      <w:pPr>
        <w:pStyle w:val="3"/>
        <w:pageBreakBefore w:val="0"/>
        <w:widowControl w:val="0"/>
        <w:kinsoku/>
        <w:wordWrap/>
        <w:overflowPunct/>
        <w:autoSpaceDE/>
        <w:autoSpaceDN/>
        <w:bidi w:val="0"/>
        <w:adjustRightInd/>
        <w:snapToGrid/>
        <w:spacing w:line="600" w:lineRule="exact"/>
        <w:ind w:firstLine="640" w:firstLineChars="200"/>
        <w:jc w:val="both"/>
        <w:textAlignment w:val="auto"/>
        <w:rPr>
          <w:sz w:val="32"/>
          <w:szCs w:val="32"/>
        </w:rPr>
      </w:pPr>
      <w:r>
        <w:rPr>
          <w:rFonts w:hint="eastAsia"/>
          <w:b w:val="0"/>
          <w:bCs/>
          <w:sz w:val="32"/>
          <w:szCs w:val="32"/>
        </w:rPr>
        <w:t>一、部门概况</w:t>
      </w:r>
    </w:p>
    <w:p>
      <w:pPr>
        <w:pStyle w:val="4"/>
        <w:pageBreakBefore w:val="0"/>
        <w:widowControl w:val="0"/>
        <w:kinsoku/>
        <w:wordWrap/>
        <w:overflowPunct/>
        <w:autoSpaceDE/>
        <w:autoSpaceDN/>
        <w:bidi w:val="0"/>
        <w:adjustRightInd/>
        <w:snapToGrid/>
        <w:spacing w:line="600" w:lineRule="exact"/>
        <w:ind w:firstLine="643" w:firstLineChars="200"/>
        <w:jc w:val="both"/>
        <w:textAlignment w:val="auto"/>
        <w:rPr>
          <w:rFonts w:hint="eastAsia" w:eastAsia="楷体_GB2312"/>
          <w:sz w:val="32"/>
          <w:szCs w:val="32"/>
          <w:lang w:eastAsia="zh-CN"/>
        </w:rPr>
      </w:pPr>
      <w:r>
        <w:rPr>
          <w:rFonts w:hint="eastAsia" w:ascii="楷体_GB2312" w:hAnsi="楷体_GB2312" w:eastAsia="楷体_GB2312" w:cs="楷体_GB2312"/>
          <w:b/>
          <w:bCs w:val="0"/>
          <w:sz w:val="32"/>
          <w:szCs w:val="32"/>
        </w:rPr>
        <w:t>（一）部门机构设置、编制</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sz w:val="32"/>
          <w:szCs w:val="32"/>
        </w:rPr>
      </w:pPr>
      <w:r>
        <w:rPr>
          <w:rFonts w:hint="eastAsia"/>
          <w:sz w:val="32"/>
          <w:szCs w:val="32"/>
        </w:rPr>
        <w:t>昆明市</w:t>
      </w:r>
      <w:r>
        <w:rPr>
          <w:rFonts w:hint="eastAsia"/>
          <w:sz w:val="32"/>
          <w:szCs w:val="32"/>
          <w:lang w:eastAsia="zh-CN"/>
        </w:rPr>
        <w:t>盘龙区残</w:t>
      </w:r>
      <w:r>
        <w:rPr>
          <w:rFonts w:hint="eastAsia"/>
          <w:sz w:val="32"/>
          <w:szCs w:val="32"/>
        </w:rPr>
        <w:t>疾人联合会是经国家法律确认，经盘龙区人民政府批准的由残疾人及其亲友和残疾人工作者组成的人民团体，是全区各类残疾人的统一组织，是党和政府联系广大残疾人的桥梁和纽带。</w:t>
      </w:r>
    </w:p>
    <w:p>
      <w:pPr>
        <w:pageBreakBefore w:val="0"/>
        <w:widowControl w:val="0"/>
        <w:kinsoku/>
        <w:wordWrap/>
        <w:overflowPunct/>
        <w:autoSpaceDE/>
        <w:autoSpaceDN/>
        <w:bidi w:val="0"/>
        <w:adjustRightInd/>
        <w:snapToGrid/>
        <w:spacing w:line="600" w:lineRule="exact"/>
        <w:ind w:firstLine="640" w:firstLineChars="200"/>
        <w:jc w:val="both"/>
        <w:textAlignment w:val="auto"/>
        <w:rPr>
          <w:sz w:val="32"/>
          <w:szCs w:val="32"/>
        </w:rPr>
      </w:pPr>
      <w:r>
        <w:rPr>
          <w:rFonts w:hint="eastAsia"/>
          <w:sz w:val="32"/>
          <w:szCs w:val="32"/>
          <w:lang w:eastAsia="zh-CN"/>
        </w:rPr>
        <w:t>盘龙区残联</w:t>
      </w:r>
      <w:r>
        <w:rPr>
          <w:rFonts w:hint="eastAsia"/>
          <w:sz w:val="32"/>
          <w:szCs w:val="32"/>
        </w:rPr>
        <w:t>内设3个职能科室，即办公室、康复宣文科、组联教就科，下属二个事业单位，即</w:t>
      </w:r>
      <w:r>
        <w:rPr>
          <w:rFonts w:hint="eastAsia"/>
          <w:sz w:val="32"/>
          <w:szCs w:val="32"/>
          <w:lang w:eastAsia="zh-CN"/>
        </w:rPr>
        <w:t>盘龙区残</w:t>
      </w:r>
      <w:r>
        <w:rPr>
          <w:rFonts w:hint="eastAsia"/>
          <w:sz w:val="32"/>
          <w:szCs w:val="32"/>
        </w:rPr>
        <w:t>疾人康复指导和就业服务站（全额拨款事业单位）、</w:t>
      </w:r>
      <w:r>
        <w:rPr>
          <w:rFonts w:hint="eastAsia"/>
          <w:sz w:val="32"/>
          <w:szCs w:val="32"/>
          <w:lang w:eastAsia="zh-CN"/>
        </w:rPr>
        <w:t>盘龙区残</w:t>
      </w:r>
      <w:r>
        <w:rPr>
          <w:rFonts w:hint="eastAsia"/>
          <w:sz w:val="32"/>
          <w:szCs w:val="32"/>
        </w:rPr>
        <w:t>疾人综合服务中心（财政差额拨款80%）</w:t>
      </w:r>
      <w:r>
        <w:rPr>
          <w:rFonts w:hint="eastAsia"/>
          <w:sz w:val="32"/>
          <w:szCs w:val="32"/>
          <w:lang w:eastAsia="zh-CN"/>
        </w:rPr>
        <w:t>。其中</w:t>
      </w:r>
      <w:r>
        <w:rPr>
          <w:rFonts w:hint="eastAsia"/>
          <w:sz w:val="32"/>
          <w:szCs w:val="32"/>
          <w:lang w:val="en-US" w:eastAsia="zh-CN"/>
        </w:rPr>
        <w:t>，盘龙区残疾人综合服务中心于2018年4月</w:t>
      </w:r>
      <w:r>
        <w:rPr>
          <w:rFonts w:hint="eastAsia"/>
          <w:sz w:val="32"/>
          <w:szCs w:val="32"/>
        </w:rPr>
        <w:t>起机构</w:t>
      </w:r>
      <w:r>
        <w:rPr>
          <w:sz w:val="32"/>
          <w:szCs w:val="32"/>
        </w:rPr>
        <w:t>单列</w:t>
      </w:r>
      <w:r>
        <w:rPr>
          <w:rFonts w:hint="eastAsia"/>
          <w:sz w:val="32"/>
          <w:szCs w:val="32"/>
        </w:rPr>
        <w:t>，实行独立核算。</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sz w:val="32"/>
          <w:szCs w:val="32"/>
        </w:rPr>
      </w:pPr>
      <w:r>
        <w:rPr>
          <w:rFonts w:hint="eastAsia"/>
          <w:sz w:val="32"/>
          <w:szCs w:val="32"/>
          <w:lang w:eastAsia="zh-CN"/>
        </w:rPr>
        <w:t>盘龙区残联</w:t>
      </w:r>
      <w:r>
        <w:rPr>
          <w:rFonts w:hint="eastAsia"/>
          <w:sz w:val="32"/>
          <w:szCs w:val="32"/>
        </w:rPr>
        <w:t>机关及下属单位共核定行政及事业编制21名，</w:t>
      </w:r>
      <w:r>
        <w:rPr>
          <w:rFonts w:hint="eastAsia"/>
          <w:sz w:val="32"/>
          <w:szCs w:val="32"/>
          <w:lang w:val="en-US" w:eastAsia="zh-CN"/>
        </w:rPr>
        <w:t>2020年</w:t>
      </w:r>
      <w:r>
        <w:rPr>
          <w:rFonts w:hint="eastAsia"/>
          <w:sz w:val="32"/>
          <w:szCs w:val="32"/>
        </w:rPr>
        <w:t>年末有在职人员</w:t>
      </w:r>
      <w:r>
        <w:rPr>
          <w:rFonts w:hint="eastAsia"/>
          <w:sz w:val="32"/>
          <w:szCs w:val="32"/>
          <w:lang w:val="en-US" w:eastAsia="zh-CN"/>
        </w:rPr>
        <w:t>20</w:t>
      </w:r>
      <w:r>
        <w:rPr>
          <w:rFonts w:hint="eastAsia"/>
          <w:sz w:val="32"/>
          <w:szCs w:val="32"/>
        </w:rPr>
        <w:t>人</w:t>
      </w:r>
      <w:r>
        <w:rPr>
          <w:rFonts w:hint="eastAsia"/>
          <w:sz w:val="32"/>
          <w:szCs w:val="32"/>
          <w:lang w:eastAsia="zh-CN"/>
        </w:rPr>
        <w:t>（包括行政编制</w:t>
      </w:r>
      <w:r>
        <w:rPr>
          <w:rFonts w:hint="eastAsia"/>
          <w:sz w:val="32"/>
          <w:szCs w:val="32"/>
          <w:lang w:val="en-US" w:eastAsia="zh-CN"/>
        </w:rPr>
        <w:t>7人，全额事业编制8人，差额事业编制5人</w:t>
      </w:r>
      <w:r>
        <w:rPr>
          <w:rFonts w:hint="eastAsia"/>
          <w:sz w:val="32"/>
          <w:szCs w:val="32"/>
          <w:lang w:eastAsia="zh-CN"/>
        </w:rPr>
        <w:t>）</w:t>
      </w:r>
      <w:r>
        <w:rPr>
          <w:rFonts w:hint="eastAsia"/>
          <w:sz w:val="32"/>
          <w:szCs w:val="32"/>
        </w:rPr>
        <w:t>，退休人员</w:t>
      </w:r>
      <w:r>
        <w:rPr>
          <w:rFonts w:hint="eastAsia"/>
          <w:sz w:val="32"/>
          <w:szCs w:val="32"/>
          <w:lang w:val="en-US" w:eastAsia="zh-CN"/>
        </w:rPr>
        <w:t>7</w:t>
      </w:r>
      <w:r>
        <w:rPr>
          <w:rFonts w:hint="eastAsia"/>
          <w:sz w:val="32"/>
          <w:szCs w:val="32"/>
        </w:rPr>
        <w:t>人</w:t>
      </w:r>
      <w:r>
        <w:rPr>
          <w:rFonts w:hint="eastAsia"/>
          <w:sz w:val="32"/>
          <w:szCs w:val="32"/>
          <w:lang w:eastAsia="zh-CN"/>
        </w:rPr>
        <w:t>，其中差额事业编制</w:t>
      </w:r>
      <w:r>
        <w:rPr>
          <w:rFonts w:hint="eastAsia"/>
          <w:sz w:val="32"/>
          <w:szCs w:val="32"/>
          <w:lang w:val="en-US" w:eastAsia="zh-CN"/>
        </w:rPr>
        <w:t>5人属</w:t>
      </w:r>
      <w:r>
        <w:rPr>
          <w:rFonts w:hint="eastAsia"/>
          <w:sz w:val="32"/>
          <w:szCs w:val="32"/>
          <w:lang w:eastAsia="zh-CN"/>
        </w:rPr>
        <w:t>独立核算的残疾人综合服务中心职工</w:t>
      </w:r>
      <w:r>
        <w:rPr>
          <w:rFonts w:hint="eastAsia"/>
          <w:sz w:val="32"/>
          <w:szCs w:val="32"/>
        </w:rPr>
        <w:t>。</w:t>
      </w:r>
    </w:p>
    <w:p>
      <w:pPr>
        <w:pStyle w:val="4"/>
        <w:pageBreakBefore w:val="0"/>
        <w:widowControl w:val="0"/>
        <w:kinsoku/>
        <w:wordWrap/>
        <w:overflowPunct/>
        <w:autoSpaceDE/>
        <w:autoSpaceDN/>
        <w:bidi w:val="0"/>
        <w:adjustRightInd/>
        <w:snapToGrid/>
        <w:spacing w:line="600" w:lineRule="exact"/>
        <w:ind w:firstLine="643" w:firstLineChars="200"/>
        <w:jc w:val="both"/>
        <w:textAlignment w:val="auto"/>
        <w:rPr>
          <w:rFonts w:hint="eastAsia" w:ascii="楷体_GB2312" w:hAnsi="楷体_GB2312" w:eastAsia="楷体_GB2312" w:cs="楷体_GB2312"/>
          <w:sz w:val="32"/>
          <w:szCs w:val="32"/>
        </w:rPr>
      </w:pPr>
      <w:r>
        <w:rPr>
          <w:rFonts w:hint="eastAsia" w:ascii="楷体_GB2312" w:hAnsi="楷体_GB2312" w:eastAsia="楷体_GB2312" w:cs="楷体_GB2312"/>
          <w:b/>
          <w:bCs w:val="0"/>
          <w:sz w:val="32"/>
          <w:szCs w:val="32"/>
        </w:rPr>
        <w:t>（二）部门职能</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代表残疾人共同利益，维护残疾人合法权益；</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团结教育残疾人，为残疾人务；</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履行法律赋予的职责，承担政府委托的任务，管理和发展残疾人事业</w:t>
      </w:r>
      <w:r>
        <w:rPr>
          <w:rFonts w:hint="eastAsia" w:ascii="仿宋_GB2312" w:hAnsi="仿宋_GB2312" w:eastAsia="仿宋_GB2312" w:cs="仿宋_GB2312"/>
          <w:sz w:val="32"/>
          <w:szCs w:val="32"/>
          <w:lang w:val="en-US" w:eastAsia="zh-CN"/>
        </w:rPr>
        <w:t>。</w:t>
      </w:r>
    </w:p>
    <w:p>
      <w:pPr>
        <w:pStyle w:val="4"/>
        <w:pageBreakBefore w:val="0"/>
        <w:widowControl w:val="0"/>
        <w:kinsoku/>
        <w:wordWrap/>
        <w:overflowPunct/>
        <w:autoSpaceDE/>
        <w:autoSpaceDN/>
        <w:bidi w:val="0"/>
        <w:adjustRightInd/>
        <w:snapToGrid/>
        <w:spacing w:line="600" w:lineRule="exact"/>
        <w:ind w:firstLine="643" w:firstLineChars="200"/>
        <w:jc w:val="both"/>
        <w:textAlignment w:val="auto"/>
        <w:rPr>
          <w:sz w:val="32"/>
          <w:szCs w:val="32"/>
        </w:rPr>
      </w:pPr>
      <w:r>
        <w:rPr>
          <w:rFonts w:hint="eastAsia" w:ascii="楷体_GB2312" w:hAnsi="楷体_GB2312" w:eastAsia="楷体_GB2312" w:cs="楷体_GB2312"/>
          <w:b/>
          <w:bCs w:val="0"/>
          <w:sz w:val="32"/>
          <w:szCs w:val="32"/>
        </w:rPr>
        <w:t>（三）部门工作完成情况</w:t>
      </w:r>
    </w:p>
    <w:p>
      <w:pPr>
        <w:pageBreakBefore w:val="0"/>
        <w:widowControl w:val="0"/>
        <w:kinsoku/>
        <w:wordWrap/>
        <w:overflowPunct/>
        <w:autoSpaceDE/>
        <w:autoSpaceDN/>
        <w:bidi w:val="0"/>
        <w:adjustRightInd/>
        <w:snapToGrid/>
        <w:spacing w:line="600" w:lineRule="exact"/>
        <w:ind w:firstLine="643" w:firstLineChars="200"/>
        <w:jc w:val="both"/>
        <w:textAlignment w:val="auto"/>
        <w:rPr>
          <w:rFonts w:hint="eastAsia"/>
          <w:b/>
          <w:bCs/>
          <w:sz w:val="32"/>
          <w:szCs w:val="32"/>
          <w:lang w:val="en-US" w:eastAsia="zh-CN"/>
        </w:rPr>
      </w:pPr>
      <w:r>
        <w:rPr>
          <w:rFonts w:hint="eastAsia" w:ascii="仿宋_GB2312" w:hAnsi="仿宋_GB2312" w:eastAsia="仿宋_GB2312" w:cs="仿宋_GB2312"/>
          <w:b/>
          <w:bCs/>
          <w:sz w:val="32"/>
          <w:szCs w:val="32"/>
          <w:lang w:val="en-US" w:eastAsia="zh-CN"/>
        </w:rPr>
        <w:t>1.残疾人康复工作。</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eastAsia="仿宋_GB2312"/>
          <w:sz w:val="32"/>
          <w:szCs w:val="32"/>
          <w:lang w:val="en-US" w:eastAsia="zh-CN"/>
        </w:rPr>
      </w:pPr>
      <w:r>
        <w:rPr>
          <w:rFonts w:hint="eastAsia" w:ascii="仿宋_GB2312" w:hAnsi="仿宋_GB2312" w:eastAsia="仿宋_GB2312" w:cs="仿宋_GB2312"/>
          <w:sz w:val="32"/>
          <w:szCs w:val="32"/>
        </w:rPr>
        <w:t>为辖区411</w:t>
      </w:r>
      <w:r>
        <w:rPr>
          <w:rFonts w:hint="eastAsia" w:ascii="仿宋_GB2312" w:eastAsia="仿宋_GB2312"/>
          <w:color w:val="auto"/>
          <w:sz w:val="32"/>
          <w:szCs w:val="32"/>
          <w:lang w:eastAsia="zh-CN"/>
        </w:rPr>
        <w:t>名</w:t>
      </w:r>
      <w:r>
        <w:rPr>
          <w:rFonts w:hint="eastAsia" w:ascii="仿宋_GB2312" w:hAnsi="仿宋_GB2312" w:eastAsia="仿宋_GB2312" w:cs="仿宋_GB2312"/>
          <w:sz w:val="32"/>
          <w:szCs w:val="32"/>
        </w:rPr>
        <w:t>贫困精神残疾人提供免费服药服务，</w:t>
      </w:r>
      <w:r>
        <w:rPr>
          <w:rFonts w:hint="eastAsia" w:ascii="仿宋_GB2312" w:eastAsia="仿宋_GB2312"/>
          <w:color w:val="auto"/>
          <w:sz w:val="32"/>
          <w:szCs w:val="32"/>
        </w:rPr>
        <w:t>累计免费服药</w:t>
      </w:r>
      <w:r>
        <w:rPr>
          <w:rFonts w:hint="eastAsia" w:ascii="仿宋_GB2312" w:hAnsi="仿宋_GB2312" w:eastAsia="仿宋_GB2312" w:cs="仿宋_GB2312"/>
          <w:sz w:val="32"/>
          <w:szCs w:val="32"/>
        </w:rPr>
        <w:t>4776人（次）</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为辖区</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名贫困精神残疾人给予住院补助</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lang w:eastAsia="zh-CN"/>
        </w:rPr>
        <w:t>为</w:t>
      </w:r>
      <w:r>
        <w:rPr>
          <w:rFonts w:hint="eastAsia" w:ascii="仿宋_GB2312" w:hAnsi="仿宋_GB2312" w:eastAsia="仿宋_GB2312" w:cs="仿宋_GB2312"/>
          <w:sz w:val="32"/>
          <w:szCs w:val="32"/>
        </w:rPr>
        <w:t>辖区</w:t>
      </w:r>
      <w:r>
        <w:rPr>
          <w:rFonts w:hint="eastAsia" w:ascii="仿宋_GB2312" w:hAnsi="仿宋_GB2312" w:eastAsia="仿宋_GB2312" w:cs="仿宋_GB2312"/>
          <w:sz w:val="32"/>
          <w:szCs w:val="32"/>
          <w:lang w:val="en-US" w:eastAsia="zh-CN"/>
        </w:rPr>
        <w:t>68</w:t>
      </w:r>
      <w:r>
        <w:rPr>
          <w:rFonts w:hint="eastAsia" w:ascii="仿宋_GB2312" w:hAnsi="仿宋_GB2312" w:eastAsia="仿宋_GB2312" w:cs="仿宋_GB2312"/>
          <w:sz w:val="32"/>
          <w:szCs w:val="32"/>
        </w:rPr>
        <w:t>名残疾人</w:t>
      </w:r>
      <w:r>
        <w:rPr>
          <w:rFonts w:hint="eastAsia" w:ascii="仿宋_GB2312" w:hAnsi="仿宋_GB2312" w:eastAsia="仿宋_GB2312" w:cs="仿宋_GB2312"/>
          <w:sz w:val="32"/>
          <w:szCs w:val="32"/>
          <w:lang w:eastAsia="zh-CN"/>
        </w:rPr>
        <w:t>适配</w:t>
      </w:r>
      <w:r>
        <w:rPr>
          <w:rFonts w:hint="eastAsia" w:ascii="仿宋_GB2312" w:hAnsi="仿宋_GB2312" w:eastAsia="仿宋_GB2312" w:cs="仿宋_GB2312"/>
          <w:sz w:val="32"/>
          <w:szCs w:val="32"/>
        </w:rPr>
        <w:t>辅具</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其中</w:t>
      </w:r>
      <w:r>
        <w:rPr>
          <w:rFonts w:hint="eastAsia" w:ascii="仿宋_GB2312" w:hAnsi="仿宋_GB2312" w:eastAsia="仿宋_GB2312" w:cs="仿宋_GB2312"/>
          <w:sz w:val="32"/>
          <w:szCs w:val="32"/>
          <w:lang w:eastAsia="zh-CN"/>
        </w:rPr>
        <w:t>适配</w:t>
      </w:r>
      <w:r>
        <w:rPr>
          <w:rFonts w:hint="eastAsia" w:ascii="仿宋_GB2312" w:hAnsi="仿宋_GB2312" w:eastAsia="仿宋_GB2312" w:cs="仿宋_GB2312"/>
          <w:sz w:val="32"/>
          <w:szCs w:val="32"/>
        </w:rPr>
        <w:t>普及型辅具52人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假肢适配及维修11人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适配助听器</w:t>
      </w:r>
      <w:r>
        <w:rPr>
          <w:rFonts w:hint="eastAsia" w:ascii="仿宋_GB2312" w:hAnsi="仿宋_GB2312" w:eastAsia="仿宋_GB2312" w:cs="仿宋_GB2312"/>
          <w:sz w:val="32"/>
          <w:szCs w:val="32"/>
          <w:lang w:val="en-US" w:eastAsia="zh-CN"/>
        </w:rPr>
        <w:t>5人</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rPr>
        <w:t>为辖区5</w:t>
      </w:r>
      <w:r>
        <w:rPr>
          <w:rFonts w:hint="eastAsia" w:ascii="仿宋_GB2312" w:hAnsi="仿宋_GB2312" w:eastAsia="仿宋_GB2312" w:cs="仿宋_GB2312"/>
          <w:sz w:val="32"/>
          <w:szCs w:val="32"/>
          <w:lang w:val="en-US" w:eastAsia="zh-CN"/>
        </w:rPr>
        <w:t>495</w:t>
      </w:r>
      <w:r>
        <w:rPr>
          <w:rFonts w:hint="eastAsia" w:ascii="仿宋_GB2312" w:hAnsi="仿宋_GB2312" w:eastAsia="仿宋_GB2312" w:cs="仿宋_GB2312"/>
          <w:sz w:val="32"/>
          <w:szCs w:val="32"/>
        </w:rPr>
        <w:t>名残疾人提供“家庭医生”签约服务</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lang w:val="en-US" w:eastAsia="zh-CN"/>
        </w:rPr>
        <w:t>为912名残疾人提供体质监测服务，并组织269名有健身需求的残疾人到健身机构参与体育健身活动</w:t>
      </w:r>
      <w:r>
        <w:rPr>
          <w:rFonts w:hint="eastAsia" w:ascii="仿宋_GB2312" w:hAnsi="仿宋_GB2312" w:cs="仿宋_GB2312"/>
          <w:sz w:val="32"/>
          <w:szCs w:val="32"/>
          <w:lang w:val="en-US" w:eastAsia="zh-CN"/>
        </w:rPr>
        <w:t>；为</w:t>
      </w:r>
      <w:r>
        <w:rPr>
          <w:rFonts w:hint="eastAsia" w:ascii="仿宋_GB2312" w:hAnsi="仿宋_GB2312" w:eastAsia="仿宋_GB2312" w:cs="仿宋_GB2312"/>
          <w:color w:val="auto"/>
          <w:sz w:val="32"/>
          <w:szCs w:val="32"/>
          <w:lang w:val="en-US" w:eastAsia="zh-CN"/>
        </w:rPr>
        <w:t>全区120名有康复需求的残疾儿童已按规定程序进入昆明市定点康复机构进行康复救助治疗</w:t>
      </w:r>
      <w:r>
        <w:rPr>
          <w:rFonts w:hint="eastAsia" w:ascii="仿宋_GB2312" w:hAnsi="仿宋_GB2312" w:cs="仿宋_GB2312"/>
          <w:color w:val="auto"/>
          <w:sz w:val="32"/>
          <w:szCs w:val="32"/>
          <w:lang w:val="en-US" w:eastAsia="zh-CN"/>
        </w:rPr>
        <w:t>。</w:t>
      </w:r>
    </w:p>
    <w:p>
      <w:pPr>
        <w:pageBreakBefore w:val="0"/>
        <w:widowControl w:val="0"/>
        <w:kinsoku/>
        <w:wordWrap/>
        <w:overflowPunct/>
        <w:autoSpaceDE/>
        <w:autoSpaceDN/>
        <w:bidi w:val="0"/>
        <w:adjustRightInd/>
        <w:snapToGrid/>
        <w:spacing w:line="600" w:lineRule="exact"/>
        <w:ind w:firstLine="643" w:firstLineChars="200"/>
        <w:jc w:val="both"/>
        <w:textAlignment w:val="auto"/>
        <w:rPr>
          <w:rFonts w:hint="eastAsia"/>
          <w:sz w:val="32"/>
          <w:szCs w:val="32"/>
          <w:lang w:val="en-US" w:eastAsia="zh-CN"/>
        </w:rPr>
      </w:pPr>
      <w:r>
        <w:rPr>
          <w:rFonts w:hint="eastAsia" w:ascii="仿宋_GB2312" w:hAnsi="仿宋_GB2312" w:eastAsia="仿宋_GB2312" w:cs="仿宋_GB2312"/>
          <w:b/>
          <w:bCs/>
          <w:sz w:val="32"/>
          <w:szCs w:val="32"/>
          <w:lang w:val="en-US" w:eastAsia="zh-CN"/>
        </w:rPr>
        <w:t>2.残疾人教育就业和扶贫工作。</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做好残疾人按比例就业年审工作，170家用人单位安置残疾人就业458.25人，</w:t>
      </w:r>
      <w:r>
        <w:rPr>
          <w:rFonts w:hint="eastAsia" w:ascii="仿宋_GB2312" w:hAnsi="仿宋_GB2312" w:eastAsia="仿宋_GB2312" w:cs="仿宋_GB2312"/>
          <w:sz w:val="32"/>
          <w:szCs w:val="32"/>
          <w:lang w:eastAsia="zh-CN"/>
        </w:rPr>
        <w:t>同时，辖区内</w:t>
      </w:r>
      <w:r>
        <w:rPr>
          <w:rFonts w:hint="eastAsia" w:ascii="仿宋_GB2312" w:hAnsi="仿宋_GB2312" w:eastAsia="仿宋_GB2312" w:cs="仿宋_GB2312"/>
          <w:sz w:val="32"/>
          <w:szCs w:val="32"/>
          <w:lang w:val="en-US" w:eastAsia="zh-CN"/>
        </w:rPr>
        <w:t>59名残疾人通过自主创业实现就业</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rPr>
        <w:t>为辖区内15家规范化建设盲人按摩机构和2家医疗按摩所拨付一次性扶持资金，实地走访辖区内34家盲人按摩机构，并发放1800只一次性医用口罩和36桶84消毒液</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组织18人参加2020年度云南省盲人医疗按摩人员国家级暨省级继续教育培训</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lang w:val="en-US" w:eastAsia="zh-CN"/>
        </w:rPr>
        <w:t>全年</w:t>
      </w:r>
      <w:r>
        <w:rPr>
          <w:rFonts w:hint="eastAsia" w:ascii="仿宋_GB2312" w:hAnsi="仿宋_GB2312" w:eastAsia="仿宋_GB2312" w:cs="仿宋_GB2312"/>
          <w:sz w:val="32"/>
          <w:szCs w:val="32"/>
          <w:lang w:eastAsia="zh-CN"/>
        </w:rPr>
        <w:t>备案</w:t>
      </w:r>
      <w:r>
        <w:rPr>
          <w:rFonts w:hint="eastAsia" w:ascii="仿宋_GB2312" w:hAnsi="仿宋_GB2312" w:eastAsia="仿宋_GB2312" w:cs="仿宋_GB2312"/>
          <w:sz w:val="32"/>
          <w:szCs w:val="32"/>
        </w:rPr>
        <w:t>盲人保健按摩机构3</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家</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为辖区</w:t>
      </w:r>
      <w:r>
        <w:rPr>
          <w:rFonts w:hint="eastAsia" w:ascii="仿宋_GB2312" w:hAnsi="仿宋_GB2312" w:eastAsia="仿宋_GB2312" w:cs="仿宋_GB2312"/>
          <w:bCs/>
          <w:color w:val="auto"/>
          <w:sz w:val="32"/>
          <w:szCs w:val="32"/>
          <w:lang w:val="en-US" w:eastAsia="zh-CN"/>
        </w:rPr>
        <w:t>11</w:t>
      </w:r>
      <w:r>
        <w:rPr>
          <w:rFonts w:hint="eastAsia" w:ascii="仿宋_GB2312" w:hAnsi="仿宋_GB2312" w:eastAsia="仿宋_GB2312" w:cs="仿宋_GB2312"/>
          <w:sz w:val="32"/>
          <w:szCs w:val="32"/>
        </w:rPr>
        <w:t>名自主创业残疾人申报创业扶持</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lang w:eastAsia="zh-CN"/>
        </w:rPr>
        <w:t>为</w:t>
      </w:r>
      <w:r>
        <w:rPr>
          <w:rFonts w:hint="eastAsia" w:ascii="仿宋_GB2312" w:hAnsi="仿宋_GB2312" w:eastAsia="仿宋_GB2312" w:cs="仿宋_GB2312"/>
          <w:sz w:val="32"/>
          <w:szCs w:val="32"/>
        </w:rPr>
        <w:t>辖区</w:t>
      </w:r>
      <w:r>
        <w:rPr>
          <w:rFonts w:hint="eastAsia" w:ascii="仿宋_GB2312" w:hAnsi="仿宋_GB2312" w:eastAsia="仿宋_GB2312" w:cs="仿宋_GB2312"/>
          <w:sz w:val="32"/>
          <w:szCs w:val="32"/>
          <w:lang w:val="en-US" w:eastAsia="zh-CN"/>
        </w:rPr>
        <w:t>134</w:t>
      </w:r>
      <w:r>
        <w:rPr>
          <w:rFonts w:hint="eastAsia" w:ascii="仿宋_GB2312" w:hAnsi="仿宋_GB2312" w:eastAsia="仿宋_GB2312" w:cs="仿宋_GB2312"/>
          <w:sz w:val="32"/>
          <w:szCs w:val="32"/>
        </w:rPr>
        <w:t>名残疾人进行</w:t>
      </w:r>
      <w:r>
        <w:rPr>
          <w:rFonts w:hint="eastAsia" w:ascii="仿宋_GB2312" w:hAnsi="仿宋_GB2312" w:eastAsia="仿宋_GB2312" w:cs="仿宋_GB2312"/>
          <w:sz w:val="32"/>
          <w:szCs w:val="32"/>
          <w:lang w:eastAsia="zh-CN"/>
        </w:rPr>
        <w:t>职业技能</w:t>
      </w:r>
      <w:r>
        <w:rPr>
          <w:rFonts w:hint="eastAsia" w:ascii="仿宋_GB2312" w:hAnsi="仿宋_GB2312" w:eastAsia="仿宋_GB2312" w:cs="仿宋_GB2312"/>
          <w:sz w:val="32"/>
          <w:szCs w:val="32"/>
        </w:rPr>
        <w:t>培训</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lang w:val="en-US" w:eastAsia="zh-CN"/>
        </w:rPr>
        <w:t>为382名义务教育阶段和高中、大专阶段的残疾学生和贫困残疾人家庭子女发放扶残助学金</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val="en-US" w:eastAsia="zh-CN"/>
        </w:rPr>
        <w:t>为辖区内5名残疾人发放驾驶技能培训补助</w:t>
      </w:r>
      <w:r>
        <w:rPr>
          <w:rFonts w:hint="eastAsia" w:ascii="仿宋_GB2312" w:hAnsi="仿宋_GB2312" w:cs="仿宋_GB2312"/>
          <w:sz w:val="32"/>
          <w:szCs w:val="32"/>
          <w:lang w:val="en-US" w:eastAsia="zh-CN"/>
        </w:rPr>
        <w:t>；</w:t>
      </w:r>
      <w:r>
        <w:rPr>
          <w:rFonts w:hint="eastAsia" w:ascii="仿宋_GB2312" w:hAnsi="仿宋_GB2312" w:eastAsia="仿宋_GB2312" w:cs="仿宋_GB2312"/>
          <w:color w:val="auto"/>
          <w:sz w:val="32"/>
          <w:szCs w:val="32"/>
          <w:lang w:val="en-US" w:eastAsia="zh-CN"/>
        </w:rPr>
        <w:t>通过居家托养、集中托养等方式为205名智力、精神和重度肢体残疾人提供托养服务</w:t>
      </w:r>
      <w:r>
        <w:rPr>
          <w:rFonts w:hint="eastAsia" w:ascii="仿宋_GB2312" w:hAnsi="仿宋_GB2312" w:cs="仿宋_GB2312"/>
          <w:color w:val="auto"/>
          <w:sz w:val="32"/>
          <w:szCs w:val="32"/>
          <w:lang w:val="en-US" w:eastAsia="zh-CN"/>
        </w:rPr>
        <w:t>；</w:t>
      </w:r>
      <w:r>
        <w:rPr>
          <w:rFonts w:hint="eastAsia" w:ascii="仿宋_GB2312" w:hAnsi="仿宋_GB2312" w:eastAsia="仿宋_GB2312" w:cs="仿宋_GB2312"/>
          <w:color w:val="auto"/>
          <w:kern w:val="2"/>
          <w:sz w:val="32"/>
          <w:szCs w:val="32"/>
          <w:lang w:val="en-US" w:eastAsia="zh-CN" w:bidi="ar-SA"/>
        </w:rPr>
        <w:t>圆满完成辖区内11500名残疾人三代《残疾人证》换发工作</w:t>
      </w:r>
      <w:r>
        <w:rPr>
          <w:rFonts w:hint="eastAsia" w:ascii="仿宋_GB2312" w:hAnsi="仿宋_GB2312" w:cs="仿宋_GB2312"/>
          <w:color w:val="auto"/>
          <w:kern w:val="2"/>
          <w:sz w:val="32"/>
          <w:szCs w:val="32"/>
          <w:lang w:val="en-US" w:eastAsia="zh-CN" w:bidi="ar-SA"/>
        </w:rPr>
        <w:t>；</w:t>
      </w:r>
      <w:r>
        <w:rPr>
          <w:rFonts w:hint="eastAsia" w:ascii="仿宋_GB2312" w:hAnsi="仿宋_GB2312" w:eastAsia="仿宋_GB2312" w:cs="仿宋_GB2312"/>
          <w:color w:val="auto"/>
          <w:kern w:val="2"/>
          <w:sz w:val="32"/>
          <w:szCs w:val="32"/>
          <w:lang w:val="en-US" w:eastAsia="zh-CN" w:bidi="ar-SA"/>
        </w:rPr>
        <w:t>积极出台《昆明市盘龙区残疾人联合会残疾人残情评定补贴实施方案》，联合区医院为辖区无法出门的298名重度肢体残疾人提供免费上门鉴定残疾情况服务</w:t>
      </w:r>
      <w:r>
        <w:rPr>
          <w:rFonts w:hint="eastAsia" w:ascii="仿宋_GB2312" w:hAnsi="仿宋_GB2312" w:cs="仿宋_GB2312"/>
          <w:color w:val="auto"/>
          <w:kern w:val="2"/>
          <w:sz w:val="32"/>
          <w:szCs w:val="32"/>
          <w:lang w:val="en-US" w:eastAsia="zh-CN" w:bidi="ar-SA"/>
        </w:rPr>
        <w:t>；</w:t>
      </w:r>
      <w:r>
        <w:rPr>
          <w:rFonts w:hint="eastAsia" w:ascii="仿宋_GB2312" w:hAnsi="仿宋_GB2312" w:eastAsia="仿宋_GB2312" w:cs="仿宋_GB2312"/>
          <w:sz w:val="32"/>
          <w:szCs w:val="32"/>
        </w:rPr>
        <w:t>将辖区内</w:t>
      </w:r>
      <w:r>
        <w:rPr>
          <w:rFonts w:hint="eastAsia" w:ascii="仿宋_GB2312" w:hAnsi="仿宋_GB2312" w:eastAsia="仿宋_GB2312" w:cs="仿宋_GB2312"/>
          <w:bCs/>
          <w:color w:val="auto"/>
          <w:sz w:val="32"/>
          <w:szCs w:val="32"/>
        </w:rPr>
        <w:t>符合</w:t>
      </w:r>
      <w:r>
        <w:rPr>
          <w:rFonts w:hint="eastAsia" w:ascii="仿宋_GB2312" w:hAnsi="仿宋_GB2312" w:eastAsia="仿宋_GB2312" w:cs="仿宋_GB2312"/>
          <w:sz w:val="32"/>
          <w:szCs w:val="32"/>
        </w:rPr>
        <w:t>参加城乡居民社会养老保险的</w:t>
      </w:r>
      <w:r>
        <w:rPr>
          <w:rFonts w:hint="eastAsia" w:ascii="仿宋_GB2312" w:hAnsi="仿宋_GB2312" w:eastAsia="仿宋_GB2312" w:cs="仿宋_GB2312"/>
          <w:bCs/>
          <w:color w:val="auto"/>
          <w:sz w:val="32"/>
          <w:szCs w:val="32"/>
          <w:lang w:val="en-US" w:eastAsia="zh-CN"/>
        </w:rPr>
        <w:t>1689</w:t>
      </w:r>
      <w:r>
        <w:rPr>
          <w:rFonts w:hint="eastAsia" w:ascii="仿宋_GB2312" w:hAnsi="仿宋_GB2312" w:eastAsia="仿宋_GB2312" w:cs="仿宋_GB2312"/>
          <w:sz w:val="32"/>
          <w:szCs w:val="32"/>
        </w:rPr>
        <w:t>名</w:t>
      </w:r>
      <w:r>
        <w:rPr>
          <w:rFonts w:hint="eastAsia" w:ascii="仿宋_GB2312" w:hAnsi="仿宋_GB2312" w:eastAsia="仿宋_GB2312" w:cs="仿宋_GB2312"/>
          <w:bCs/>
          <w:color w:val="auto"/>
          <w:sz w:val="32"/>
          <w:szCs w:val="32"/>
        </w:rPr>
        <w:t>三、四级残疾人</w:t>
      </w:r>
      <w:r>
        <w:rPr>
          <w:rFonts w:hint="eastAsia" w:ascii="仿宋_GB2312" w:hAnsi="仿宋_GB2312" w:eastAsia="仿宋_GB2312" w:cs="仿宋_GB2312"/>
          <w:sz w:val="32"/>
          <w:szCs w:val="32"/>
        </w:rPr>
        <w:t>纳入残疾人居民社会养老保险补助范围；为将辖区参加居民医疗保险的3002名残疾人纳入特殊人群医保补助范围</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rPr>
        <w:t>切实做好贫困残疾人突发性、临时性生活困难救助工作。对</w:t>
      </w:r>
      <w:r>
        <w:rPr>
          <w:rFonts w:hint="eastAsia" w:ascii="仿宋_GB2312" w:eastAsia="仿宋_GB2312"/>
          <w:color w:val="auto"/>
          <w:sz w:val="32"/>
          <w:szCs w:val="32"/>
          <w:highlight w:val="none"/>
          <w:lang w:val="en-US" w:eastAsia="zh-CN"/>
        </w:rPr>
        <w:t>76</w:t>
      </w:r>
      <w:r>
        <w:rPr>
          <w:rFonts w:hint="eastAsia" w:ascii="仿宋_GB2312" w:hAnsi="仿宋_GB2312" w:eastAsia="仿宋_GB2312" w:cs="仿宋_GB2312"/>
          <w:sz w:val="32"/>
          <w:szCs w:val="32"/>
        </w:rPr>
        <w:t>名贫困残疾人给予困难补助</w:t>
      </w:r>
      <w:r>
        <w:rPr>
          <w:rFonts w:hint="eastAsia" w:ascii="仿宋_GB2312" w:hAnsi="仿宋_GB2312" w:cs="仿宋_GB2312"/>
          <w:sz w:val="32"/>
          <w:szCs w:val="32"/>
          <w:lang w:eastAsia="zh-CN"/>
        </w:rPr>
        <w:t>；</w:t>
      </w:r>
      <w:r>
        <w:rPr>
          <w:rFonts w:hint="eastAsia" w:ascii="仿宋_GB2312" w:hAnsi="仿宋_GB2312" w:eastAsia="仿宋_GB2312" w:cs="仿宋_GB2312"/>
          <w:sz w:val="32"/>
          <w:szCs w:val="32"/>
          <w:lang w:val="en-US" w:eastAsia="zh-CN"/>
        </w:rPr>
        <w:t>向47名肢体残疾人发放燃油补贴</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rPr>
        <w:t>对全区12家街道245名残疾儿童及培智学校和辖区助残机构开展走访慰问活动，</w:t>
      </w:r>
      <w:r>
        <w:rPr>
          <w:rFonts w:hint="eastAsia" w:ascii="仿宋_GB2312" w:hAnsi="仿宋_GB2312" w:eastAsia="仿宋_GB2312" w:cs="仿宋_GB2312"/>
          <w:bCs/>
          <w:color w:val="auto"/>
          <w:sz w:val="32"/>
          <w:szCs w:val="32"/>
        </w:rPr>
        <w:t>中秋、国庆</w:t>
      </w:r>
      <w:r>
        <w:rPr>
          <w:rFonts w:hint="eastAsia" w:ascii="仿宋_GB2312" w:hAnsi="仿宋_GB2312" w:eastAsia="仿宋_GB2312" w:cs="仿宋_GB2312"/>
          <w:bCs/>
          <w:color w:val="auto"/>
          <w:sz w:val="32"/>
          <w:szCs w:val="32"/>
          <w:lang w:eastAsia="zh-CN"/>
        </w:rPr>
        <w:t>两</w:t>
      </w:r>
      <w:r>
        <w:rPr>
          <w:rFonts w:hint="eastAsia" w:ascii="仿宋_GB2312" w:hAnsi="仿宋_GB2312" w:eastAsia="仿宋_GB2312" w:cs="仿宋_GB2312"/>
          <w:bCs/>
          <w:color w:val="auto"/>
          <w:sz w:val="32"/>
          <w:szCs w:val="32"/>
        </w:rPr>
        <w:t>节</w:t>
      </w:r>
      <w:r>
        <w:rPr>
          <w:rFonts w:hint="eastAsia" w:ascii="仿宋_GB2312" w:hAnsi="仿宋_GB2312" w:eastAsia="仿宋_GB2312" w:cs="仿宋_GB2312"/>
          <w:bCs/>
          <w:color w:val="auto"/>
          <w:sz w:val="32"/>
          <w:szCs w:val="32"/>
          <w:lang w:eastAsia="zh-CN"/>
        </w:rPr>
        <w:t>期间</w:t>
      </w:r>
      <w:r>
        <w:rPr>
          <w:rFonts w:hint="eastAsia" w:ascii="仿宋_GB2312" w:hAnsi="仿宋_GB2312" w:eastAsia="仿宋_GB2312" w:cs="仿宋_GB2312"/>
          <w:bCs/>
          <w:color w:val="auto"/>
          <w:sz w:val="32"/>
          <w:szCs w:val="32"/>
        </w:rPr>
        <w:t>，对全区</w:t>
      </w:r>
      <w:r>
        <w:rPr>
          <w:rFonts w:hint="eastAsia" w:ascii="仿宋_GB2312" w:hAnsi="仿宋_GB2312" w:eastAsia="仿宋_GB2312" w:cs="仿宋_GB2312"/>
          <w:bCs/>
          <w:color w:val="auto"/>
          <w:sz w:val="32"/>
          <w:szCs w:val="32"/>
          <w:lang w:val="en-US" w:eastAsia="zh-CN"/>
        </w:rPr>
        <w:t>1893</w:t>
      </w:r>
      <w:r>
        <w:rPr>
          <w:rFonts w:hint="eastAsia" w:ascii="仿宋_GB2312" w:hAnsi="仿宋_GB2312" w:eastAsia="仿宋_GB2312" w:cs="仿宋_GB2312"/>
          <w:bCs/>
          <w:color w:val="auto"/>
          <w:sz w:val="32"/>
          <w:szCs w:val="32"/>
        </w:rPr>
        <w:t>名贫困残疾人发放慰问金</w:t>
      </w:r>
      <w:r>
        <w:rPr>
          <w:rFonts w:hint="eastAsia" w:ascii="仿宋_GB2312" w:hAnsi="仿宋_GB2312" w:cs="仿宋_GB2312"/>
          <w:sz w:val="32"/>
          <w:szCs w:val="32"/>
          <w:lang w:eastAsia="zh-CN"/>
        </w:rPr>
        <w:t>。</w:t>
      </w:r>
    </w:p>
    <w:p>
      <w:pPr>
        <w:pageBreakBefore w:val="0"/>
        <w:widowControl w:val="0"/>
        <w:kinsoku/>
        <w:wordWrap/>
        <w:overflowPunct/>
        <w:autoSpaceDE/>
        <w:autoSpaceDN/>
        <w:bidi w:val="0"/>
        <w:adjustRightInd/>
        <w:snapToGrid/>
        <w:spacing w:line="600" w:lineRule="exact"/>
        <w:ind w:firstLine="643" w:firstLineChars="200"/>
        <w:jc w:val="both"/>
        <w:textAlignment w:val="auto"/>
        <w:rPr>
          <w:rFonts w:hint="eastAsia"/>
          <w:sz w:val="32"/>
          <w:szCs w:val="32"/>
          <w:lang w:val="en-US" w:eastAsia="zh-CN"/>
        </w:rPr>
      </w:pPr>
      <w:r>
        <w:rPr>
          <w:rFonts w:hint="eastAsia" w:ascii="仿宋_GB2312" w:hAnsi="仿宋_GB2312" w:eastAsia="仿宋_GB2312" w:cs="仿宋_GB2312"/>
          <w:b/>
          <w:bCs/>
          <w:sz w:val="32"/>
          <w:szCs w:val="32"/>
          <w:lang w:val="en-US" w:eastAsia="zh-CN"/>
        </w:rPr>
        <w:t>3.残疾人生活和护理补贴工作</w:t>
      </w:r>
      <w:r>
        <w:rPr>
          <w:rFonts w:hint="eastAsia" w:ascii="仿宋_GB2312" w:hAnsi="仿宋_GB2312" w:cs="仿宋_GB2312"/>
          <w:b/>
          <w:bCs/>
          <w:sz w:val="32"/>
          <w:szCs w:val="32"/>
          <w:lang w:val="en-US" w:eastAsia="zh-CN"/>
        </w:rPr>
        <w:t>。</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eastAsia="仿宋_GB2312"/>
          <w:sz w:val="32"/>
          <w:szCs w:val="32"/>
          <w:lang w:val="en-US" w:eastAsia="zh-CN"/>
        </w:rPr>
      </w:pPr>
      <w:r>
        <w:rPr>
          <w:rFonts w:hint="eastAsia" w:ascii="仿宋_GB2312" w:hAnsi="仿宋_GB2312" w:eastAsia="仿宋_GB2312" w:cs="仿宋_GB2312"/>
          <w:sz w:val="32"/>
          <w:szCs w:val="32"/>
        </w:rPr>
        <w:t>继续做好残疾人两项补贴申报审核工作。辖区内</w:t>
      </w:r>
      <w:r>
        <w:rPr>
          <w:rFonts w:hint="eastAsia" w:ascii="仿宋_GB2312" w:hAnsi="宋体" w:eastAsia="仿宋_GB2312" w:cs="Arial"/>
          <w:bCs/>
          <w:color w:val="auto"/>
          <w:spacing w:val="18"/>
          <w:sz w:val="32"/>
          <w:szCs w:val="32"/>
          <w:lang w:val="en-US" w:eastAsia="zh-CN"/>
        </w:rPr>
        <w:t>1899名</w:t>
      </w:r>
      <w:r>
        <w:rPr>
          <w:rFonts w:hint="eastAsia" w:ascii="仿宋_GB2312" w:hAnsi="仿宋_GB2312" w:eastAsia="仿宋_GB2312" w:cs="仿宋_GB2312"/>
          <w:sz w:val="32"/>
          <w:szCs w:val="32"/>
        </w:rPr>
        <w:t>贫困残疾人享受困难残疾人生活补贴，</w:t>
      </w:r>
      <w:r>
        <w:rPr>
          <w:rFonts w:hint="eastAsia" w:ascii="仿宋_GB2312" w:hAnsi="宋体" w:eastAsia="仿宋_GB2312" w:cs="Arial"/>
          <w:bCs/>
          <w:color w:val="auto"/>
          <w:spacing w:val="18"/>
          <w:sz w:val="32"/>
          <w:szCs w:val="32"/>
          <w:lang w:val="en-US" w:eastAsia="zh-CN"/>
        </w:rPr>
        <w:t>3999</w:t>
      </w:r>
      <w:r>
        <w:rPr>
          <w:rFonts w:hint="eastAsia" w:ascii="仿宋_GB2312" w:hAnsi="仿宋_GB2312" w:eastAsia="仿宋_GB2312" w:cs="仿宋_GB2312"/>
          <w:sz w:val="32"/>
          <w:szCs w:val="32"/>
        </w:rPr>
        <w:t>名重度残疾人享受重度残疾人护理补贴</w:t>
      </w:r>
      <w:r>
        <w:rPr>
          <w:rFonts w:hint="eastAsia" w:ascii="仿宋_GB2312" w:hAnsi="仿宋_GB2312" w:cs="仿宋_GB2312"/>
          <w:sz w:val="32"/>
          <w:szCs w:val="32"/>
          <w:lang w:eastAsia="zh-CN"/>
        </w:rPr>
        <w:t>。</w:t>
      </w:r>
    </w:p>
    <w:p>
      <w:pPr>
        <w:pageBreakBefore w:val="0"/>
        <w:widowControl w:val="0"/>
        <w:kinsoku/>
        <w:wordWrap/>
        <w:overflowPunct/>
        <w:autoSpaceDE/>
        <w:autoSpaceDN/>
        <w:bidi w:val="0"/>
        <w:adjustRightInd/>
        <w:snapToGrid/>
        <w:spacing w:line="600" w:lineRule="exact"/>
        <w:ind w:firstLine="643" w:firstLineChars="200"/>
        <w:jc w:val="both"/>
        <w:textAlignment w:val="auto"/>
        <w:rPr>
          <w:rFonts w:hint="default"/>
          <w:sz w:val="32"/>
          <w:szCs w:val="32"/>
          <w:lang w:val="en-US" w:eastAsia="zh-CN"/>
        </w:rPr>
      </w:pPr>
      <w:r>
        <w:rPr>
          <w:rFonts w:hint="eastAsia" w:ascii="仿宋_GB2312" w:hAnsi="仿宋_GB2312" w:eastAsia="仿宋_GB2312" w:cs="仿宋_GB2312"/>
          <w:b/>
          <w:bCs/>
          <w:sz w:val="32"/>
          <w:szCs w:val="32"/>
          <w:lang w:val="en-US" w:eastAsia="zh-CN"/>
        </w:rPr>
        <w:t>4.其他残疾人事业支出工作。</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sz w:val="32"/>
          <w:szCs w:val="32"/>
          <w:lang w:val="en-US" w:eastAsia="zh-CN"/>
        </w:rPr>
      </w:pPr>
      <w:r>
        <w:rPr>
          <w:rFonts w:hint="eastAsia"/>
          <w:sz w:val="32"/>
          <w:szCs w:val="32"/>
          <w:lang w:val="en-US" w:eastAsia="zh-CN"/>
        </w:rPr>
        <w:t>借助全国助残日、残疾预防日等重大特殊节日契机组织开展残疾人事业宣传活动，呼吁社会各界关心、关注残疾人事业。</w:t>
      </w:r>
      <w:r>
        <w:rPr>
          <w:rFonts w:hint="eastAsia" w:ascii="仿宋_GB2312" w:hAnsi="仿宋_GB2312" w:eastAsia="仿宋_GB2312" w:cs="仿宋_GB2312"/>
          <w:sz w:val="32"/>
          <w:szCs w:val="32"/>
          <w:lang w:val="en-US" w:eastAsia="zh-CN"/>
        </w:rPr>
        <w:t>结合“六一”儿童节慰问活动，突出“五个一”文化助残服务，为辖区245名0-14岁残疾儿童送上“文化爱心大礼包”</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val="en-US" w:eastAsia="zh-CN"/>
        </w:rPr>
        <w:t>通过春节、清明节、爱耳日、助残日、六一儿童节等特殊节日契机，积极宣传残疾人事业</w:t>
      </w:r>
      <w:r>
        <w:rPr>
          <w:rFonts w:hint="eastAsia"/>
          <w:sz w:val="32"/>
          <w:szCs w:val="32"/>
          <w:lang w:val="en-US" w:eastAsia="zh-CN"/>
        </w:rPr>
        <w:t>。继续健全社区（村）残疾人协会组织，配置了46名社区残协专职委员，服务全区持证残疾人；向4个涉农街道43名村级联络员按月发放村级联络员工作补贴；</w:t>
      </w:r>
      <w:r>
        <w:rPr>
          <w:rFonts w:hint="eastAsia" w:ascii="仿宋_GB2312" w:hAnsi="仿宋_GB2312" w:eastAsia="仿宋_GB2312" w:cs="仿宋_GB2312"/>
          <w:sz w:val="32"/>
          <w:szCs w:val="32"/>
          <w:lang w:val="en-US" w:eastAsia="zh-CN"/>
        </w:rPr>
        <w:t>分别组织盲人协会、肢残协会、聋人协会开展观影、合唱比赛、诗歌朗诵、参观历史革命纪念馆、趣味运动会等5期各类协会活动</w:t>
      </w:r>
      <w:r>
        <w:rPr>
          <w:rFonts w:hint="eastAsia" w:ascii="仿宋_GB2312" w:hAnsi="仿宋_GB2312" w:cs="仿宋_GB2312"/>
          <w:sz w:val="32"/>
          <w:szCs w:val="32"/>
          <w:lang w:val="en-US" w:eastAsia="zh-CN"/>
        </w:rPr>
        <w:t>；</w:t>
      </w:r>
      <w:r>
        <w:rPr>
          <w:rFonts w:hint="eastAsia"/>
          <w:sz w:val="32"/>
          <w:szCs w:val="32"/>
          <w:lang w:val="en-US" w:eastAsia="zh-CN"/>
        </w:rPr>
        <w:t>加大基层残联建设力度，为辖区内105个社区拨付社区社区工作经费；</w:t>
      </w:r>
      <w:r>
        <w:rPr>
          <w:rFonts w:hint="eastAsia" w:ascii="仿宋_GB2312" w:hAnsi="仿宋_GB2312" w:eastAsia="仿宋_GB2312" w:cs="仿宋_GB2312"/>
          <w:color w:val="auto"/>
          <w:sz w:val="32"/>
          <w:szCs w:val="32"/>
          <w:lang w:val="en-US" w:eastAsia="zh-CN"/>
        </w:rPr>
        <w:t>成全区12146名残疾人信息采集调查，提前完成动态更新数据上报</w:t>
      </w:r>
      <w:r>
        <w:rPr>
          <w:rFonts w:hint="eastAsia"/>
          <w:sz w:val="32"/>
          <w:szCs w:val="32"/>
          <w:lang w:val="en-US" w:eastAsia="zh-CN"/>
        </w:rPr>
        <w:t>；</w:t>
      </w:r>
      <w:r>
        <w:rPr>
          <w:rFonts w:hint="eastAsia" w:ascii="仿宋_GB2312" w:hAnsi="仿宋_GB2312" w:eastAsia="仿宋_GB2312" w:cs="仿宋_GB2312"/>
          <w:sz w:val="32"/>
          <w:szCs w:val="32"/>
        </w:rPr>
        <w:t>受理</w:t>
      </w:r>
      <w:r>
        <w:rPr>
          <w:rFonts w:hint="eastAsia" w:ascii="仿宋_GB2312" w:hAnsi="仿宋_GB2312" w:eastAsia="仿宋_GB2312" w:cs="仿宋_GB2312"/>
          <w:sz w:val="32"/>
          <w:szCs w:val="32"/>
          <w:lang w:eastAsia="zh-CN"/>
        </w:rPr>
        <w:t>信访</w:t>
      </w:r>
      <w:r>
        <w:rPr>
          <w:rFonts w:hint="eastAsia" w:ascii="仿宋_GB2312" w:hAnsi="仿宋_GB2312" w:eastAsia="仿宋_GB2312" w:cs="仿宋_GB2312"/>
          <w:sz w:val="32"/>
          <w:szCs w:val="32"/>
        </w:rPr>
        <w:t>件</w:t>
      </w:r>
      <w:r>
        <w:rPr>
          <w:rFonts w:hint="eastAsia" w:ascii="仿宋_GB2312" w:hAnsi="仿宋_GB2312" w:eastAsia="仿宋_GB2312" w:cs="仿宋_GB2312"/>
          <w:sz w:val="32"/>
          <w:szCs w:val="32"/>
          <w:lang w:val="en-US" w:eastAsia="zh-CN"/>
        </w:rPr>
        <w:t>36</w:t>
      </w:r>
      <w:r>
        <w:rPr>
          <w:rFonts w:hint="eastAsia" w:ascii="仿宋_GB2312" w:hAnsi="仿宋_GB2312" w:eastAsia="仿宋_GB2312" w:cs="仿宋_GB2312"/>
          <w:sz w:val="32"/>
          <w:szCs w:val="32"/>
        </w:rPr>
        <w:t>件，办结</w:t>
      </w:r>
      <w:r>
        <w:rPr>
          <w:rFonts w:hint="eastAsia" w:ascii="仿宋_GB2312" w:hAnsi="仿宋_GB2312" w:eastAsia="仿宋_GB2312" w:cs="仿宋_GB2312"/>
          <w:sz w:val="32"/>
          <w:szCs w:val="32"/>
          <w:lang w:val="en-US" w:eastAsia="zh-CN"/>
        </w:rPr>
        <w:t>36</w:t>
      </w:r>
      <w:r>
        <w:rPr>
          <w:rFonts w:hint="eastAsia" w:ascii="仿宋_GB2312" w:hAnsi="仿宋_GB2312" w:eastAsia="仿宋_GB2312" w:cs="仿宋_GB2312"/>
          <w:sz w:val="32"/>
          <w:szCs w:val="32"/>
        </w:rPr>
        <w:t>件，办结率100%。</w:t>
      </w:r>
    </w:p>
    <w:p>
      <w:pPr>
        <w:pageBreakBefore w:val="0"/>
        <w:widowControl w:val="0"/>
        <w:kinsoku/>
        <w:wordWrap/>
        <w:overflowPunct/>
        <w:autoSpaceDE/>
        <w:autoSpaceDN/>
        <w:bidi w:val="0"/>
        <w:adjustRightInd/>
        <w:snapToGrid/>
        <w:spacing w:line="600" w:lineRule="exact"/>
        <w:ind w:firstLine="643" w:firstLineChars="200"/>
        <w:jc w:val="both"/>
        <w:textAlignment w:val="auto"/>
        <w:rPr>
          <w:rFonts w:hint="default"/>
          <w:sz w:val="32"/>
          <w:szCs w:val="32"/>
          <w:lang w:val="en-US" w:eastAsia="zh-CN"/>
        </w:rPr>
      </w:pPr>
      <w:r>
        <w:rPr>
          <w:rFonts w:hint="eastAsia" w:ascii="仿宋_GB2312" w:hAnsi="仿宋_GB2312" w:eastAsia="仿宋_GB2312" w:cs="仿宋_GB2312"/>
          <w:b/>
          <w:bCs/>
          <w:sz w:val="32"/>
          <w:szCs w:val="32"/>
          <w:lang w:val="en-US" w:eastAsia="zh-CN"/>
        </w:rPr>
        <w:t>5.日常办公维持工作</w:t>
      </w:r>
      <w:r>
        <w:rPr>
          <w:rFonts w:hint="eastAsia" w:ascii="仿宋_GB2312" w:hAnsi="仿宋_GB2312" w:cs="仿宋_GB2312"/>
          <w:b/>
          <w:bCs/>
          <w:sz w:val="32"/>
          <w:szCs w:val="32"/>
          <w:lang w:val="en-US" w:eastAsia="zh-CN"/>
        </w:rPr>
        <w:t>。</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维持残疾人联合会及残疾人综合服务中心日常工作正常开展，保障区残联及下属事业单位20名工作人员工资社保正常有序发放、办公用品得到及时补给、符合条件并有需求的工作人员得到应有的业务培训等，为残疾人工作的顺利开展提供充分的后勤保障，全力做好“创文”工作和党风廉政建设工作。</w:t>
      </w:r>
    </w:p>
    <w:p>
      <w:pPr>
        <w:pStyle w:val="4"/>
        <w:pageBreakBefore w:val="0"/>
        <w:widowControl w:val="0"/>
        <w:kinsoku/>
        <w:wordWrap/>
        <w:overflowPunct/>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val="0"/>
          <w:sz w:val="32"/>
          <w:szCs w:val="32"/>
        </w:rPr>
        <w:t>（四）部门管理制度</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《盘龙区残联内部管理制度》、《盘龙区残疾人联合会“三重一大”集体决策制度》、《盘龙残联理事长办公会议事规则》、《盘龙区残联财务管理制度（试行）》等。</w:t>
      </w:r>
    </w:p>
    <w:p>
      <w:pPr>
        <w:pStyle w:val="4"/>
        <w:pageBreakBefore w:val="0"/>
        <w:widowControl w:val="0"/>
        <w:kinsoku/>
        <w:wordWrap/>
        <w:overflowPunct/>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b w:val="0"/>
          <w:bCs/>
          <w:sz w:val="32"/>
          <w:szCs w:val="32"/>
        </w:rPr>
      </w:pPr>
      <w:r>
        <w:rPr>
          <w:rFonts w:hint="eastAsia" w:ascii="楷体_GB2312" w:hAnsi="楷体_GB2312" w:eastAsia="楷体_GB2312" w:cs="楷体_GB2312"/>
          <w:b/>
          <w:bCs w:val="0"/>
          <w:sz w:val="32"/>
          <w:szCs w:val="32"/>
        </w:rPr>
        <w:t>（五）部门资金来源及使用情况</w:t>
      </w:r>
    </w:p>
    <w:p>
      <w:pPr>
        <w:pageBreakBefore w:val="0"/>
        <w:widowControl w:val="0"/>
        <w:kinsoku/>
        <w:wordWrap/>
        <w:overflowPunct/>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1.部门资金来源：</w:t>
      </w:r>
      <w:r>
        <w:rPr>
          <w:rFonts w:hint="eastAsia" w:ascii="仿宋_GB2312" w:hAnsi="仿宋_GB2312" w:eastAsia="仿宋_GB2312" w:cs="仿宋_GB2312"/>
          <w:sz w:val="32"/>
          <w:szCs w:val="32"/>
          <w:lang w:val="en-US" w:eastAsia="zh-CN"/>
        </w:rPr>
        <w:t>2020年盘龙区残联资金收入共计2004.51万元，来源主要有区级预算收入、纳入预算管理的非税收入、和上级（中央、省、市级）转移支付资金。</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盘龙区残联2020年区级预算收入为1705.28万元，年初预算为1738.91万元，年度追加经费33.63万元。其中基本支出预算收入399.26万元，年初预算359.78万元，追加经费39.48万元；项目支出项目支出预算收入1306.02万元，年出预算1379.13万元，追减经费73.11万元。</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（2）盘龙区残联2020年上级转移支付资金收入299.23万元，其中中央补助109.05万元，省级补助41.25万元，市级补助184.93万元。</w:t>
      </w:r>
    </w:p>
    <w:p>
      <w:pPr>
        <w:pageBreakBefore w:val="0"/>
        <w:widowControl w:val="0"/>
        <w:kinsoku/>
        <w:wordWrap/>
        <w:overflowPunct/>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2.部门资金使用情况。</w:t>
      </w:r>
      <w:r>
        <w:rPr>
          <w:rFonts w:hint="eastAsia" w:ascii="仿宋_GB2312" w:hAnsi="仿宋_GB2312" w:eastAsia="仿宋_GB2312" w:cs="仿宋_GB2312"/>
          <w:sz w:val="32"/>
          <w:szCs w:val="32"/>
          <w:lang w:val="en-US" w:eastAsia="zh-CN"/>
        </w:rPr>
        <w:t>2020年区残联经费共计支出2004.51万元，其中，区级预算支出1705.27万元，上级拨款支出299.23万元；基本支出支出399.26万元，项目支出支出1605.25万元（残疾人康复项目支出195.98万元，残疾人就业和扶贫项目支出529.21万元，残疾人生活和护理补贴项目支出567.53万元，其他残疾人事业支出项目支出312.54万元）。</w:t>
      </w:r>
    </w:p>
    <w:p>
      <w:pPr>
        <w:pStyle w:val="4"/>
        <w:pageBreakBefore w:val="0"/>
        <w:widowControl w:val="0"/>
        <w:kinsoku/>
        <w:wordWrap/>
        <w:overflowPunct/>
        <w:autoSpaceDE/>
        <w:autoSpaceDN/>
        <w:bidi w:val="0"/>
        <w:adjustRightInd/>
        <w:snapToGrid/>
        <w:spacing w:line="600" w:lineRule="exact"/>
        <w:ind w:firstLine="643" w:firstLineChars="200"/>
        <w:jc w:val="both"/>
        <w:textAlignment w:val="auto"/>
        <w:rPr>
          <w:rFonts w:hint="eastAsia" w:ascii="黑体" w:hAnsi="黑体" w:eastAsia="黑体" w:cs="黑体"/>
          <w:sz w:val="32"/>
          <w:szCs w:val="32"/>
        </w:rPr>
      </w:pPr>
      <w:r>
        <w:rPr>
          <w:rFonts w:hint="eastAsia" w:ascii="楷体_GB2312" w:hAnsi="楷体_GB2312" w:eastAsia="楷体_GB2312" w:cs="楷体_GB2312"/>
          <w:b/>
          <w:bCs w:val="0"/>
          <w:sz w:val="32"/>
          <w:szCs w:val="32"/>
        </w:rPr>
        <w:t>（六）政府采购情况</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盘龙区残联2020年共涉及5项政府购买服务项目，分别是2020年残疾预防日活动举办、残疾人托养服务、残疾人体质监测、残疾人专职委员劳务派遣服务、儿童康复服务，全年涉及购买服务经费147.14万元。</w:t>
      </w:r>
    </w:p>
    <w:p>
      <w:pPr>
        <w:pStyle w:val="4"/>
        <w:pageBreakBefore w:val="0"/>
        <w:widowControl w:val="0"/>
        <w:kinsoku/>
        <w:wordWrap/>
        <w:overflowPunct/>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（七）固定资产情况。</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截至</w:t>
      </w:r>
      <w:r>
        <w:rPr>
          <w:rFonts w:hint="eastAsia" w:ascii="仿宋_GB2312" w:hAnsi="仿宋_GB2312" w:eastAsia="仿宋_GB2312" w:cs="仿宋_GB2312"/>
          <w:sz w:val="32"/>
          <w:szCs w:val="32"/>
          <w:lang w:val="en-US" w:eastAsia="zh-CN"/>
        </w:rPr>
        <w:t>2020</w:t>
      </w:r>
      <w:r>
        <w:rPr>
          <w:rFonts w:hint="eastAsia" w:ascii="仿宋_GB2312" w:hAnsi="仿宋_GB2312" w:eastAsia="仿宋_GB2312" w:cs="仿宋_GB2312"/>
          <w:sz w:val="32"/>
          <w:szCs w:val="32"/>
        </w:rPr>
        <w:t>年12月31日，昆明市</w:t>
      </w:r>
      <w:r>
        <w:rPr>
          <w:rFonts w:hint="eastAsia" w:ascii="仿宋_GB2312" w:hAnsi="仿宋_GB2312" w:eastAsia="仿宋_GB2312" w:cs="仿宋_GB2312"/>
          <w:sz w:val="32"/>
          <w:szCs w:val="32"/>
          <w:lang w:eastAsia="zh-CN"/>
        </w:rPr>
        <w:t>盘龙区残</w:t>
      </w:r>
      <w:r>
        <w:rPr>
          <w:rFonts w:hint="eastAsia" w:ascii="仿宋_GB2312" w:hAnsi="仿宋_GB2312" w:eastAsia="仿宋_GB2312" w:cs="仿宋_GB2312"/>
          <w:sz w:val="32"/>
          <w:szCs w:val="32"/>
        </w:rPr>
        <w:t>疾人联合会固定资产</w:t>
      </w:r>
      <w:r>
        <w:rPr>
          <w:rFonts w:hint="eastAsia" w:ascii="仿宋_GB2312" w:hAnsi="仿宋_GB2312" w:eastAsia="仿宋_GB2312" w:cs="仿宋_GB2312"/>
          <w:sz w:val="32"/>
          <w:szCs w:val="32"/>
          <w:lang w:eastAsia="zh-CN"/>
        </w:rPr>
        <w:t>原值</w:t>
      </w:r>
      <w:r>
        <w:rPr>
          <w:rFonts w:hint="eastAsia" w:ascii="仿宋_GB2312" w:hAnsi="仿宋_GB2312" w:eastAsia="仿宋_GB2312" w:cs="仿宋_GB2312"/>
          <w:sz w:val="32"/>
          <w:szCs w:val="32"/>
          <w:lang w:val="en-US" w:eastAsia="zh-CN"/>
        </w:rPr>
        <w:t>637.25万元</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固定资产累计折旧</w:t>
      </w:r>
      <w:r>
        <w:rPr>
          <w:rFonts w:hint="eastAsia" w:ascii="仿宋_GB2312" w:hAnsi="仿宋_GB2312" w:eastAsia="仿宋_GB2312" w:cs="仿宋_GB2312"/>
          <w:sz w:val="32"/>
          <w:szCs w:val="32"/>
          <w:lang w:val="en-US" w:eastAsia="zh-CN"/>
        </w:rPr>
        <w:t>430.36万元，固定资产净值为206.89万元；</w:t>
      </w:r>
      <w:r>
        <w:rPr>
          <w:rFonts w:hint="eastAsia" w:ascii="仿宋_GB2312" w:hAnsi="仿宋_GB2312" w:eastAsia="仿宋_GB2312" w:cs="仿宋_GB2312"/>
          <w:sz w:val="32"/>
          <w:szCs w:val="32"/>
          <w:lang w:eastAsia="zh-CN"/>
        </w:rPr>
        <w:t>无形资产</w:t>
      </w:r>
      <w:r>
        <w:rPr>
          <w:rFonts w:hint="eastAsia" w:ascii="仿宋_GB2312" w:hAnsi="仿宋_GB2312" w:eastAsia="仿宋_GB2312" w:cs="仿宋_GB2312"/>
          <w:sz w:val="32"/>
          <w:szCs w:val="32"/>
          <w:lang w:val="en-US" w:eastAsia="zh-CN"/>
        </w:rPr>
        <w:t>27.90万元，无形资产累计摊销6.62万元，无形资产净值为21.28万元</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2020年当年新增固定资产5.48万元，新增无形资产0.3万元。</w:t>
      </w:r>
    </w:p>
    <w:p>
      <w:pPr>
        <w:pStyle w:val="3"/>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b w:val="0"/>
          <w:bCs/>
          <w:sz w:val="32"/>
          <w:szCs w:val="32"/>
        </w:rPr>
        <w:t>二、绩效目标</w:t>
      </w:r>
    </w:p>
    <w:p>
      <w:pPr>
        <w:pStyle w:val="4"/>
        <w:pageBreakBefore w:val="0"/>
        <w:widowControl w:val="0"/>
        <w:kinsoku/>
        <w:wordWrap/>
        <w:overflowPunct/>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（一）部门总目标。</w:t>
      </w:r>
      <w:bookmarkStart w:id="0" w:name="_GoBack"/>
      <w:bookmarkEnd w:id="0"/>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1.社区残疾人康复、残疾人康复普及型康复用品配发、精神病防治康复、社区精准康复服务工作等经费支出。</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2.残疾人自主创业扶持、职业技能培训、按比例安置残疾人就业工作、“春雨行动”扶残助学、贫困残疾人家庭危房改造及贫困救助和托养服务、重大节日走访慰问、社会保障工作等经费支出。</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3.基层残疾人组织建设工作、残疾人基本服务状况和需求调查工作、扶残助残社会氛围营造宣传工作、区残疾人综合服务设施支持性服务经费等经费支出。</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4.发放全区困难残疾人生活补贴和重度残疾人护理补贴。</w:t>
      </w:r>
    </w:p>
    <w:p>
      <w:pPr>
        <w:pStyle w:val="4"/>
        <w:pageBreakBefore w:val="0"/>
        <w:widowControl w:val="0"/>
        <w:kinsoku/>
        <w:wordWrap/>
        <w:overflowPunct/>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（二）部门项目具体计划目标。</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1.残疾人康复工作：组织</w:t>
      </w:r>
      <w:r>
        <w:rPr>
          <w:rFonts w:hint="eastAsia" w:ascii="仿宋_GB2312" w:hAnsi="仿宋_GB2312" w:eastAsia="仿宋_GB2312" w:cs="仿宋_GB2312"/>
          <w:sz w:val="32"/>
          <w:szCs w:val="32"/>
          <w:lang w:val="en-US" w:eastAsia="zh-CN"/>
        </w:rPr>
        <w:t>残疾人提供体质监测服务，为</w:t>
      </w:r>
      <w:r>
        <w:rPr>
          <w:rFonts w:hint="eastAsia" w:ascii="仿宋_GB2312" w:hAnsi="仿宋_GB2312" w:eastAsia="仿宋_GB2312" w:cs="仿宋_GB2312"/>
          <w:sz w:val="32"/>
          <w:szCs w:val="32"/>
          <w:lang w:val="en-US" w:eastAsia="zh-CN"/>
        </w:rPr>
        <w:t>有健身需求的残疾人到健身机构参与体育健身活动；为</w:t>
      </w:r>
      <w:r>
        <w:rPr>
          <w:rFonts w:hint="eastAsia" w:ascii="仿宋_GB2312" w:hAnsi="仿宋_GB2312" w:eastAsia="仿宋_GB2312" w:cs="仿宋_GB2312"/>
          <w:color w:val="auto"/>
          <w:sz w:val="32"/>
          <w:szCs w:val="32"/>
          <w:lang w:val="en-US" w:eastAsia="zh-CN"/>
        </w:rPr>
        <w:t>全区有康复需求的残疾儿童已按规定程序进入昆明市定点康复机构进行康复救助治疗</w:t>
      </w:r>
      <w:r>
        <w:rPr>
          <w:rFonts w:hint="eastAsia" w:ascii="仿宋_GB2312" w:hAnsi="仿宋_GB2312" w:eastAsia="仿宋_GB2312" w:cs="仿宋_GB2312"/>
          <w:sz w:val="32"/>
          <w:szCs w:val="32"/>
          <w:lang w:val="en-US" w:eastAsia="zh-CN"/>
        </w:rPr>
        <w:t>，为辖区残疾人提供针对性的康复服务；区贫困精神病人实现免费服药补助全覆盖，组织开展区“精防”康复对象工疗、娱疗活动；为贫困区残疾人配发普及型康复用品用具。为贫困残疾人配发生活用具；开展家庭医生签约服务。</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残疾人就业和扶贫工作：开展残疾人学生教育助学工作，大力推行残疾人集中就业、按比例就业、自主创业、庇护性就业，加强残疾人扶贫工作，确保残疾人有受公平教育的权利、有就业能力和就业愿望的残疾人实现充分稳定就业，保障残疾人基本生活。</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其他残疾人事业支出：大力宣传残疾人事业、组织开展残疾人文艺体育活动、丰富残疾人精神、文化、体育生活，促进残疾人重返社会。鼓励社会关爱残疾人。全面推开基层残疾人工作规范化建设。继续完善乡镇（街道）一级的残疾人组织建设，建立健全村（社区）残疾人协会组织，合理安排配置社区残疾人专职委员。</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4.残疾人生活和护理补贴：发放全区困难残疾人生活补贴和重度残疾人护理补贴，切实改善困难残疾人的生活状况和重度残疾人的护理状况，加快推进困难残疾人的小康进程。</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b w:val="0"/>
          <w:bCs/>
          <w:sz w:val="32"/>
          <w:szCs w:val="32"/>
        </w:rPr>
        <w:t>三、评价思路和过程</w:t>
      </w:r>
    </w:p>
    <w:p>
      <w:pPr>
        <w:pageBreakBefore w:val="0"/>
        <w:widowControl w:val="0"/>
        <w:kinsoku/>
        <w:wordWrap/>
        <w:overflowPunct/>
        <w:topLinePunct/>
        <w:autoSpaceDE/>
        <w:autoSpaceDN/>
        <w:bidi w:val="0"/>
        <w:adjustRightInd/>
        <w:snapToGrid/>
        <w:spacing w:line="600" w:lineRule="exact"/>
        <w:ind w:firstLine="643" w:firstLineChars="200"/>
        <w:jc w:val="both"/>
        <w:textAlignment w:val="auto"/>
        <w:rPr>
          <w:rStyle w:val="12"/>
          <w:rFonts w:hint="eastAsia" w:ascii="仿宋_GB2312" w:hAnsi="仿宋_GB2312" w:eastAsia="仿宋_GB2312" w:cs="仿宋_GB2312"/>
          <w:sz w:val="32"/>
          <w:szCs w:val="32"/>
        </w:rPr>
      </w:pPr>
      <w:r>
        <w:rPr>
          <w:rStyle w:val="12"/>
          <w:rFonts w:hint="eastAsia" w:ascii="楷体_GB2312" w:hAnsi="楷体_GB2312" w:eastAsia="楷体_GB2312" w:cs="楷体_GB2312"/>
          <w:sz w:val="32"/>
          <w:szCs w:val="32"/>
        </w:rPr>
        <w:t>（一）评价思路</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确认当年度部门整体支出的绩效目标→梳理部门内部管理制度及存量资源→分析确定当年度部门整体支出的评价重点→构建绩效评价指标体系。</w:t>
      </w:r>
    </w:p>
    <w:p>
      <w:pPr>
        <w:pStyle w:val="4"/>
        <w:pageBreakBefore w:val="0"/>
        <w:widowControl w:val="0"/>
        <w:numPr>
          <w:numId w:val="0"/>
        </w:numPr>
        <w:kinsoku/>
        <w:wordWrap/>
        <w:overflowPunct/>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lang w:val="en-US" w:eastAsia="zh-CN"/>
        </w:rPr>
        <w:t>（二）</w:t>
      </w:r>
      <w:r>
        <w:rPr>
          <w:rFonts w:hint="eastAsia" w:ascii="楷体_GB2312" w:hAnsi="楷体_GB2312" w:eastAsia="楷体_GB2312" w:cs="楷体_GB2312"/>
          <w:sz w:val="32"/>
          <w:szCs w:val="32"/>
        </w:rPr>
        <w:t>评价目的</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通过收集</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基本情况、</w:t>
      </w:r>
      <w:r>
        <w:rPr>
          <w:rFonts w:hint="eastAsia" w:ascii="仿宋_GB2312" w:hAnsi="仿宋_GB2312" w:eastAsia="仿宋_GB2312" w:cs="仿宋_GB2312"/>
          <w:sz w:val="32"/>
          <w:szCs w:val="32"/>
          <w:lang w:val="en-US" w:eastAsia="zh-CN"/>
        </w:rPr>
        <w:t>2020年</w:t>
      </w:r>
      <w:r>
        <w:rPr>
          <w:rFonts w:hint="eastAsia" w:ascii="仿宋_GB2312" w:hAnsi="仿宋_GB2312" w:eastAsia="仿宋_GB2312" w:cs="仿宋_GB2312"/>
          <w:sz w:val="32"/>
          <w:szCs w:val="32"/>
        </w:rPr>
        <w:t>预算制定与</w:t>
      </w:r>
      <w:r>
        <w:rPr>
          <w:rFonts w:hint="eastAsia" w:ascii="仿宋_GB2312" w:hAnsi="仿宋_GB2312" w:eastAsia="仿宋_GB2312" w:cs="仿宋_GB2312"/>
          <w:sz w:val="32"/>
          <w:szCs w:val="32"/>
          <w:lang w:eastAsia="zh-CN"/>
        </w:rPr>
        <w:t>预算</w:t>
      </w:r>
      <w:r>
        <w:rPr>
          <w:rFonts w:hint="eastAsia" w:ascii="仿宋_GB2312" w:hAnsi="仿宋_GB2312" w:eastAsia="仿宋_GB2312" w:cs="仿宋_GB2312"/>
          <w:sz w:val="32"/>
          <w:szCs w:val="32"/>
        </w:rPr>
        <w:t>明细、</w:t>
      </w:r>
      <w:r>
        <w:rPr>
          <w:rFonts w:hint="eastAsia" w:ascii="仿宋_GB2312" w:hAnsi="仿宋_GB2312" w:eastAsia="仿宋_GB2312" w:cs="仿宋_GB2312"/>
          <w:sz w:val="32"/>
          <w:szCs w:val="32"/>
          <w:lang w:val="en-US" w:eastAsia="zh-CN"/>
        </w:rPr>
        <w:t>2020年年度工作计划</w:t>
      </w:r>
      <w:r>
        <w:rPr>
          <w:rFonts w:hint="eastAsia" w:ascii="仿宋_GB2312" w:hAnsi="仿宋_GB2312" w:eastAsia="仿宋_GB2312" w:cs="仿宋_GB2312"/>
          <w:sz w:val="32"/>
          <w:szCs w:val="32"/>
        </w:rPr>
        <w:t>及组织架构等信息，分析</w:t>
      </w:r>
      <w:r>
        <w:rPr>
          <w:rFonts w:hint="eastAsia" w:ascii="仿宋_GB2312" w:hAnsi="仿宋_GB2312" w:eastAsia="仿宋_GB2312" w:cs="仿宋_GB2312"/>
          <w:sz w:val="32"/>
          <w:szCs w:val="32"/>
          <w:lang w:eastAsia="zh-CN"/>
        </w:rPr>
        <w:t>本单位</w:t>
      </w:r>
      <w:r>
        <w:rPr>
          <w:rFonts w:hint="eastAsia" w:ascii="仿宋_GB2312" w:hAnsi="仿宋_GB2312" w:eastAsia="仿宋_GB2312" w:cs="仿宋_GB2312"/>
          <w:sz w:val="32"/>
          <w:szCs w:val="32"/>
        </w:rPr>
        <w:t>资源配置的合理性及中长期规划目标完成与履职情况，总结经验做法，找出预算绩效管理中的薄弱环节，提出改进建议，提高财政资金的使用效益。</w:t>
      </w:r>
    </w:p>
    <w:p>
      <w:pPr>
        <w:pStyle w:val="4"/>
        <w:pageBreakBefore w:val="0"/>
        <w:widowControl w:val="0"/>
        <w:kinsoku/>
        <w:wordWrap/>
        <w:overflowPunct/>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val="0"/>
          <w:sz w:val="32"/>
          <w:szCs w:val="32"/>
        </w:rPr>
        <w:t>（三）评价依据</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盘龙区残疾人联合会</w:t>
      </w:r>
      <w:r>
        <w:rPr>
          <w:rFonts w:hint="eastAsia" w:ascii="仿宋_GB2312" w:hAnsi="仿宋_GB2312" w:eastAsia="仿宋_GB2312" w:cs="仿宋_GB2312"/>
          <w:sz w:val="32"/>
          <w:szCs w:val="32"/>
          <w:lang w:val="en-US" w:eastAsia="zh-CN"/>
        </w:rPr>
        <w:t>2020年整体绩效评价主要依据是参照：</w:t>
      </w:r>
      <w:r>
        <w:rPr>
          <w:rFonts w:hint="eastAsia" w:ascii="仿宋_GB2312" w:hAnsi="仿宋_GB2312" w:eastAsia="仿宋_GB2312" w:cs="仿宋_GB2312"/>
          <w:sz w:val="32"/>
          <w:szCs w:val="32"/>
          <w:lang w:eastAsia="zh-CN"/>
        </w:rPr>
        <w:t>《昆明市盘龙区财政局关于下达</w:t>
      </w:r>
      <w:r>
        <w:rPr>
          <w:rFonts w:hint="eastAsia" w:ascii="仿宋_GB2312" w:hAnsi="仿宋_GB2312" w:eastAsia="仿宋_GB2312" w:cs="仿宋_GB2312"/>
          <w:sz w:val="32"/>
          <w:szCs w:val="32"/>
          <w:lang w:val="en-US" w:eastAsia="zh-CN"/>
        </w:rPr>
        <w:t>2020年部门预算的批复</w:t>
      </w:r>
      <w:r>
        <w:rPr>
          <w:rFonts w:hint="eastAsia" w:ascii="仿宋_GB2312" w:hAnsi="仿宋_GB2312" w:eastAsia="仿宋_GB2312" w:cs="仿宋_GB2312"/>
          <w:sz w:val="32"/>
          <w:szCs w:val="32"/>
          <w:lang w:eastAsia="zh-CN"/>
        </w:rPr>
        <w:t>》（盘财〔</w:t>
      </w:r>
      <w:r>
        <w:rPr>
          <w:rFonts w:hint="eastAsia" w:ascii="仿宋_GB2312" w:hAnsi="仿宋_GB2312" w:eastAsia="仿宋_GB2312" w:cs="仿宋_GB2312"/>
          <w:sz w:val="32"/>
          <w:szCs w:val="32"/>
          <w:lang w:val="en-US" w:eastAsia="zh-CN"/>
        </w:rPr>
        <w:t>2020〕1号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昆明市盘龙区财政局</w:t>
      </w:r>
      <w:r>
        <w:rPr>
          <w:rFonts w:hint="eastAsia" w:ascii="仿宋_GB2312" w:hAnsi="仿宋_GB2312" w:eastAsia="仿宋_GB2312" w:cs="仿宋_GB2312"/>
          <w:sz w:val="32"/>
          <w:szCs w:val="32"/>
        </w:rPr>
        <w:t>关于</w:t>
      </w:r>
      <w:r>
        <w:rPr>
          <w:rFonts w:hint="eastAsia" w:ascii="仿宋_GB2312" w:hAnsi="仿宋_GB2312" w:eastAsia="仿宋_GB2312" w:cs="仿宋_GB2312"/>
          <w:sz w:val="32"/>
          <w:szCs w:val="32"/>
          <w:lang w:eastAsia="zh-CN"/>
        </w:rPr>
        <w:t>开展</w:t>
      </w:r>
      <w:r>
        <w:rPr>
          <w:rFonts w:hint="eastAsia" w:ascii="仿宋_GB2312" w:hAnsi="仿宋_GB2312" w:eastAsia="仿宋_GB2312" w:cs="仿宋_GB2312"/>
          <w:sz w:val="32"/>
          <w:szCs w:val="32"/>
          <w:lang w:val="en-US" w:eastAsia="zh-CN"/>
        </w:rPr>
        <w:t>2020年度区级预算支出绩效</w:t>
      </w:r>
      <w:r>
        <w:rPr>
          <w:rFonts w:hint="eastAsia" w:ascii="仿宋_GB2312" w:hAnsi="仿宋_GB2312" w:eastAsia="仿宋_GB2312" w:cs="仿宋_GB2312"/>
          <w:sz w:val="32"/>
          <w:szCs w:val="32"/>
        </w:rPr>
        <w:t>自评工作的通知》（</w:t>
      </w:r>
      <w:r>
        <w:rPr>
          <w:rFonts w:hint="eastAsia" w:ascii="仿宋_GB2312" w:hAnsi="仿宋_GB2312" w:eastAsia="仿宋_GB2312" w:cs="仿宋_GB2312"/>
          <w:sz w:val="32"/>
          <w:szCs w:val="32"/>
          <w:lang w:eastAsia="zh-CN"/>
        </w:rPr>
        <w:t>盘财绩</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2020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2号</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、《盘龙区区级部门预算绩效自评管理暂行办法》（盘财〔</w:t>
      </w:r>
      <w:r>
        <w:rPr>
          <w:rFonts w:hint="eastAsia" w:ascii="仿宋_GB2312" w:hAnsi="仿宋_GB2312" w:eastAsia="仿宋_GB2312" w:cs="仿宋_GB2312"/>
          <w:sz w:val="32"/>
          <w:szCs w:val="32"/>
          <w:lang w:val="en-US" w:eastAsia="zh-CN"/>
        </w:rPr>
        <w:t>2018〕71号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2020年度盘龙区残疾人联合会预算执行情况表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2020年1-12月预算绩效跟踪表</w:t>
      </w:r>
      <w:r>
        <w:rPr>
          <w:rFonts w:hint="eastAsia" w:ascii="仿宋_GB2312" w:hAnsi="仿宋_GB2312" w:eastAsia="仿宋_GB2312" w:cs="仿宋_GB2312"/>
          <w:sz w:val="32"/>
          <w:szCs w:val="32"/>
          <w:lang w:eastAsia="zh-CN"/>
        </w:rPr>
        <w:t>、中央、省、市、区党委政府对于部门或该项目的相关要求等，对</w:t>
      </w:r>
      <w:r>
        <w:rPr>
          <w:rFonts w:hint="eastAsia" w:ascii="仿宋_GB2312" w:hAnsi="仿宋_GB2312" w:eastAsia="仿宋_GB2312" w:cs="仿宋_GB2312"/>
          <w:sz w:val="32"/>
          <w:szCs w:val="32"/>
          <w:lang w:val="en-US" w:eastAsia="zh-CN"/>
        </w:rPr>
        <w:t>2020年度预算支出情况进行分析评价</w:t>
      </w:r>
      <w:r>
        <w:rPr>
          <w:rFonts w:hint="eastAsia" w:ascii="仿宋_GB2312" w:hAnsi="仿宋_GB2312" w:eastAsia="仿宋_GB2312" w:cs="仿宋_GB2312"/>
          <w:sz w:val="32"/>
          <w:szCs w:val="32"/>
          <w:lang w:eastAsia="zh-CN"/>
        </w:rPr>
        <w:t>。</w:t>
      </w:r>
    </w:p>
    <w:p>
      <w:pPr>
        <w:pStyle w:val="4"/>
        <w:pageBreakBefore w:val="0"/>
        <w:widowControl w:val="0"/>
        <w:kinsoku/>
        <w:wordWrap/>
        <w:overflowPunct/>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val="0"/>
          <w:sz w:val="32"/>
          <w:szCs w:val="32"/>
        </w:rPr>
        <w:t>（四）评价对象及评价时段</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盘龙区残联对2020年度区级预算安排的基本支出、项目支出（包括残疾人康复经费、残疾人就业和扶贫经费、残疾人生活和护理补贴经费及其他残疾人事业支出经费共四个项目）和中央、省、市及安排的专项资金全面的进行评价。评价分为季度评价和年度评价，每个季度对整体支出绩效和项目支出绩效跟踪，及时将跟踪结果反馈区级财政部门，年度终了，对整个会计年度的支出情况做全面绩效分析。</w:t>
      </w:r>
    </w:p>
    <w:p>
      <w:pPr>
        <w:pStyle w:val="3"/>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b w:val="0"/>
          <w:bCs/>
          <w:sz w:val="32"/>
          <w:szCs w:val="32"/>
        </w:rPr>
        <w:t>四、评价结论和绩效分析</w:t>
      </w:r>
    </w:p>
    <w:p>
      <w:pPr>
        <w:pStyle w:val="4"/>
        <w:pageBreakBefore w:val="0"/>
        <w:widowControl w:val="0"/>
        <w:kinsoku/>
        <w:wordWrap/>
        <w:overflowPunct/>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（一）评价结论</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val="0"/>
          <w:sz w:val="32"/>
          <w:szCs w:val="32"/>
        </w:rPr>
        <w:t>1.评价结果</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2020</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eastAsia="zh-CN"/>
        </w:rPr>
        <w:t>残疾人基本支出和项目支出</w:t>
      </w:r>
      <w:r>
        <w:rPr>
          <w:rFonts w:hint="eastAsia" w:ascii="仿宋_GB2312" w:hAnsi="仿宋_GB2312" w:eastAsia="仿宋_GB2312" w:cs="仿宋_GB2312"/>
          <w:sz w:val="32"/>
          <w:szCs w:val="32"/>
        </w:rPr>
        <w:t>资金使用</w:t>
      </w:r>
      <w:r>
        <w:rPr>
          <w:rFonts w:hint="eastAsia" w:ascii="仿宋_GB2312" w:hAnsi="仿宋_GB2312" w:eastAsia="仿宋_GB2312" w:cs="仿宋_GB2312"/>
          <w:sz w:val="32"/>
          <w:szCs w:val="32"/>
          <w:lang w:eastAsia="zh-CN"/>
        </w:rPr>
        <w:t>严格按照《预算法》、《会计法》执行，</w:t>
      </w:r>
      <w:r>
        <w:rPr>
          <w:rFonts w:hint="eastAsia" w:ascii="仿宋_GB2312" w:hAnsi="仿宋_GB2312" w:eastAsia="仿宋_GB2312" w:cs="仿宋_GB2312"/>
          <w:sz w:val="32"/>
          <w:szCs w:val="32"/>
        </w:rPr>
        <w:t>符合中央、省、市文件要求</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财政资金的投入，</w:t>
      </w:r>
      <w:r>
        <w:rPr>
          <w:rFonts w:hint="eastAsia" w:ascii="仿宋_GB2312" w:hAnsi="仿宋_GB2312" w:eastAsia="仿宋_GB2312" w:cs="仿宋_GB2312"/>
          <w:sz w:val="32"/>
          <w:szCs w:val="32"/>
          <w:lang w:eastAsia="zh-CN"/>
        </w:rPr>
        <w:t>进一步</w:t>
      </w:r>
      <w:r>
        <w:rPr>
          <w:rFonts w:hint="eastAsia" w:ascii="仿宋_GB2312" w:hAnsi="仿宋_GB2312" w:eastAsia="仿宋_GB2312" w:cs="仿宋_GB2312"/>
          <w:sz w:val="32"/>
          <w:szCs w:val="32"/>
        </w:rPr>
        <w:t>完善</w:t>
      </w:r>
      <w:r>
        <w:rPr>
          <w:rFonts w:hint="eastAsia" w:ascii="仿宋_GB2312" w:hAnsi="仿宋_GB2312" w:eastAsia="仿宋_GB2312" w:cs="仿宋_GB2312"/>
          <w:sz w:val="32"/>
          <w:szCs w:val="32"/>
          <w:lang w:eastAsia="zh-CN"/>
        </w:rPr>
        <w:t>了为残疾人服务</w:t>
      </w:r>
      <w:r>
        <w:rPr>
          <w:rFonts w:hint="eastAsia" w:ascii="仿宋_GB2312" w:hAnsi="仿宋_GB2312" w:eastAsia="仿宋_GB2312" w:cs="仿宋_GB2312"/>
          <w:sz w:val="32"/>
          <w:szCs w:val="32"/>
        </w:rPr>
        <w:t>体系，</w:t>
      </w:r>
      <w:r>
        <w:rPr>
          <w:rFonts w:hint="eastAsia" w:ascii="仿宋_GB2312" w:hAnsi="仿宋_GB2312" w:eastAsia="仿宋_GB2312" w:cs="仿宋_GB2312"/>
          <w:sz w:val="32"/>
          <w:szCs w:val="32"/>
          <w:lang w:eastAsia="zh-CN"/>
        </w:rPr>
        <w:t>使残疾人得到康复范围拓宽，</w:t>
      </w:r>
      <w:r>
        <w:rPr>
          <w:rFonts w:hint="eastAsia" w:ascii="仿宋_GB2312" w:hAnsi="仿宋_GB2312" w:eastAsia="仿宋_GB2312" w:cs="仿宋_GB2312"/>
          <w:sz w:val="32"/>
          <w:szCs w:val="32"/>
        </w:rPr>
        <w:t>提高</w:t>
      </w:r>
      <w:r>
        <w:rPr>
          <w:rFonts w:hint="eastAsia" w:ascii="仿宋_GB2312" w:hAnsi="仿宋_GB2312" w:eastAsia="仿宋_GB2312" w:cs="仿宋_GB2312"/>
          <w:sz w:val="32"/>
          <w:szCs w:val="32"/>
          <w:lang w:eastAsia="zh-CN"/>
        </w:rPr>
        <w:t>了</w:t>
      </w:r>
      <w:r>
        <w:rPr>
          <w:rFonts w:hint="eastAsia" w:ascii="仿宋_GB2312" w:hAnsi="仿宋_GB2312" w:eastAsia="仿宋_GB2312" w:cs="仿宋_GB2312"/>
          <w:sz w:val="32"/>
          <w:szCs w:val="32"/>
        </w:rPr>
        <w:t>残疾人受教育水平，健全</w:t>
      </w:r>
      <w:r>
        <w:rPr>
          <w:rFonts w:hint="eastAsia" w:ascii="仿宋_GB2312" w:hAnsi="仿宋_GB2312" w:eastAsia="仿宋_GB2312" w:cs="仿宋_GB2312"/>
          <w:sz w:val="32"/>
          <w:szCs w:val="32"/>
          <w:lang w:eastAsia="zh-CN"/>
        </w:rPr>
        <w:t>了</w:t>
      </w:r>
      <w:r>
        <w:rPr>
          <w:rFonts w:hint="eastAsia" w:ascii="仿宋_GB2312" w:hAnsi="仿宋_GB2312" w:eastAsia="仿宋_GB2312" w:cs="仿宋_GB2312"/>
          <w:sz w:val="32"/>
          <w:szCs w:val="32"/>
        </w:rPr>
        <w:t>残疾人学生助学保障机制，</w:t>
      </w:r>
      <w:r>
        <w:rPr>
          <w:rFonts w:hint="eastAsia" w:ascii="仿宋_GB2312" w:hAnsi="仿宋_GB2312" w:eastAsia="仿宋_GB2312" w:cs="仿宋_GB2312"/>
          <w:sz w:val="32"/>
          <w:szCs w:val="32"/>
          <w:lang w:eastAsia="zh-CN"/>
        </w:rPr>
        <w:t>多种形式促进了残疾人就业，以创业带动就业，</w:t>
      </w:r>
      <w:r>
        <w:rPr>
          <w:rFonts w:hint="eastAsia" w:ascii="仿宋_GB2312" w:hAnsi="仿宋_GB2312" w:eastAsia="仿宋_GB2312" w:cs="仿宋_GB2312"/>
          <w:sz w:val="32"/>
          <w:szCs w:val="32"/>
        </w:rPr>
        <w:t>确保残疾人有受公平教育的权利、有就业能力和就业愿望的残疾人实现充分稳定就业，着力保障残疾人基本生活，不断改善对残疾人的服务，</w:t>
      </w:r>
      <w:r>
        <w:rPr>
          <w:rFonts w:hint="eastAsia" w:ascii="仿宋_GB2312" w:hAnsi="仿宋_GB2312" w:eastAsia="仿宋_GB2312" w:cs="仿宋_GB2312"/>
          <w:sz w:val="32"/>
          <w:szCs w:val="32"/>
          <w:lang w:eastAsia="zh-CN"/>
        </w:rPr>
        <w:t>增加残疾人幸福感和社会参与感，</w:t>
      </w:r>
      <w:r>
        <w:rPr>
          <w:rFonts w:hint="eastAsia" w:ascii="仿宋_GB2312" w:hAnsi="仿宋_GB2312" w:eastAsia="仿宋_GB2312" w:cs="仿宋_GB2312"/>
          <w:sz w:val="32"/>
          <w:szCs w:val="32"/>
        </w:rPr>
        <w:t>促进残疾人全面发展。</w:t>
      </w:r>
      <w:r>
        <w:rPr>
          <w:rFonts w:hint="eastAsia" w:ascii="仿宋_GB2312" w:hAnsi="仿宋_GB2312" w:eastAsia="仿宋_GB2312" w:cs="仿宋_GB2312"/>
          <w:sz w:val="32"/>
          <w:szCs w:val="32"/>
          <w:lang w:eastAsia="zh-CN"/>
        </w:rPr>
        <w:t>本单位整体绩效指标评价体系总分</w:t>
      </w:r>
      <w:r>
        <w:rPr>
          <w:rFonts w:hint="eastAsia" w:ascii="仿宋_GB2312" w:hAnsi="仿宋_GB2312" w:eastAsia="仿宋_GB2312" w:cs="仿宋_GB2312"/>
          <w:sz w:val="32"/>
          <w:szCs w:val="32"/>
          <w:lang w:val="en-US" w:eastAsia="zh-CN"/>
        </w:rPr>
        <w:t>100分，自评得分99分。</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sz w:val="32"/>
          <w:szCs w:val="32"/>
        </w:rPr>
        <w:t>2.主要绩效</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（1）</w:t>
      </w:r>
      <w:r>
        <w:rPr>
          <w:rFonts w:hint="eastAsia" w:ascii="仿宋_GB2312" w:hAnsi="仿宋_GB2312" w:eastAsia="仿宋_GB2312" w:cs="仿宋_GB2312"/>
          <w:sz w:val="32"/>
          <w:szCs w:val="32"/>
          <w:lang w:val="en-US" w:eastAsia="zh-CN"/>
        </w:rPr>
        <w:t>残疾人康复工作：组织</w:t>
      </w:r>
      <w:r>
        <w:rPr>
          <w:rFonts w:hint="eastAsia" w:ascii="仿宋_GB2312" w:hAnsi="仿宋_GB2312" w:eastAsia="仿宋_GB2312" w:cs="仿宋_GB2312"/>
          <w:sz w:val="32"/>
          <w:szCs w:val="32"/>
          <w:lang w:val="en-US" w:eastAsia="zh-CN"/>
        </w:rPr>
        <w:t>残疾人提供体质监测服务，为</w:t>
      </w:r>
      <w:r>
        <w:rPr>
          <w:rFonts w:hint="eastAsia" w:ascii="仿宋_GB2312" w:hAnsi="仿宋_GB2312" w:eastAsia="仿宋_GB2312" w:cs="仿宋_GB2312"/>
          <w:sz w:val="32"/>
          <w:szCs w:val="32"/>
          <w:lang w:val="en-US" w:eastAsia="zh-CN"/>
        </w:rPr>
        <w:t>有健身需求的残疾人到健身机构参与体育健身活动；为</w:t>
      </w:r>
      <w:r>
        <w:rPr>
          <w:rFonts w:hint="eastAsia" w:ascii="仿宋_GB2312" w:hAnsi="仿宋_GB2312" w:eastAsia="仿宋_GB2312" w:cs="仿宋_GB2312"/>
          <w:color w:val="auto"/>
          <w:sz w:val="32"/>
          <w:szCs w:val="32"/>
          <w:lang w:val="en-US" w:eastAsia="zh-CN"/>
        </w:rPr>
        <w:t>全区有康复需求的残疾儿童已按规定程序进入昆明市定点康复机构进行康复救助治疗</w:t>
      </w:r>
      <w:r>
        <w:rPr>
          <w:rFonts w:hint="eastAsia" w:ascii="仿宋_GB2312" w:hAnsi="仿宋_GB2312" w:eastAsia="仿宋_GB2312" w:cs="仿宋_GB2312"/>
          <w:sz w:val="32"/>
          <w:szCs w:val="32"/>
          <w:lang w:val="en-US" w:eastAsia="zh-CN"/>
        </w:rPr>
        <w:t>，为辖区残疾人提供针对性的康复服务；区贫困精神病人实现免费服药补助全覆盖，组织开展区“精防”康复对象工疗、娱疗活动；为贫困区残疾人配发普及型康复用品用具。为贫困残疾人配发生活用具；开展家庭医生签约服务。</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（2）</w:t>
      </w:r>
      <w:r>
        <w:rPr>
          <w:rFonts w:hint="eastAsia" w:ascii="仿宋_GB2312" w:hAnsi="仿宋_GB2312" w:eastAsia="仿宋_GB2312" w:cs="仿宋_GB2312"/>
          <w:sz w:val="32"/>
          <w:szCs w:val="32"/>
          <w:lang w:val="en-US" w:eastAsia="zh-CN"/>
        </w:rPr>
        <w:t>残疾人就业和扶贫工作：开展残疾人学生教育助学工作，大力推行残疾人集中就业、按比例就业、自主创业、庇护性就业，加强残疾人扶贫工作，确保残疾人有受公平教育的权利、有就业能力和就业愿望的残疾人实现充分稳定就业，保障残疾人基本生活。</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（3）</w:t>
      </w:r>
      <w:r>
        <w:rPr>
          <w:rFonts w:hint="eastAsia" w:ascii="仿宋_GB2312" w:hAnsi="仿宋_GB2312" w:eastAsia="仿宋_GB2312" w:cs="仿宋_GB2312"/>
          <w:sz w:val="32"/>
          <w:szCs w:val="32"/>
          <w:lang w:val="en-US" w:eastAsia="zh-CN"/>
        </w:rPr>
        <w:t>其他残疾人事业支出：大力宣传残疾人事业、组织开展残疾人文艺体育活动、丰富残疾人精神、文化、体育生活，促进残疾人重返社会。鼓励社会关爱残疾人。全面推开基层残疾人工作规范化建设。继续完善乡镇（街道）一级的残疾人组织建设，建立健全村（社区）残疾人协会组织，合理安排配置社区残疾人专职委员。</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cs="仿宋_GB2312"/>
          <w:sz w:val="32"/>
          <w:szCs w:val="32"/>
          <w:lang w:val="en-US" w:eastAsia="zh-CN"/>
        </w:rPr>
        <w:t>（4）</w:t>
      </w:r>
      <w:r>
        <w:rPr>
          <w:rFonts w:hint="eastAsia" w:ascii="仿宋_GB2312" w:hAnsi="仿宋_GB2312" w:eastAsia="仿宋_GB2312" w:cs="仿宋_GB2312"/>
          <w:sz w:val="32"/>
          <w:szCs w:val="32"/>
          <w:lang w:val="en-US" w:eastAsia="zh-CN"/>
        </w:rPr>
        <w:t>残疾人生活和护理补贴：发放全区困难残疾人生活补贴和重度残疾人护理补贴，切实改善困难残疾人的生活状况和重度残疾人的护理状况，加快推进困难残疾人的小康进程。</w:t>
      </w:r>
    </w:p>
    <w:p>
      <w:pPr>
        <w:pStyle w:val="4"/>
        <w:pageBreakBefore w:val="0"/>
        <w:widowControl w:val="0"/>
        <w:kinsoku/>
        <w:wordWrap/>
        <w:overflowPunct/>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val="0"/>
          <w:sz w:val="32"/>
          <w:szCs w:val="32"/>
        </w:rPr>
        <w:t>（二）具体绩效分析</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评价组对</w:t>
      </w:r>
      <w:r>
        <w:rPr>
          <w:rFonts w:hint="eastAsia" w:ascii="仿宋_GB2312" w:hAnsi="仿宋_GB2312" w:eastAsia="仿宋_GB2312" w:cs="仿宋_GB2312"/>
          <w:sz w:val="32"/>
          <w:szCs w:val="32"/>
          <w:lang w:eastAsia="zh-CN"/>
        </w:rPr>
        <w:t>本单位整体绩效</w:t>
      </w:r>
      <w:r>
        <w:rPr>
          <w:rFonts w:hint="eastAsia" w:ascii="仿宋_GB2312" w:hAnsi="仿宋_GB2312" w:eastAsia="仿宋_GB2312" w:cs="仿宋_GB2312"/>
          <w:sz w:val="32"/>
          <w:szCs w:val="32"/>
        </w:rPr>
        <w:t>从</w:t>
      </w:r>
      <w:r>
        <w:rPr>
          <w:rFonts w:hint="eastAsia" w:ascii="仿宋_GB2312" w:hAnsi="仿宋_GB2312" w:eastAsia="仿宋_GB2312" w:cs="仿宋_GB2312"/>
          <w:sz w:val="32"/>
          <w:szCs w:val="32"/>
          <w:lang w:eastAsia="zh-CN"/>
        </w:rPr>
        <w:t>部门决策</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部门</w:t>
      </w:r>
      <w:r>
        <w:rPr>
          <w:rFonts w:hint="eastAsia" w:ascii="仿宋_GB2312" w:hAnsi="仿宋_GB2312" w:eastAsia="仿宋_GB2312" w:cs="仿宋_GB2312"/>
          <w:sz w:val="32"/>
          <w:szCs w:val="32"/>
        </w:rPr>
        <w:t>管理和</w:t>
      </w:r>
      <w:r>
        <w:rPr>
          <w:rFonts w:hint="eastAsia" w:ascii="仿宋_GB2312" w:hAnsi="仿宋_GB2312" w:eastAsia="仿宋_GB2312" w:cs="仿宋_GB2312"/>
          <w:sz w:val="32"/>
          <w:szCs w:val="32"/>
          <w:lang w:eastAsia="zh-CN"/>
        </w:rPr>
        <w:t>部门</w:t>
      </w:r>
      <w:r>
        <w:rPr>
          <w:rFonts w:hint="eastAsia" w:ascii="仿宋_GB2312" w:hAnsi="仿宋_GB2312" w:eastAsia="仿宋_GB2312" w:cs="仿宋_GB2312"/>
          <w:sz w:val="32"/>
          <w:szCs w:val="32"/>
        </w:rPr>
        <w:t>绩效三个方面设立</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个二级指标、</w:t>
      </w:r>
      <w:r>
        <w:rPr>
          <w:rFonts w:hint="eastAsia" w:ascii="仿宋_GB2312" w:hAnsi="仿宋_GB2312" w:eastAsia="仿宋_GB2312" w:cs="仿宋_GB2312"/>
          <w:sz w:val="32"/>
          <w:szCs w:val="32"/>
          <w:lang w:val="en-US" w:eastAsia="zh-CN"/>
        </w:rPr>
        <w:t>45</w:t>
      </w:r>
      <w:r>
        <w:rPr>
          <w:rFonts w:hint="eastAsia" w:ascii="仿宋_GB2312" w:hAnsi="仿宋_GB2312" w:eastAsia="仿宋_GB2312" w:cs="仿宋_GB2312"/>
          <w:sz w:val="32"/>
          <w:szCs w:val="32"/>
        </w:rPr>
        <w:t>个三级指标，按照不同权重对项目绩效进行量化评价，具体评价情况如下：</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1.部门决策（总分35分，评价得分35分）</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部门目标：部门中长期规划目标、年度规划目标明确，部门详细工作计划与年度工作目标对应匹配，绩效目标合理可量化，符合部门制定的中长期实施规划计，符合部门“三定”方案确定的职责，与部门年度工作目标、任务相一致。（总分12分，评价得分12分）</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部门职能：①职能明确、设定依据充分，有“三定”文件，部门详细工作目标与部门职能对应匹配，部门年度具体工作与部门职能对应匹配，部门内设科室及下属单位具体职责明确。（总分10分，评价得分10分）</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资源配置：部门年度基本支出预算根据人员经费、公用经费标准进行合理编制，部门年度项目支出预算程序、预算依据、适用范围合理，部门核定人员的编制与部门工作内容合理，部门现有办公资源能否满足部门日常工作需求。（总分13分，评价得分13分）</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2.部门管理（总分20分，评价得分20分）</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预算管理：部门基本支出本年度决算数与预算数的比率为100%，项目支出本年度决算数与预算数的比率100%；部门本年度“三公”经费预算数与上年度“三公”经费预算数的变动比率0%；根据年中预算实际执行情况及时合规进行预算调整。（总分7分，评价得分7分）</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（2）财务管理：财务管理制度健全；资金使用合规；有明确的财务监控监督措施，监控、监督措施执行有效。（总分6分，评价得分6分）</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（3）人力资源管理：部门本年度实际在职人员数与编制数的比率为85.7%；有具体的人力资源管理制度文件和参照文件；严格按照相关文件对各类型人员进行管理和考核。（总分2分，评价得分2分）</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（4）资产管理：固定资产在用率98%；已制定固定资产管理办法、资产使用办法等管理制度，相关管理制度合法、合规、完整，相关管理制度得到有效执行。（总分2分，评价得分2分）</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（5）业务管理：已制定业务管理、项目管理等管理制度，相关管理制度合法、合规、完整，能得到有效执行；政府采购方式、程序都规范；有定期指导记录、考核结果。（总分3分，评价得分3分）</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3.部门绩效（总分45分，评价得分44分）</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部门产出：重点项目全部完成；帮困、医疗补贴等社会保障工作全部完成；残疾人助学工作全部完成；各类康复服务计划除体育进家庭工作未开展和社区康复融合活动未完成外其余全部完成；就业安置及培训计划全部完成；残疾人信息化统计、阳光关爱服务等政府采购项目按制度严格执行政府采购流程；年度内部门实际完成工作数中达到上级部门和同级政府目标要求。（总分18分，评价得分17分）</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部门效果：投诉信访事件有所减少：助困、助学等社会保障项目在各类残疾人保障中的覆盖率达90%以上；各类康复服务项目有明显的康复效果；有效促进残疾人就业；残疾人对区残联现提供服务及补贴政策的知晓程度达80%以上；残联系统相关人员及辖区内残疾人对残联工作的满意达85%。（总分21分，评价得分21分）</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（3）部门可持续发展：部门管理人员能期接受培训；按规定内容、规定时限公开预决算信息、绩效信息及其他信息，各处室、下属单位等信息共享。（总分6分，评价得分6分）</w:t>
      </w:r>
    </w:p>
    <w:p>
      <w:pPr>
        <w:pStyle w:val="3"/>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b w:val="0"/>
          <w:bCs/>
          <w:sz w:val="32"/>
          <w:szCs w:val="32"/>
        </w:rPr>
        <w:t>五、主要经验做法</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残联作为区委、区政府联系残疾人群众的桥梁和纽带，积极履职尽责，大胆实践，勇于开拓创新。一是加强工作宣传力度，增强社会公众对残联的认知和对残疾人群体的接纳程度；二是精细管理，提供工作质量和效率，全面落实绩效管理目标责任制，多部门协作，共同推进项目各项任务指标的落实。三是根据实际救助人数进行费用结算，保证财政资金使用效率；四是严格执行资金使用管理的相关规定。强化领导，建立健全绩效自评组织体系；结合实际，确定自评范围及考评指标，在充分发挥历年开展目标考核经验的基础上结合上年实际，研究确定年度绩效考核范围和考评指标；措施到位，扎实推进绩效自评工作；制定指标做到全面、合理、公正，坚持定性与定量相结合，以定量为主，80%以上的指标进行量化；考评过程与考评结果相结合。</w:t>
      </w:r>
    </w:p>
    <w:p>
      <w:pPr>
        <w:pStyle w:val="3"/>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b w:val="0"/>
          <w:bCs/>
          <w:sz w:val="32"/>
          <w:szCs w:val="32"/>
        </w:rPr>
        <w:t>六、存在的问题</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rPr>
        <w:t>1</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基本支出没有得到有效的保障。人员配备不齐，导致单位财政支出一直得不到应有的保障。建议财政增加投入，统筹解决。</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残疾人事业项目经费主要由上级项目经费和区级预算组成，资金数量有限，而残疾人康复、救助项目服务群体大，投入成本高，残疾人对项目效果期望值高，如辅助器具和精神病药品就难以满足需求，对残疾人救助</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lang w:eastAsia="zh-CN"/>
        </w:rPr>
        <w:t>补助杯水车薪，且服务成本日益提高，残疾人事业项目经费保障与广大残疾人康复需求矛盾突出。</w:t>
      </w:r>
    </w:p>
    <w:p>
      <w:pPr>
        <w:pStyle w:val="3"/>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黑体" w:hAnsi="黑体" w:eastAsia="黑体" w:cs="黑体"/>
          <w:b w:val="0"/>
          <w:bCs/>
          <w:sz w:val="32"/>
          <w:szCs w:val="32"/>
        </w:rPr>
        <w:t>七、改进措施及建议</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eastAsia="zh-CN"/>
        </w:rPr>
        <w:t>加强政策学习，提高思想认识。加强单位对《预算法》等相关法规、制度的学习，提高单位领导对全面预算管理的重视程度，增强单位各业务科室及财务人员的预算意识，坚持先有预算、后有支出，没有预算不得支出的支出理念。</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w:t>
      </w:r>
      <w:r>
        <w:rPr>
          <w:rFonts w:hint="eastAsia" w:ascii="仿宋_GB2312" w:hAnsi="仿宋_GB2312" w:cs="仿宋_GB2312"/>
          <w:sz w:val="32"/>
          <w:szCs w:val="32"/>
          <w:lang w:val="en-US" w:eastAsia="zh-CN"/>
        </w:rPr>
        <w:t>.</w:t>
      </w:r>
      <w:r>
        <w:rPr>
          <w:rFonts w:hint="eastAsia" w:ascii="仿宋_GB2312" w:hAnsi="仿宋_GB2312" w:eastAsia="仿宋_GB2312" w:cs="仿宋_GB2312"/>
          <w:sz w:val="32"/>
          <w:szCs w:val="32"/>
          <w:lang w:eastAsia="zh-CN"/>
        </w:rPr>
        <w:t>结合工作实际，提高预算科学性。预算编制前根据年度内单位可预见的工作任务，确定单位年度预算目标，细化预算指标，科学合理编制部门预算，推进预算编制科学化、准确化。</w:t>
      </w:r>
    </w:p>
    <w:p>
      <w:pPr>
        <w:pageBreakBefore w:val="0"/>
        <w:widowControl w:val="0"/>
        <w:kinsoku/>
        <w:wordWrap/>
        <w:overflowPunct/>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3.加大对残疾人工作的经费投入，加强对残疾人工作的重视，更好的为残疾人提供服务。</w:t>
      </w:r>
    </w:p>
    <w:p>
      <w:pPr>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PMingLiU">
    <w:panose1 w:val="02020500000000000000"/>
    <w:charset w:val="88"/>
    <w:family w:val="roman"/>
    <w:pitch w:val="default"/>
    <w:sig w:usb0="A00002FF" w:usb1="28CFFCFA" w:usb2="00000016" w:usb3="00000000" w:csb0="00100001" w:csb1="00000000"/>
  </w:font>
  <w:font w:name="方正小标宋_GBK">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Rod">
    <w:panose1 w:val="02030509050101010101"/>
    <w:charset w:val="00"/>
    <w:family w:val="auto"/>
    <w:pitch w:val="default"/>
    <w:sig w:usb0="00000801" w:usb1="00000000" w:usb2="00000000" w:usb3="00000000" w:csb0="00000020" w:csb1="00200000"/>
  </w:font>
  <w:font w:name="方正粗黑宋简体">
    <w:panose1 w:val="02000000000000000000"/>
    <w:charset w:val="86"/>
    <w:family w:val="auto"/>
    <w:pitch w:val="default"/>
    <w:sig w:usb0="A00002BF" w:usb1="184F6CFA" w:usb2="00000012" w:usb3="00000000" w:csb0="00040001" w:csb1="00000000"/>
  </w:font>
  <w:font w:name="DotumChe">
    <w:panose1 w:val="020B0609000101010101"/>
    <w:charset w:val="81"/>
    <w:family w:val="auto"/>
    <w:pitch w:val="default"/>
    <w:sig w:usb0="B00002AF" w:usb1="69D77CFB" w:usb2="00000030" w:usb3="00000000" w:csb0="4008009F" w:csb1="DFD70000"/>
  </w:font>
  <w:font w:name="DFKai-SB">
    <w:panose1 w:val="03000509000000000000"/>
    <w:charset w:val="88"/>
    <w:family w:val="auto"/>
    <w:pitch w:val="default"/>
    <w:sig w:usb0="00000003" w:usb1="082E0000" w:usb2="00000016" w:usb3="00000000" w:csb0="00100001" w:csb1="00000000"/>
  </w:font>
  <w:font w:name="叶根友毛笔行书2.0版">
    <w:panose1 w:val="02010601030101010101"/>
    <w:charset w:val="86"/>
    <w:family w:val="auto"/>
    <w:pitch w:val="default"/>
    <w:sig w:usb0="00000001" w:usb1="080E0000" w:usb2="00000000" w:usb3="00000000" w:csb0="00040000" w:csb1="00000000"/>
  </w:font>
  <w:font w:name="隶书">
    <w:panose1 w:val="02010509060101010101"/>
    <w:charset w:val="86"/>
    <w:family w:val="auto"/>
    <w:pitch w:val="default"/>
    <w:sig w:usb0="00000001" w:usb1="080E0000" w:usb2="00000000" w:usb3="00000000" w:csb0="00040000" w:csb1="00000000"/>
  </w:font>
  <w:font w:name="Constantia">
    <w:panose1 w:val="02030602050306030303"/>
    <w:charset w:val="00"/>
    <w:family w:val="auto"/>
    <w:pitch w:val="default"/>
    <w:sig w:usb0="A00002EF" w:usb1="4000204B"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fldChar w:fldCharType="begin"/>
                          </w:r>
                          <w:r>
                            <w:instrText xml:space="preserve"> PAGE   \* MERGEFORMAT </w:instrText>
                          </w:r>
                          <w:r>
                            <w:fldChar w:fldCharType="separate"/>
                          </w:r>
                          <w:r>
                            <w:rPr>
                              <w:lang w:val="zh-CN"/>
                            </w:rP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JvSDC8VAgAAEwQAAA4AAAAAAAAA&#10;AQAgAAAAHwEAAGRycy9lMm9Eb2MueG1sUEsFBgAAAAAGAAYAWQEAAKYFAAAAAA==&#10;">
              <v:fill on="f" focussize="0,0"/>
              <v:stroke on="f" weight="0.5pt"/>
              <v:imagedata o:title=""/>
              <o:lock v:ext="edit" aspectratio="f"/>
              <v:textbox inset="0mm,0mm,0mm,0mm" style="mso-fit-shape-to-text:t;">
                <w:txbxContent>
                  <w:p>
                    <w:pPr>
                      <w:pStyle w:val="5"/>
                    </w:pPr>
                    <w:r>
                      <w:fldChar w:fldCharType="begin"/>
                    </w:r>
                    <w:r>
                      <w:instrText xml:space="preserve"> PAGE   \* MERGEFORMAT </w:instrText>
                    </w:r>
                    <w:r>
                      <w:fldChar w:fldCharType="separate"/>
                    </w:r>
                    <w:r>
                      <w:rPr>
                        <w:lang w:val="zh-CN"/>
                      </w:rPr>
                      <w:t>39</w:t>
                    </w:r>
                    <w:r>
                      <w:fldChar w:fldCharType="end"/>
                    </w:r>
                  </w:p>
                </w:txbxContent>
              </v:textbox>
            </v:shape>
          </w:pict>
        </mc:Fallback>
      </mc:AlternateContent>
    </w: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QmRUUAgAAEwQAAA4AAABkcnMvZTJvRG9jLnhtbK1TTY7TMBTeI3EH&#10;y3uatKi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9fT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XtCZFRQCAAATBAAADgAAAAAAAAAB&#10;ACAAAAAfAQAAZHJzL2Uyb0RvYy54bWxQSwUGAAAAAAYABgBZAQAApQUAAAAA&#10;">
              <v:fill on="f" focussize="0,0"/>
              <v:stroke on="f" weight="0.5pt"/>
              <v:imagedata o:title=""/>
              <o:lock v:ext="edit" aspectratio="f"/>
              <v:textbox inset="0mm,0mm,0mm,0mm" style="mso-fit-shape-to-text:t;">
                <w:txbxContent>
                  <w:p>
                    <w:pPr>
                      <w:rPr>
                        <w:rFonts w:hint="eastAsia"/>
                        <w:lang w:eastAsia="zh-CN"/>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874479"/>
    <w:rsid w:val="09E65F21"/>
    <w:rsid w:val="0AC91726"/>
    <w:rsid w:val="0B430E5C"/>
    <w:rsid w:val="0ECE3874"/>
    <w:rsid w:val="1465358E"/>
    <w:rsid w:val="14AC5EC1"/>
    <w:rsid w:val="189C68AB"/>
    <w:rsid w:val="1A2746E7"/>
    <w:rsid w:val="1BB43181"/>
    <w:rsid w:val="1FD36BDF"/>
    <w:rsid w:val="21C32357"/>
    <w:rsid w:val="27EF494B"/>
    <w:rsid w:val="2B160365"/>
    <w:rsid w:val="2CCD48C1"/>
    <w:rsid w:val="2CEA1E31"/>
    <w:rsid w:val="2DE63E88"/>
    <w:rsid w:val="2E1D55C2"/>
    <w:rsid w:val="2E9B17B7"/>
    <w:rsid w:val="2F1B0C91"/>
    <w:rsid w:val="305A4261"/>
    <w:rsid w:val="35BD4AC5"/>
    <w:rsid w:val="36861E7B"/>
    <w:rsid w:val="36885794"/>
    <w:rsid w:val="381432B1"/>
    <w:rsid w:val="38273008"/>
    <w:rsid w:val="388E693A"/>
    <w:rsid w:val="38A7274C"/>
    <w:rsid w:val="38F5389F"/>
    <w:rsid w:val="3B035857"/>
    <w:rsid w:val="3BF15D13"/>
    <w:rsid w:val="3D8A0644"/>
    <w:rsid w:val="3E1638C8"/>
    <w:rsid w:val="3E521716"/>
    <w:rsid w:val="442D41F6"/>
    <w:rsid w:val="453741C8"/>
    <w:rsid w:val="48936351"/>
    <w:rsid w:val="49E36398"/>
    <w:rsid w:val="4B6D462F"/>
    <w:rsid w:val="4D0E0A27"/>
    <w:rsid w:val="519A5D3D"/>
    <w:rsid w:val="51D03A58"/>
    <w:rsid w:val="53880F5F"/>
    <w:rsid w:val="54CC7C15"/>
    <w:rsid w:val="56970990"/>
    <w:rsid w:val="59BB15D0"/>
    <w:rsid w:val="5AA0424C"/>
    <w:rsid w:val="5B833A73"/>
    <w:rsid w:val="5E841717"/>
    <w:rsid w:val="641F7BE3"/>
    <w:rsid w:val="64587DE1"/>
    <w:rsid w:val="6967468B"/>
    <w:rsid w:val="69944ACE"/>
    <w:rsid w:val="69E112AA"/>
    <w:rsid w:val="6A6715BE"/>
    <w:rsid w:val="6EFE7E8F"/>
    <w:rsid w:val="72C34A85"/>
    <w:rsid w:val="76C30D63"/>
    <w:rsid w:val="774D1D19"/>
    <w:rsid w:val="7865792A"/>
    <w:rsid w:val="7D666535"/>
    <w:rsid w:val="7D7D2B78"/>
    <w:rsid w:val="7E600133"/>
    <w:rsid w:val="7EA51C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1044" w:firstLineChars="200"/>
      <w:jc w:val="both"/>
    </w:pPr>
    <w:rPr>
      <w:rFonts w:ascii="Calibri" w:hAnsi="Calibri" w:eastAsia="仿宋_GB2312" w:cs="Times New Roman"/>
      <w:kern w:val="2"/>
      <w:sz w:val="30"/>
      <w:szCs w:val="22"/>
      <w:lang w:val="en-US" w:eastAsia="zh-CN" w:bidi="ar-SA"/>
    </w:rPr>
  </w:style>
  <w:style w:type="paragraph" w:styleId="2">
    <w:name w:val="heading 1"/>
    <w:basedOn w:val="1"/>
    <w:next w:val="1"/>
    <w:qFormat/>
    <w:uiPriority w:val="9"/>
    <w:pPr>
      <w:keepNext/>
      <w:keepLines/>
      <w:spacing w:before="340" w:after="330" w:line="578" w:lineRule="auto"/>
      <w:jc w:val="center"/>
      <w:outlineLvl w:val="0"/>
    </w:pPr>
    <w:rPr>
      <w:rFonts w:eastAsia="方正小标宋简体"/>
      <w:b/>
      <w:bCs/>
      <w:kern w:val="44"/>
      <w:sz w:val="44"/>
      <w:szCs w:val="44"/>
    </w:rPr>
  </w:style>
  <w:style w:type="paragraph" w:styleId="3">
    <w:name w:val="heading 2"/>
    <w:basedOn w:val="1"/>
    <w:next w:val="1"/>
    <w:unhideWhenUsed/>
    <w:qFormat/>
    <w:uiPriority w:val="0"/>
    <w:pPr>
      <w:keepNext/>
      <w:keepLines/>
      <w:spacing w:beforeLines="0" w:beforeAutospacing="0" w:afterLines="0" w:afterAutospacing="0" w:line="360" w:lineRule="auto"/>
      <w:ind w:firstLine="1044" w:firstLineChars="200"/>
      <w:jc w:val="left"/>
      <w:outlineLvl w:val="1"/>
    </w:pPr>
    <w:rPr>
      <w:rFonts w:ascii="Arial" w:hAnsi="Arial" w:eastAsia="黑体"/>
      <w:b/>
      <w:sz w:val="30"/>
    </w:rPr>
  </w:style>
  <w:style w:type="paragraph" w:styleId="4">
    <w:name w:val="heading 3"/>
    <w:basedOn w:val="1"/>
    <w:next w:val="1"/>
    <w:link w:val="12"/>
    <w:unhideWhenUsed/>
    <w:qFormat/>
    <w:uiPriority w:val="0"/>
    <w:pPr>
      <w:keepNext/>
      <w:keepLines/>
      <w:spacing w:beforeLines="0" w:beforeAutospacing="0" w:afterLines="0" w:afterAutospacing="0" w:line="360" w:lineRule="auto"/>
      <w:ind w:firstLine="1044" w:firstLineChars="200"/>
      <w:jc w:val="left"/>
      <w:outlineLvl w:val="2"/>
    </w:pPr>
    <w:rPr>
      <w:rFonts w:eastAsia="楷体"/>
      <w:b/>
      <w:sz w:val="30"/>
    </w:rPr>
  </w:style>
  <w:style w:type="character" w:default="1" w:styleId="9">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5">
    <w:name w:val="footer"/>
    <w:basedOn w:val="1"/>
    <w:unhideWhenUsed/>
    <w:qFormat/>
    <w:uiPriority w:val="99"/>
    <w:pPr>
      <w:tabs>
        <w:tab w:val="center" w:pos="4153"/>
        <w:tab w:val="right" w:pos="8306"/>
      </w:tabs>
      <w:snapToGrid w:val="0"/>
      <w:jc w:val="left"/>
    </w:pPr>
    <w:rPr>
      <w:kern w:val="0"/>
      <w:sz w:val="18"/>
      <w:szCs w:val="18"/>
    </w:rPr>
  </w:style>
  <w:style w:type="paragraph" w:styleId="6">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7">
    <w:name w:val="Normal (Web)"/>
    <w:basedOn w:val="1"/>
    <w:qFormat/>
    <w:uiPriority w:val="0"/>
    <w:pPr>
      <w:spacing w:before="100" w:beforeAutospacing="1" w:after="100" w:afterAutospacing="1"/>
      <w:ind w:left="0" w:right="0"/>
      <w:jc w:val="left"/>
    </w:pPr>
    <w:rPr>
      <w:kern w:val="0"/>
      <w:sz w:val="24"/>
      <w:lang w:val="en-US" w:eastAsia="zh-CN" w:bidi="ar"/>
    </w:rPr>
  </w:style>
  <w:style w:type="paragraph" w:customStyle="1" w:styleId="10">
    <w:name w:val="正文 A"/>
    <w:qFormat/>
    <w:uiPriority w:val="99"/>
    <w:pPr>
      <w:spacing w:after="200" w:line="276" w:lineRule="auto"/>
    </w:pPr>
    <w:rPr>
      <w:rFonts w:ascii="Calibri" w:hAnsi="Calibri" w:eastAsia="宋体" w:cs="Calibri"/>
      <w:color w:val="000000"/>
      <w:sz w:val="22"/>
      <w:szCs w:val="22"/>
      <w:u w:val="none" w:color="000000"/>
      <w:lang w:val="en-US" w:eastAsia="zh-CN" w:bidi="ar-SA"/>
    </w:rPr>
  </w:style>
  <w:style w:type="paragraph" w:customStyle="1" w:styleId="11">
    <w:name w:val="TOC 标题1"/>
    <w:basedOn w:val="2"/>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 w:type="character" w:customStyle="1" w:styleId="12">
    <w:name w:val="标题 3 Char"/>
    <w:link w:val="4"/>
    <w:qFormat/>
    <w:uiPriority w:val="0"/>
    <w:rPr>
      <w:rFonts w:eastAsia="楷体"/>
      <w:b/>
      <w:sz w:val="3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22</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cp:lastPrinted>2020-05-07T02:44:00Z</cp:lastPrinted>
  <dcterms:modified xsi:type="dcterms:W3CDTF">2021-10-08T02:15:11Z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FCDFF26A2A54486C808D729C9B0C1906</vt:lpwstr>
  </property>
</Properties>
</file>