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jc w:val="center"/>
        <w:rPr>
          <w:rFonts w:ascii="黑体" w:hAnsi="黑体" w:eastAsia="黑体" w:cs="黑体"/>
          <w:bCs/>
          <w:sz w:val="52"/>
          <w:szCs w:val="52"/>
        </w:rPr>
      </w:pPr>
      <w:r>
        <w:rPr>
          <w:rFonts w:hint="eastAsia" w:ascii="黑体" w:hAnsi="黑体" w:eastAsia="黑体" w:cs="黑体"/>
          <w:bCs/>
          <w:sz w:val="52"/>
          <w:szCs w:val="52"/>
          <w:lang w:eastAsia="zh-CN"/>
        </w:rPr>
        <w:t>残疾人生活和护理补贴</w:t>
      </w:r>
      <w:r>
        <w:rPr>
          <w:rFonts w:hint="eastAsia" w:ascii="黑体" w:hAnsi="黑体" w:eastAsia="黑体" w:cs="黑体"/>
          <w:bCs/>
          <w:sz w:val="52"/>
          <w:szCs w:val="52"/>
        </w:rPr>
        <w:t>项目支出绩效自评报告</w:t>
      </w:r>
    </w:p>
    <w:p>
      <w:pPr>
        <w:jc w:val="center"/>
        <w:rPr>
          <w:rFonts w:ascii="黑体" w:hAnsi="黑体" w:eastAsia="黑体"/>
          <w:bCs/>
          <w:sz w:val="52"/>
          <w:szCs w:val="52"/>
        </w:rPr>
      </w:pPr>
      <w:r>
        <w:rPr>
          <w:rFonts w:hint="eastAsia" w:ascii="黑体" w:hAnsi="黑体" w:eastAsia="黑体" w:cs="黑体"/>
          <w:bCs/>
          <w:sz w:val="52"/>
          <w:szCs w:val="52"/>
        </w:rPr>
        <w:t>（</w:t>
      </w:r>
      <w:r>
        <w:rPr>
          <w:rFonts w:hint="eastAsia" w:ascii="黑体" w:hAnsi="黑体" w:eastAsia="黑体" w:cs="黑体"/>
          <w:bCs/>
          <w:sz w:val="52"/>
          <w:szCs w:val="52"/>
          <w:lang w:val="en-US" w:eastAsia="zh-CN"/>
        </w:rPr>
        <w:t>2020</w:t>
      </w:r>
      <w:r>
        <w:rPr>
          <w:rFonts w:hint="eastAsia" w:ascii="黑体" w:hAnsi="黑体" w:eastAsia="黑体" w:cs="黑体"/>
          <w:bCs/>
          <w:sz w:val="52"/>
          <w:szCs w:val="52"/>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80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59264;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epcoNcAAAAJAQAADwAAAAAAAAABACAAAAAiAAAAZHJzL2Rvd25yZXYu&#10;eG1sUEsBAhQAFAAAAAgAh07iQLqdAd3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w:t>
      </w:r>
      <w:r>
        <w:rPr>
          <w:rFonts w:hint="eastAsia" w:ascii="Times New Roman" w:hAnsi="Times New Roman" w:eastAsia="黑体" w:cs="黑体"/>
          <w:b/>
          <w:bCs/>
          <w:sz w:val="28"/>
          <w:szCs w:val="28"/>
          <w:lang w:eastAsia="zh-CN"/>
        </w:rPr>
        <w:t>昆明市盘龙区残疾人联合会</w:t>
      </w:r>
    </w:p>
    <w:p>
      <w:pPr>
        <w:adjustRightInd w:val="0"/>
        <w:snapToGrid w:val="0"/>
        <w:spacing w:line="360" w:lineRule="auto"/>
        <w:ind w:left="180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6028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DxhF2DXAAAACQEAAA8AAAAAAAAAAQAgAAAAIgAAAGRycy9kb3ducmV2&#10;LnhtbFBLAQIUABQAAAAIAIdO4kAztTYx/QEAAOwDAAAOAAAAAAAAAAEAIAAAACY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w:t>
      </w:r>
      <w:r>
        <w:rPr>
          <w:rFonts w:ascii="Times New Roman" w:hAnsi="Times New Roman" w:eastAsia="黑体" w:cs="黑体"/>
          <w:b/>
          <w:bCs/>
          <w:sz w:val="28"/>
          <w:szCs w:val="28"/>
        </w:rPr>
        <w:t xml:space="preserve"> </w:t>
      </w:r>
      <w:r>
        <w:rPr>
          <w:rFonts w:hint="eastAsia" w:ascii="Times New Roman" w:hAnsi="Times New Roman" w:eastAsia="黑体" w:cs="黑体"/>
          <w:b/>
          <w:bCs/>
          <w:sz w:val="28"/>
          <w:szCs w:val="28"/>
          <w:lang w:eastAsia="zh-CN"/>
        </w:rPr>
        <w:t>昆明市盘龙区残疾人联合会</w:t>
      </w:r>
    </w:p>
    <w:p>
      <w:pPr>
        <w:adjustRightInd w:val="0"/>
        <w:snapToGrid w:val="0"/>
        <w:spacing w:line="360" w:lineRule="auto"/>
        <w:ind w:left="1800" w:leftChars="600"/>
        <w:rPr>
          <w:rFonts w:hint="eastAsia" w:ascii="Times New Roman" w:hAnsi="Times New Roman" w:eastAsia="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C/u9cAAAAJAQAADwAAAAAAAAABACAAAAAiAAAAZHJzL2Rvd25yZXYu&#10;eG1sUEsBAhQAFAAAAAgAh07iQFeilar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w:t>
      </w:r>
      <w:r>
        <w:rPr>
          <w:rFonts w:ascii="Times New Roman" w:hAnsi="Times New Roman" w:eastAsia="黑体"/>
          <w:b/>
          <w:bCs/>
          <w:sz w:val="28"/>
          <w:szCs w:val="28"/>
        </w:rPr>
        <w:t xml:space="preserve"> </w:t>
      </w:r>
      <w:r>
        <w:rPr>
          <w:rFonts w:hint="eastAsia" w:ascii="Times New Roman" w:hAnsi="Times New Roman" w:eastAsia="黑体"/>
          <w:b/>
          <w:bCs/>
          <w:sz w:val="28"/>
          <w:szCs w:val="28"/>
          <w:lang w:eastAsia="zh-CN"/>
        </w:rPr>
        <w:t>昆明市盘龙区残疾人联合会</w:t>
      </w:r>
    </w:p>
    <w:p>
      <w:pPr>
        <w:adjustRightInd w:val="0"/>
        <w:snapToGrid w:val="0"/>
        <w:spacing w:line="360" w:lineRule="auto"/>
        <w:ind w:left="1800" w:leftChars="600"/>
        <w:rPr>
          <w:rFonts w:hint="eastAsia" w:ascii="Times New Roman" w:hAnsi="Times New Roman" w:eastAsia="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4" name="直接箭头连接符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Qgv7vXAAAACQEAAA8AAAAAAAAAAQAgAAAAIgAAAGRycy9kb3ducmV2&#10;LnhtbFBLAQIUABQAAAAIAIdO4kCN3b1F/QEAAOwDAAAOAAAAAAAAAAEAIAAAACY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ascii="Times New Roman" w:hAnsi="Times New Roman" w:eastAsia="黑体"/>
          <w:b/>
          <w:bCs/>
          <w:sz w:val="28"/>
          <w:szCs w:val="28"/>
        </w:rPr>
        <w:t xml:space="preserve"> </w:t>
      </w:r>
      <w:r>
        <w:rPr>
          <w:rFonts w:hint="eastAsia" w:ascii="Times New Roman" w:hAnsi="Times New Roman" w:eastAsia="黑体"/>
          <w:b/>
          <w:bCs/>
          <w:sz w:val="28"/>
          <w:szCs w:val="28"/>
          <w:lang w:eastAsia="zh-CN"/>
        </w:rPr>
        <w:t>残疾人生活和护理补贴项目</w:t>
      </w:r>
    </w:p>
    <w:p>
      <w:pPr>
        <w:adjustRightInd w:val="0"/>
        <w:snapToGrid w:val="0"/>
        <w:spacing w:line="360" w:lineRule="auto"/>
        <w:ind w:left="180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5" name="直接箭头连接符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336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C/u9cAAAAJAQAADwAAAAAAAAABACAAAAAiAAAAZHJzL2Rvd25yZXYu&#10;eG1sUEsBAhQAFAAAAAgAh07iQOnKHt7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ascii="Times New Roman" w:hAnsi="Times New Roman" w:eastAsia="黑体"/>
          <w:b/>
          <w:bCs/>
          <w:sz w:val="28"/>
          <w:szCs w:val="28"/>
        </w:rPr>
        <w:t xml:space="preserve"> </w:t>
      </w:r>
    </w:p>
    <w:p>
      <w:pPr>
        <w:spacing w:line="360" w:lineRule="auto"/>
        <w:ind w:left="1740"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lang w:val="en-US" w:eastAsia="zh-CN"/>
        </w:rPr>
        <w:t>21</w:t>
      </w:r>
      <w:r>
        <w:rPr>
          <w:rFonts w:hint="eastAsia" w:ascii="Times New Roman" w:hAnsi="Times New Roman" w:eastAsia="黑体" w:cs="黑体"/>
          <w:b/>
          <w:bCs/>
          <w:sz w:val="28"/>
          <w:szCs w:val="28"/>
        </w:rPr>
        <w:t>年</w:t>
      </w:r>
      <w:r>
        <w:rPr>
          <w:rFonts w:hint="eastAsia" w:ascii="Times New Roman" w:hAnsi="Times New Roman" w:eastAsia="黑体"/>
          <w:b/>
          <w:bCs/>
          <w:sz w:val="28"/>
          <w:szCs w:val="28"/>
          <w:lang w:val="en-US" w:eastAsia="zh-CN"/>
        </w:rPr>
        <w:t>5</w:t>
      </w:r>
      <w:r>
        <w:rPr>
          <w:rFonts w:hint="eastAsia" w:ascii="Times New Roman" w:hAnsi="Times New Roman" w:eastAsia="黑体" w:cs="黑体"/>
          <w:b/>
          <w:bCs/>
          <w:sz w:val="28"/>
          <w:szCs w:val="28"/>
        </w:rPr>
        <w:t>月</w:t>
      </w:r>
    </w:p>
    <w:p>
      <w:pPr>
        <w:tabs>
          <w:tab w:val="left" w:pos="7165"/>
        </w:tabs>
        <w:jc w:val="left"/>
        <w:rPr>
          <w:rFonts w:hint="eastAsia" w:ascii="Times New Roman" w:hAnsi="Times New Roman" w:eastAsia="黑体" w:cs="黑体"/>
          <w:b/>
          <w:bCs/>
          <w:sz w:val="28"/>
          <w:szCs w:val="28"/>
          <w:lang w:eastAsia="zh-CN"/>
        </w:rPr>
      </w:pPr>
      <w:r>
        <w:rPr>
          <w:rFonts w:hint="eastAsia" w:ascii="Times New Roman" w:hAnsi="Times New Roman" w:eastAsia="黑体" w:cs="黑体"/>
          <w:b/>
          <w:bCs/>
          <w:sz w:val="28"/>
          <w:szCs w:val="28"/>
          <w:lang w:eastAsia="zh-CN"/>
        </w:rPr>
        <w:tab/>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仿宋_GB2312"/>
          <w:b/>
          <w:bCs/>
          <w:sz w:val="28"/>
          <w:szCs w:val="28"/>
        </w:rPr>
      </w:pPr>
    </w:p>
    <w:p>
      <w:pPr>
        <w:pStyle w:val="9"/>
        <w:widowControl w:val="0"/>
        <w:spacing w:after="0" w:line="360" w:lineRule="auto"/>
        <w:ind w:left="60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7"/>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9"/>
              <w:widowControl w:val="0"/>
              <w:spacing w:after="0" w:line="24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评价小组</w:t>
            </w:r>
          </w:p>
          <w:p>
            <w:pPr>
              <w:pStyle w:val="9"/>
              <w:widowControl w:val="0"/>
              <w:spacing w:after="0" w:line="24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机构职位</w:t>
            </w:r>
          </w:p>
        </w:tc>
        <w:tc>
          <w:tcPr>
            <w:tcW w:w="1620" w:type="dxa"/>
            <w:vAlign w:val="center"/>
          </w:tcPr>
          <w:p>
            <w:pPr>
              <w:pStyle w:val="9"/>
              <w:widowControl w:val="0"/>
              <w:spacing w:after="0" w:line="24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姓名</w:t>
            </w:r>
          </w:p>
        </w:tc>
        <w:tc>
          <w:tcPr>
            <w:tcW w:w="1620" w:type="dxa"/>
            <w:vAlign w:val="center"/>
          </w:tcPr>
          <w:p>
            <w:pPr>
              <w:pStyle w:val="9"/>
              <w:widowControl w:val="0"/>
              <w:spacing w:after="0" w:line="24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职务/职称</w:t>
            </w:r>
          </w:p>
        </w:tc>
        <w:tc>
          <w:tcPr>
            <w:tcW w:w="1621" w:type="dxa"/>
            <w:vAlign w:val="center"/>
          </w:tcPr>
          <w:p>
            <w:pPr>
              <w:pStyle w:val="9"/>
              <w:widowControl w:val="0"/>
              <w:spacing w:after="0" w:line="24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所属</w:t>
            </w:r>
          </w:p>
          <w:p>
            <w:pPr>
              <w:pStyle w:val="9"/>
              <w:widowControl w:val="0"/>
              <w:spacing w:after="0" w:line="24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单位/处室</w:t>
            </w:r>
          </w:p>
        </w:tc>
        <w:tc>
          <w:tcPr>
            <w:tcW w:w="1621" w:type="dxa"/>
            <w:vAlign w:val="center"/>
          </w:tcPr>
          <w:p>
            <w:pPr>
              <w:pStyle w:val="9"/>
              <w:widowControl w:val="0"/>
              <w:spacing w:after="0" w:line="24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9"/>
              <w:widowControl w:val="0"/>
              <w:spacing w:after="0" w:line="24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组长</w:t>
            </w:r>
          </w:p>
        </w:tc>
        <w:tc>
          <w:tcPr>
            <w:tcW w:w="1620" w:type="dxa"/>
            <w:vAlign w:val="top"/>
          </w:tcPr>
          <w:p>
            <w:pPr>
              <w:pStyle w:val="9"/>
              <w:widowControl w:val="0"/>
              <w:spacing w:after="0" w:line="240" w:lineRule="auto"/>
              <w:jc w:val="both"/>
              <w:rPr>
                <w:rFonts w:hint="eastAsia" w:asciiTheme="minorEastAsia" w:hAnsiTheme="minorEastAsia" w:eastAsiaTheme="minorEastAsia" w:cstheme="minorEastAsia"/>
                <w:kern w:val="2"/>
                <w:sz w:val="24"/>
                <w:szCs w:val="24"/>
                <w:lang w:val="zh-TW" w:eastAsia="zh-CN"/>
              </w:rPr>
            </w:pPr>
            <w:r>
              <w:rPr>
                <w:rFonts w:hint="eastAsia" w:asciiTheme="minorEastAsia" w:hAnsiTheme="minorEastAsia" w:eastAsiaTheme="minorEastAsia" w:cstheme="minorEastAsia"/>
                <w:kern w:val="2"/>
                <w:sz w:val="24"/>
                <w:szCs w:val="24"/>
                <w:lang w:val="zh-TW" w:eastAsia="zh-CN"/>
              </w:rPr>
              <w:t>黎如珊</w:t>
            </w:r>
          </w:p>
        </w:tc>
        <w:tc>
          <w:tcPr>
            <w:tcW w:w="1620" w:type="dxa"/>
            <w:vAlign w:val="top"/>
          </w:tcPr>
          <w:p>
            <w:pPr>
              <w:pStyle w:val="9"/>
              <w:widowControl w:val="0"/>
              <w:spacing w:after="0" w:line="240" w:lineRule="auto"/>
              <w:jc w:val="both"/>
              <w:rPr>
                <w:rFonts w:hint="eastAsia"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理事长</w:t>
            </w:r>
          </w:p>
        </w:tc>
        <w:tc>
          <w:tcPr>
            <w:tcW w:w="1621" w:type="dxa"/>
            <w:vAlign w:val="top"/>
          </w:tcPr>
          <w:p>
            <w:pPr>
              <w:pStyle w:val="9"/>
              <w:widowControl w:val="0"/>
              <w:spacing w:after="0" w:line="240" w:lineRule="auto"/>
              <w:jc w:val="both"/>
              <w:rPr>
                <w:rFonts w:hint="eastAsia"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盘龙区残联</w:t>
            </w:r>
          </w:p>
        </w:tc>
        <w:tc>
          <w:tcPr>
            <w:tcW w:w="1621" w:type="dxa"/>
            <w:vAlign w:val="center"/>
          </w:tcPr>
          <w:p>
            <w:pPr>
              <w:pStyle w:val="9"/>
              <w:widowControl w:val="0"/>
              <w:spacing w:after="0" w:line="240" w:lineRule="auto"/>
              <w:jc w:val="center"/>
              <w:rPr>
                <w:rFonts w:hint="eastAsia" w:asciiTheme="minorEastAsia" w:hAnsiTheme="minorEastAsia" w:eastAsiaTheme="minorEastAsia" w:cstheme="minorEastAsia"/>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9"/>
              <w:widowControl w:val="0"/>
              <w:spacing w:after="0" w:line="36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副组长</w:t>
            </w:r>
          </w:p>
        </w:tc>
        <w:tc>
          <w:tcPr>
            <w:tcW w:w="1620" w:type="dxa"/>
            <w:vAlign w:val="top"/>
          </w:tcPr>
          <w:p>
            <w:pPr>
              <w:pStyle w:val="9"/>
              <w:widowControl w:val="0"/>
              <w:spacing w:after="0" w:line="360" w:lineRule="auto"/>
              <w:jc w:val="both"/>
              <w:rPr>
                <w:rFonts w:hint="eastAsia"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贺新生</w:t>
            </w:r>
          </w:p>
        </w:tc>
        <w:tc>
          <w:tcPr>
            <w:tcW w:w="1620" w:type="dxa"/>
            <w:vAlign w:val="top"/>
          </w:tcPr>
          <w:p>
            <w:pPr>
              <w:pStyle w:val="9"/>
              <w:widowControl w:val="0"/>
              <w:spacing w:after="0" w:line="360" w:lineRule="auto"/>
              <w:jc w:val="both"/>
              <w:rPr>
                <w:rFonts w:hint="eastAsia"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副理事长</w:t>
            </w:r>
          </w:p>
        </w:tc>
        <w:tc>
          <w:tcPr>
            <w:tcW w:w="1621" w:type="dxa"/>
            <w:vAlign w:val="top"/>
          </w:tcPr>
          <w:p>
            <w:pPr>
              <w:pStyle w:val="9"/>
              <w:widowControl w:val="0"/>
              <w:spacing w:after="0" w:line="360" w:lineRule="auto"/>
              <w:jc w:val="both"/>
              <w:rPr>
                <w:rFonts w:hint="eastAsia"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盘龙区残联</w:t>
            </w:r>
          </w:p>
        </w:tc>
        <w:tc>
          <w:tcPr>
            <w:tcW w:w="1621" w:type="dxa"/>
            <w:vAlign w:val="center"/>
          </w:tcPr>
          <w:p>
            <w:pPr>
              <w:pStyle w:val="9"/>
              <w:widowControl w:val="0"/>
              <w:spacing w:after="0" w:line="360" w:lineRule="auto"/>
              <w:jc w:val="center"/>
              <w:rPr>
                <w:rFonts w:hint="eastAsia" w:asciiTheme="minorEastAsia" w:hAnsiTheme="minorEastAsia" w:eastAsiaTheme="minorEastAsia" w:cstheme="minorEastAsia"/>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9"/>
              <w:widowControl w:val="0"/>
              <w:spacing w:after="0" w:line="36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成员</w:t>
            </w:r>
          </w:p>
        </w:tc>
        <w:tc>
          <w:tcPr>
            <w:tcW w:w="1620" w:type="dxa"/>
            <w:vAlign w:val="top"/>
          </w:tcPr>
          <w:p>
            <w:pPr>
              <w:pStyle w:val="9"/>
              <w:widowControl w:val="0"/>
              <w:spacing w:after="0" w:line="360" w:lineRule="auto"/>
              <w:jc w:val="both"/>
              <w:rPr>
                <w:rFonts w:hint="eastAsia" w:asciiTheme="minorEastAsia" w:hAnsiTheme="minorEastAsia" w:eastAsiaTheme="minorEastAsia" w:cstheme="minorEastAsia"/>
                <w:kern w:val="2"/>
                <w:sz w:val="24"/>
                <w:szCs w:val="24"/>
                <w:lang w:val="zh-TW" w:eastAsia="zh-CN"/>
              </w:rPr>
            </w:pPr>
            <w:r>
              <w:rPr>
                <w:rFonts w:hint="eastAsia" w:asciiTheme="minorEastAsia" w:hAnsiTheme="minorEastAsia" w:eastAsiaTheme="minorEastAsia" w:cstheme="minorEastAsia"/>
                <w:kern w:val="2"/>
                <w:sz w:val="24"/>
                <w:szCs w:val="24"/>
                <w:lang w:val="zh-TW" w:eastAsia="zh-CN"/>
              </w:rPr>
              <w:t>王海燕</w:t>
            </w:r>
          </w:p>
        </w:tc>
        <w:tc>
          <w:tcPr>
            <w:tcW w:w="1620" w:type="dxa"/>
            <w:vAlign w:val="top"/>
          </w:tcPr>
          <w:p>
            <w:pPr>
              <w:pStyle w:val="9"/>
              <w:widowControl w:val="0"/>
              <w:spacing w:after="0" w:line="360" w:lineRule="auto"/>
              <w:jc w:val="both"/>
              <w:rPr>
                <w:rFonts w:hint="eastAsia" w:asciiTheme="minorEastAsia" w:hAnsiTheme="minorEastAsia" w:eastAsiaTheme="minorEastAsia" w:cstheme="minorEastAsia"/>
                <w:kern w:val="2"/>
                <w:sz w:val="24"/>
                <w:szCs w:val="24"/>
                <w:lang w:val="zh-TW" w:eastAsia="zh-CN"/>
              </w:rPr>
            </w:pPr>
            <w:r>
              <w:rPr>
                <w:rFonts w:hint="eastAsia" w:asciiTheme="minorEastAsia" w:hAnsiTheme="minorEastAsia" w:eastAsiaTheme="minorEastAsia" w:cstheme="minorEastAsia"/>
                <w:kern w:val="2"/>
                <w:sz w:val="24"/>
                <w:szCs w:val="24"/>
                <w:lang w:val="zh-TW" w:eastAsia="zh-CN"/>
              </w:rPr>
              <w:t>组联教就科科长</w:t>
            </w:r>
          </w:p>
        </w:tc>
        <w:tc>
          <w:tcPr>
            <w:tcW w:w="1621" w:type="dxa"/>
            <w:vAlign w:val="top"/>
          </w:tcPr>
          <w:p>
            <w:pPr>
              <w:pStyle w:val="9"/>
              <w:widowControl w:val="0"/>
              <w:spacing w:after="0" w:line="360" w:lineRule="auto"/>
              <w:jc w:val="both"/>
              <w:rPr>
                <w:rFonts w:hint="eastAsia"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盘龙区残联</w:t>
            </w:r>
          </w:p>
        </w:tc>
        <w:tc>
          <w:tcPr>
            <w:tcW w:w="1621" w:type="dxa"/>
            <w:vAlign w:val="center"/>
          </w:tcPr>
          <w:p>
            <w:pPr>
              <w:pStyle w:val="9"/>
              <w:widowControl w:val="0"/>
              <w:spacing w:after="0" w:line="360" w:lineRule="auto"/>
              <w:jc w:val="center"/>
              <w:rPr>
                <w:rFonts w:hint="eastAsia" w:asciiTheme="minorEastAsia" w:hAnsiTheme="minorEastAsia" w:eastAsiaTheme="minorEastAsia" w:cstheme="minorEastAsia"/>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9"/>
              <w:widowControl w:val="0"/>
              <w:spacing w:after="0" w:line="36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成员</w:t>
            </w:r>
          </w:p>
        </w:tc>
        <w:tc>
          <w:tcPr>
            <w:tcW w:w="1620" w:type="dxa"/>
            <w:vAlign w:val="top"/>
          </w:tcPr>
          <w:p>
            <w:pPr>
              <w:pStyle w:val="9"/>
              <w:widowControl w:val="0"/>
              <w:spacing w:after="0" w:line="360" w:lineRule="auto"/>
              <w:jc w:val="both"/>
              <w:rPr>
                <w:rFonts w:hint="eastAsia"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eastAsia="zh-CN"/>
              </w:rPr>
              <w:t>赵荣玲</w:t>
            </w:r>
          </w:p>
        </w:tc>
        <w:tc>
          <w:tcPr>
            <w:tcW w:w="1620" w:type="dxa"/>
            <w:vAlign w:val="top"/>
          </w:tcPr>
          <w:p>
            <w:pPr>
              <w:pStyle w:val="9"/>
              <w:widowControl w:val="0"/>
              <w:spacing w:after="0" w:line="360" w:lineRule="auto"/>
              <w:jc w:val="both"/>
              <w:rPr>
                <w:rFonts w:hint="eastAsia"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eastAsia="zh-CN"/>
              </w:rPr>
              <w:t>财务人员</w:t>
            </w:r>
          </w:p>
        </w:tc>
        <w:tc>
          <w:tcPr>
            <w:tcW w:w="1621" w:type="dxa"/>
            <w:vAlign w:val="top"/>
          </w:tcPr>
          <w:p>
            <w:pPr>
              <w:pStyle w:val="9"/>
              <w:widowControl w:val="0"/>
              <w:spacing w:after="0" w:line="360" w:lineRule="auto"/>
              <w:jc w:val="both"/>
              <w:rPr>
                <w:rFonts w:hint="eastAsia"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盘龙区残联</w:t>
            </w:r>
          </w:p>
        </w:tc>
        <w:tc>
          <w:tcPr>
            <w:tcW w:w="1621" w:type="dxa"/>
            <w:vAlign w:val="top"/>
          </w:tcPr>
          <w:p>
            <w:pPr>
              <w:pStyle w:val="9"/>
              <w:widowControl w:val="0"/>
              <w:spacing w:after="0" w:line="360" w:lineRule="auto"/>
              <w:jc w:val="both"/>
              <w:rPr>
                <w:rFonts w:hint="eastAsia" w:asciiTheme="minorEastAsia" w:hAnsiTheme="minorEastAsia" w:eastAsiaTheme="minorEastAsia" w:cstheme="minorEastAsia"/>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102" w:type="dxa"/>
            <w:gridSpan w:val="5"/>
            <w:vAlign w:val="top"/>
          </w:tcPr>
          <w:p>
            <w:pPr>
              <w:pStyle w:val="9"/>
              <w:widowControl w:val="0"/>
              <w:spacing w:after="0" w:line="360" w:lineRule="auto"/>
              <w:jc w:val="both"/>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报告撰写人（签字）：</w:t>
            </w:r>
          </w:p>
          <w:p>
            <w:pPr>
              <w:pStyle w:val="9"/>
              <w:widowControl w:val="0"/>
              <w:spacing w:after="0" w:line="360" w:lineRule="auto"/>
              <w:jc w:val="both"/>
              <w:rPr>
                <w:rFonts w:hint="eastAsia" w:asciiTheme="minorEastAsia" w:hAnsiTheme="minorEastAsia" w:eastAsiaTheme="minorEastAsia" w:cstheme="minorEastAsia"/>
                <w:kern w:val="2"/>
                <w:sz w:val="24"/>
                <w:szCs w:val="24"/>
                <w:lang w:val="zh-TW"/>
              </w:rPr>
            </w:pPr>
          </w:p>
          <w:p>
            <w:pPr>
              <w:pStyle w:val="9"/>
              <w:widowControl w:val="0"/>
              <w:spacing w:after="0" w:line="360" w:lineRule="auto"/>
              <w:jc w:val="both"/>
              <w:rPr>
                <w:rFonts w:hint="eastAsia" w:asciiTheme="minorEastAsia" w:hAnsiTheme="minorEastAsia" w:eastAsiaTheme="minorEastAsia" w:cstheme="minorEastAsia"/>
                <w:kern w:val="2"/>
                <w:sz w:val="24"/>
                <w:szCs w:val="24"/>
                <w:lang w:val="zh-TW"/>
              </w:rPr>
            </w:pPr>
          </w:p>
          <w:p>
            <w:pPr>
              <w:pStyle w:val="9"/>
              <w:widowControl w:val="0"/>
              <w:wordWrap w:val="0"/>
              <w:spacing w:after="0" w:line="360" w:lineRule="auto"/>
              <w:jc w:val="right"/>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102" w:type="dxa"/>
            <w:gridSpan w:val="5"/>
            <w:vAlign w:val="top"/>
          </w:tcPr>
          <w:p>
            <w:pPr>
              <w:pStyle w:val="9"/>
              <w:widowControl w:val="0"/>
              <w:spacing w:after="0" w:line="360" w:lineRule="auto"/>
              <w:jc w:val="both"/>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评价工作负责人（签字）：</w:t>
            </w:r>
          </w:p>
          <w:p>
            <w:pPr>
              <w:pStyle w:val="9"/>
              <w:widowControl w:val="0"/>
              <w:spacing w:after="0" w:line="360" w:lineRule="auto"/>
              <w:jc w:val="both"/>
              <w:rPr>
                <w:rFonts w:hint="eastAsia" w:asciiTheme="minorEastAsia" w:hAnsiTheme="minorEastAsia" w:eastAsiaTheme="minorEastAsia" w:cstheme="minorEastAsia"/>
                <w:kern w:val="2"/>
                <w:sz w:val="24"/>
                <w:szCs w:val="24"/>
                <w:lang w:val="zh-TW"/>
              </w:rPr>
            </w:pPr>
          </w:p>
          <w:p>
            <w:pPr>
              <w:pStyle w:val="9"/>
              <w:widowControl w:val="0"/>
              <w:spacing w:after="0" w:line="360" w:lineRule="auto"/>
              <w:jc w:val="both"/>
              <w:rPr>
                <w:rFonts w:hint="eastAsia" w:asciiTheme="minorEastAsia" w:hAnsiTheme="minorEastAsia" w:eastAsiaTheme="minorEastAsia" w:cstheme="minorEastAsia"/>
                <w:kern w:val="2"/>
                <w:sz w:val="24"/>
                <w:szCs w:val="24"/>
                <w:lang w:val="zh-TW"/>
              </w:rPr>
            </w:pPr>
          </w:p>
          <w:p>
            <w:pPr>
              <w:pStyle w:val="9"/>
              <w:widowControl w:val="0"/>
              <w:wordWrap w:val="0"/>
              <w:spacing w:after="0" w:line="360" w:lineRule="auto"/>
              <w:jc w:val="right"/>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年  月  日</w:t>
            </w:r>
          </w:p>
        </w:tc>
      </w:tr>
    </w:tbl>
    <w:p>
      <w:pPr>
        <w:pStyle w:val="9"/>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9"/>
        <w:widowControl w:val="0"/>
        <w:spacing w:after="0" w:line="360" w:lineRule="auto"/>
        <w:jc w:val="both"/>
        <w:rPr>
          <w:rFonts w:ascii="Times New Roman" w:hAnsi="Times New Roman" w:cs="Times New Roman"/>
          <w:kern w:val="2"/>
          <w:sz w:val="24"/>
          <w:szCs w:val="24"/>
          <w:lang w:val="zh-TW"/>
        </w:rPr>
        <w:sectPr>
          <w:footerReference r:id="rId5" w:type="default"/>
          <w:pgSz w:w="11906" w:h="16838"/>
          <w:pgMar w:top="1440" w:right="1800" w:bottom="1440" w:left="1800" w:header="851" w:footer="992" w:gutter="0"/>
          <w:cols w:space="425" w:num="1"/>
          <w:docGrid w:type="lines" w:linePitch="312" w:charSpace="0"/>
        </w:sectPr>
      </w:pPr>
    </w:p>
    <w:p>
      <w:pPr>
        <w:pStyle w:val="10"/>
        <w:jc w:val="center"/>
        <w:rPr>
          <w:rFonts w:ascii="Times New Roman" w:hAnsi="Times New Roman" w:cs="Times New Roman"/>
          <w:color w:val="auto"/>
          <w:sz w:val="30"/>
          <w:szCs w:val="30"/>
        </w:rPr>
      </w:pPr>
      <w:r>
        <w:rPr>
          <w:rFonts w:hint="eastAsia" w:ascii="Times New Roman" w:hAnsi="Times New Roman" w:cs="宋体"/>
          <w:color w:val="auto"/>
          <w:sz w:val="30"/>
          <w:szCs w:val="30"/>
          <w:lang w:val="zh-CN"/>
        </w:rPr>
        <w:t>目</w:t>
      </w:r>
      <w:r>
        <w:rPr>
          <w:rFonts w:hint="eastAsia" w:ascii="Times New Roman" w:hAnsi="Times New Roman" w:cs="宋体"/>
          <w:color w:val="auto"/>
          <w:sz w:val="30"/>
          <w:szCs w:val="30"/>
          <w:lang w:val="en-US" w:eastAsia="zh-CN"/>
        </w:rPr>
        <w:t xml:space="preserve"> </w:t>
      </w:r>
      <w:r>
        <w:rPr>
          <w:rFonts w:hint="eastAsia" w:ascii="Times New Roman" w:hAnsi="Times New Roman" w:cs="宋体"/>
          <w:color w:val="auto"/>
          <w:sz w:val="30"/>
          <w:szCs w:val="30"/>
          <w:lang w:val="zh-CN"/>
        </w:rPr>
        <w:t>录</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摘要</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 项目基本情况</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（一）项目立项背景</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（二）项目立项依据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（三）项目实施内容</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（四）项目实施计划及完成情况</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（五）项目的组织及管理</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（六）项目绩效目标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二、绩效评价工作情况</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(一)评价的目的和依据</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(二)绩效评价工作方案制定过程</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(三)绩效评价原则、评价方法等</w:t>
      </w:r>
      <w:r>
        <w:rPr>
          <w:rFonts w:hint="eastAsia" w:asciiTheme="minorEastAsia" w:hAnsiTheme="minorEastAsia" w:eastAsiaTheme="minorEastAsia" w:cstheme="minorEastAsia"/>
          <w:sz w:val="28"/>
          <w:szCs w:val="28"/>
        </w:rPr>
        <w:tab/>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(四)绩效评价实施过程</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(五)绩效评价的局限性</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三、评价结论及绩效分析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(一)评价结论</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(二)绩效分析</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四、项目主要经验及做法、存在的问题和建议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(一)主要经验及做法</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(二)存在的问题</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(三)建议和改进措施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五、附件</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附件一：指标体系</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附件二：基础数据表</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rPr>
          <w:rFonts w:hint="eastAsia" w:asciiTheme="minorEastAsia" w:hAnsiTheme="minorEastAsia" w:eastAsiaTheme="minorEastAsia" w:cstheme="minorEastAsia"/>
          <w:szCs w:val="32"/>
        </w:rPr>
      </w:pPr>
      <w:r>
        <w:rPr>
          <w:rFonts w:hint="eastAsia" w:asciiTheme="minorEastAsia" w:hAnsiTheme="minorEastAsia" w:eastAsiaTheme="minorEastAsia" w:cstheme="minorEastAsia"/>
          <w:szCs w:val="32"/>
        </w:rPr>
        <w:br w:type="page"/>
      </w:r>
    </w:p>
    <w:p>
      <w:pPr>
        <w:pStyle w:val="2"/>
        <w:bidi w:val="0"/>
      </w:pPr>
      <w:r>
        <w:rPr>
          <w:rFonts w:hint="eastAsia"/>
          <w:lang w:eastAsia="zh-CN"/>
        </w:rPr>
        <w:t>残疾人生活和护理补贴</w:t>
      </w:r>
      <w:r>
        <w:rPr>
          <w:rFonts w:hint="eastAsia"/>
        </w:rPr>
        <w:t>项目支出绩效自评报告</w:t>
      </w:r>
    </w:p>
    <w:p>
      <w:pPr>
        <w:pStyle w:val="3"/>
        <w:bidi w:val="0"/>
      </w:pPr>
      <w:r>
        <w:rPr>
          <w:rFonts w:hint="eastAsia"/>
        </w:rPr>
        <w:t>一、项目基本情况</w:t>
      </w:r>
    </w:p>
    <w:p>
      <w:pPr>
        <w:pStyle w:val="4"/>
        <w:bidi w:val="0"/>
      </w:pPr>
      <w:r>
        <w:rPr>
          <w:rFonts w:hint="eastAsia"/>
        </w:rPr>
        <w:t>（一）项目概况</w:t>
      </w:r>
    </w:p>
    <w:p>
      <w:pPr>
        <w:bidi w:val="0"/>
      </w:pPr>
      <w:r>
        <w:rPr>
          <w:rFonts w:hint="eastAsia"/>
        </w:rPr>
        <w:t>1.立项背景及目的</w:t>
      </w:r>
    </w:p>
    <w:p>
      <w:pPr>
        <w:bidi w:val="0"/>
        <w:rPr>
          <w:rFonts w:hint="eastAsia"/>
          <w:lang w:val="en-US" w:eastAsia="zh-CN"/>
        </w:rPr>
      </w:pPr>
      <w:r>
        <w:rPr>
          <w:rFonts w:hint="eastAsia"/>
          <w:lang w:eastAsia="zh-CN"/>
        </w:rPr>
        <w:t>根据</w:t>
      </w:r>
      <w:r>
        <w:rPr>
          <w:rFonts w:hint="eastAsia"/>
        </w:rPr>
        <w:t>国务院印发了《关于全面建立困难残疾人生活补贴和重度残疾人护理补贴的意见》（国发〔2015〕7号），《云南省人民政府关于加快推进残疾人小康进程的实施意见》征求意见稿（云残工委办〔2015〕8号）、《云南省人民政府关于印发云南省困难残疾人生活补贴和重度残疾人护理补贴制度实施办法的通知》（云政发[2016]5号） 和《昆明市委办公厅印发市委全面深化改革领导小组2015年工作要点的通知》（昆办发〔2015〕13号），</w:t>
      </w:r>
      <w:r>
        <w:rPr>
          <w:rFonts w:hint="eastAsia"/>
          <w:lang w:eastAsia="zh-CN"/>
        </w:rPr>
        <w:t>自</w:t>
      </w:r>
      <w:r>
        <w:rPr>
          <w:rFonts w:hint="eastAsia"/>
          <w:lang w:val="en-US" w:eastAsia="zh-CN"/>
        </w:rPr>
        <w:t>2016年1月1日起，全面建立残疾人两项补贴制度，由民政牵头、残联配合做好残疾人困难残疾人生活补贴和重度残疾人护理补贴发放工作，</w:t>
      </w:r>
      <w:r>
        <w:rPr>
          <w:rFonts w:hint="eastAsia"/>
        </w:rPr>
        <w:t>基本做到符合条件残疾人的全覆盖。</w:t>
      </w:r>
    </w:p>
    <w:p>
      <w:pPr>
        <w:bidi w:val="0"/>
      </w:pPr>
      <w:r>
        <w:rPr>
          <w:rFonts w:hint="eastAsia"/>
        </w:rPr>
        <w:t>2.项目实施情况。</w:t>
      </w:r>
    </w:p>
    <w:p>
      <w:pPr>
        <w:bidi w:val="0"/>
        <w:rPr>
          <w:rFonts w:hint="eastAsia"/>
          <w:lang w:val="en-US" w:eastAsia="zh-CN"/>
        </w:rPr>
      </w:pPr>
      <w:r>
        <w:rPr>
          <w:rFonts w:hint="eastAsia"/>
          <w:lang w:eastAsia="zh-CN"/>
        </w:rPr>
        <w:t>根据</w:t>
      </w:r>
      <w:r>
        <w:rPr>
          <w:rFonts w:hint="eastAsia"/>
        </w:rPr>
        <w:t xml:space="preserve">国务院印发了《关于全面建立困难残疾人生活补贴和重度残疾人护理补贴的意见》（国发〔2015〕7号），《云南省人民政府关于加快推进残疾人小康进程的实施意见》征求意见稿（云残工委办〔2015〕8号）、《云南省人民政府关于印发云南省困难残疾人生活补贴和重度残疾人护理补贴制度实施办法的通知》（云政发[2016]5号） </w:t>
      </w:r>
      <w:r>
        <w:rPr>
          <w:rFonts w:hint="eastAsia"/>
          <w:lang w:eastAsia="zh-CN"/>
        </w:rPr>
        <w:t>、《昆明市民政局市财政局局市残联关于调整残疾人两项补贴标准的通知》（昆民联发[2020-13]）</w:t>
      </w:r>
      <w:r>
        <w:rPr>
          <w:rFonts w:hint="eastAsia"/>
        </w:rPr>
        <w:t>和《昆明市委办公厅印发市委全面深化改革领导小组2015年工作要点的通知》（昆办发〔2015〕13号），</w:t>
      </w:r>
      <w:r>
        <w:rPr>
          <w:rFonts w:hint="eastAsia"/>
          <w:lang w:eastAsia="zh-CN"/>
        </w:rPr>
        <w:t>自</w:t>
      </w:r>
      <w:r>
        <w:rPr>
          <w:rFonts w:hint="eastAsia"/>
          <w:lang w:val="en-US" w:eastAsia="zh-CN"/>
        </w:rPr>
        <w:t>2016年1月1日起，全面建立残疾人两项补贴制度，由民政牵头、残联配合做好残疾人困难残疾人生活补贴和重度残疾人护理补贴发放工作，</w:t>
      </w:r>
      <w:r>
        <w:rPr>
          <w:rFonts w:hint="eastAsia"/>
        </w:rPr>
        <w:t>基本做到符合条件残疾人的全覆盖。</w:t>
      </w:r>
      <w:r>
        <w:rPr>
          <w:rFonts w:hint="eastAsia" w:ascii="仿宋_GB2312" w:hAnsi="仿宋_GB2312" w:eastAsia="仿宋_GB2312" w:cs="仿宋_GB2312"/>
          <w:color w:val="auto"/>
          <w:sz w:val="32"/>
          <w:szCs w:val="32"/>
        </w:rPr>
        <w:t>全年辖区内共1899名贫困残疾人享受困难残疾人生活补贴，3999名重度残疾人享受重度残疾人护理补贴</w:t>
      </w:r>
    </w:p>
    <w:p>
      <w:pPr>
        <w:bidi w:val="0"/>
      </w:pPr>
      <w:r>
        <w:rPr>
          <w:rFonts w:hint="eastAsia"/>
        </w:rPr>
        <w:t>3.资金来源及使用情况。</w:t>
      </w:r>
    </w:p>
    <w:p>
      <w:pPr>
        <w:bidi w:val="0"/>
        <w:rPr>
          <w:rFonts w:hint="eastAsia"/>
          <w:lang w:eastAsia="zh-CN"/>
        </w:rPr>
      </w:pPr>
      <w:r>
        <w:rPr>
          <w:rFonts w:hint="eastAsia"/>
          <w:lang w:eastAsia="zh-CN"/>
        </w:rPr>
        <w:t>（</w:t>
      </w:r>
      <w:r>
        <w:rPr>
          <w:rFonts w:hint="eastAsia"/>
          <w:lang w:val="en-US" w:eastAsia="zh-CN"/>
        </w:rPr>
        <w:t>1</w:t>
      </w:r>
      <w:r>
        <w:rPr>
          <w:rFonts w:hint="eastAsia"/>
          <w:lang w:eastAsia="zh-CN"/>
        </w:rPr>
        <w:t>）资金来源。</w:t>
      </w:r>
    </w:p>
    <w:p>
      <w:pPr>
        <w:bidi w:val="0"/>
        <w:rPr>
          <w:rFonts w:hint="default"/>
          <w:lang w:val="en-US" w:eastAsia="zh-CN"/>
        </w:rPr>
      </w:pPr>
      <w:r>
        <w:rPr>
          <w:rFonts w:hint="eastAsia"/>
          <w:lang w:eastAsia="zh-CN"/>
        </w:rPr>
        <w:t>残疾人生活和护理补贴</w:t>
      </w:r>
      <w:r>
        <w:rPr>
          <w:rFonts w:hint="eastAsia"/>
        </w:rPr>
        <w:t>项目资金主要来源于区财政拨款资金</w:t>
      </w:r>
      <w:r>
        <w:rPr>
          <w:rFonts w:hint="eastAsia"/>
          <w:lang w:eastAsia="zh-CN"/>
        </w:rPr>
        <w:t>。</w:t>
      </w:r>
      <w:r>
        <w:rPr>
          <w:rFonts w:hint="eastAsia"/>
        </w:rPr>
        <w:t>盘龙区残联</w:t>
      </w:r>
      <w:r>
        <w:rPr>
          <w:rFonts w:hint="eastAsia"/>
          <w:lang w:val="en-US" w:eastAsia="zh-CN"/>
        </w:rPr>
        <w:t>2020</w:t>
      </w:r>
      <w:r>
        <w:rPr>
          <w:rFonts w:hint="eastAsia"/>
        </w:rPr>
        <w:t>年</w:t>
      </w:r>
      <w:r>
        <w:rPr>
          <w:rFonts w:hint="eastAsia"/>
          <w:lang w:eastAsia="zh-CN"/>
        </w:rPr>
        <w:t>共取得残疾人生活和护理补贴项目资金</w:t>
      </w:r>
      <w:r>
        <w:rPr>
          <w:rFonts w:hint="eastAsia"/>
          <w:lang w:val="en-US" w:eastAsia="zh-CN"/>
        </w:rPr>
        <w:t>567.53万元，其中</w:t>
      </w:r>
      <w:r>
        <w:rPr>
          <w:rFonts w:hint="eastAsia"/>
        </w:rPr>
        <w:t>区财政拨款资金安排</w:t>
      </w:r>
      <w:r>
        <w:rPr>
          <w:rFonts w:hint="eastAsia"/>
          <w:lang w:val="en-US" w:eastAsia="zh-CN"/>
        </w:rPr>
        <w:t>549万元，市级补助18.53万元。</w:t>
      </w:r>
    </w:p>
    <w:p>
      <w:pPr>
        <w:bidi w:val="0"/>
        <w:rPr>
          <w:rFonts w:hint="eastAsia"/>
          <w:lang w:eastAsia="zh-CN"/>
        </w:rPr>
      </w:pPr>
      <w:r>
        <w:rPr>
          <w:rFonts w:hint="eastAsia"/>
          <w:lang w:eastAsia="zh-CN"/>
        </w:rPr>
        <w:t>（</w:t>
      </w:r>
      <w:r>
        <w:rPr>
          <w:rFonts w:hint="eastAsia"/>
          <w:lang w:val="en-US" w:eastAsia="zh-CN"/>
        </w:rPr>
        <w:t>2</w:t>
      </w:r>
      <w:r>
        <w:rPr>
          <w:rFonts w:hint="eastAsia"/>
          <w:lang w:eastAsia="zh-CN"/>
        </w:rPr>
        <w:t>）资金使用情况</w:t>
      </w:r>
    </w:p>
    <w:p>
      <w:pPr>
        <w:bidi w:val="0"/>
        <w:rPr>
          <w:rFonts w:hint="eastAsia"/>
          <w:lang w:val="en-US" w:eastAsia="zh-CN"/>
        </w:rPr>
      </w:pPr>
      <w:r>
        <w:rPr>
          <w:rFonts w:hint="eastAsia"/>
          <w:lang w:val="en-US" w:eastAsia="zh-CN"/>
        </w:rPr>
        <w:t>2020年盘龙区残联共计支出残疾人生活和护理补贴项目资金567.53万元，支出进度为100%。</w:t>
      </w:r>
    </w:p>
    <w:p>
      <w:pPr>
        <w:bidi w:val="0"/>
      </w:pPr>
      <w:r>
        <w:rPr>
          <w:rFonts w:hint="eastAsia"/>
        </w:rPr>
        <w:t>4.组织及管理情况。包括项目组织情况、项目实施流程、资金拨付流程。</w:t>
      </w:r>
    </w:p>
    <w:p>
      <w:pPr>
        <w:bidi w:val="0"/>
      </w:pPr>
      <w:r>
        <w:rPr>
          <w:rFonts w:hint="eastAsia"/>
          <w:lang w:eastAsia="zh-CN"/>
        </w:rPr>
        <w:t>绩效跟踪工作主要有财务和具体业务科室协同开展，按月度跟进项目经费执行情况，按季度</w:t>
      </w:r>
      <w:r>
        <w:rPr>
          <w:rFonts w:hint="eastAsia"/>
        </w:rPr>
        <w:t>对残疾人</w:t>
      </w:r>
      <w:r>
        <w:rPr>
          <w:rFonts w:hint="eastAsia"/>
          <w:lang w:eastAsia="zh-CN"/>
        </w:rPr>
        <w:t>生活和护理补贴</w:t>
      </w:r>
      <w:r>
        <w:rPr>
          <w:rFonts w:hint="eastAsia"/>
        </w:rPr>
        <w:t>项目进行</w:t>
      </w:r>
      <w:r>
        <w:rPr>
          <w:rFonts w:hint="eastAsia"/>
          <w:lang w:eastAsia="zh-CN"/>
        </w:rPr>
        <w:t>绩效跟踪</w:t>
      </w:r>
      <w:r>
        <w:rPr>
          <w:rFonts w:hint="eastAsia"/>
        </w:rPr>
        <w:t>。财务</w:t>
      </w:r>
      <w:r>
        <w:rPr>
          <w:rFonts w:hint="eastAsia"/>
          <w:lang w:eastAsia="zh-CN"/>
        </w:rPr>
        <w:t>按月度、季度提供经费支出情况</w:t>
      </w:r>
      <w:r>
        <w:rPr>
          <w:rFonts w:hint="eastAsia"/>
        </w:rPr>
        <w:t>，</w:t>
      </w:r>
      <w:r>
        <w:rPr>
          <w:rFonts w:hint="eastAsia"/>
          <w:lang w:eastAsia="zh-CN"/>
        </w:rPr>
        <w:t>组联教就科根据项目实际开展情况进行分析</w:t>
      </w:r>
      <w:r>
        <w:rPr>
          <w:rFonts w:hint="eastAsia"/>
        </w:rPr>
        <w:t>，收集、汇总、整理项目资料，检查、核实项目资料中的数据后，</w:t>
      </w:r>
      <w:r>
        <w:rPr>
          <w:rFonts w:hint="eastAsia"/>
          <w:lang w:eastAsia="zh-CN"/>
        </w:rPr>
        <w:t>跟踪项目实施过程是否与计划偏离</w:t>
      </w:r>
      <w:r>
        <w:rPr>
          <w:rFonts w:hint="eastAsia"/>
        </w:rPr>
        <w:t>。</w:t>
      </w:r>
      <w:r>
        <w:rPr>
          <w:rFonts w:hint="eastAsia"/>
          <w:lang w:eastAsia="zh-CN"/>
        </w:rPr>
        <w:t>对跟踪结果进行反馈和及时调整，如有项目实施与计划目标发生偏离，及时汇报给单位领导，提出有效措施，对已偏离的项目进行实时调整。</w:t>
      </w:r>
    </w:p>
    <w:p>
      <w:pPr>
        <w:pStyle w:val="4"/>
        <w:bidi w:val="0"/>
      </w:pPr>
      <w:r>
        <w:rPr>
          <w:rFonts w:hint="eastAsia"/>
        </w:rPr>
        <w:t>（二）绩效目标。</w:t>
      </w:r>
    </w:p>
    <w:p>
      <w:pPr>
        <w:bidi w:val="0"/>
      </w:pPr>
      <w:r>
        <w:rPr>
          <w:rFonts w:hint="eastAsia"/>
        </w:rPr>
        <w:t>1.总目标。</w:t>
      </w:r>
    </w:p>
    <w:p>
      <w:pPr>
        <w:bidi w:val="0"/>
        <w:rPr>
          <w:rFonts w:hint="eastAsia"/>
        </w:rPr>
      </w:pPr>
      <w:r>
        <w:rPr>
          <w:rFonts w:hint="eastAsia"/>
          <w:lang w:eastAsia="zh-CN"/>
        </w:rPr>
        <w:t>保障残疾人生存发展权益，做好残疾人福利保障工作，解决残疾人特殊生活困难和长期照护困难，填补残疾人社会保障体系空白，促进公平正义，让困难残疾人和重度残疾人提高生活质量，共享改革发展成果，同步实现小康。</w:t>
      </w:r>
    </w:p>
    <w:p>
      <w:pPr>
        <w:bidi w:val="0"/>
      </w:pPr>
      <w:r>
        <w:rPr>
          <w:rFonts w:hint="eastAsia"/>
        </w:rPr>
        <w:t>2.年度目标。</w:t>
      </w:r>
    </w:p>
    <w:p>
      <w:pPr>
        <w:bidi w:val="0"/>
        <w:rPr>
          <w:rFonts w:hint="eastAsia"/>
          <w:lang w:eastAsia="zh-CN"/>
        </w:rPr>
      </w:pPr>
      <w:r>
        <w:rPr>
          <w:rFonts w:hint="eastAsia"/>
          <w:lang w:eastAsia="zh-CN"/>
        </w:rPr>
        <w:t>（</w:t>
      </w:r>
      <w:r>
        <w:rPr>
          <w:rFonts w:hint="eastAsia"/>
          <w:lang w:val="en-US" w:eastAsia="zh-CN"/>
        </w:rPr>
        <w:t>1</w:t>
      </w:r>
      <w:r>
        <w:rPr>
          <w:rFonts w:hint="eastAsia"/>
          <w:lang w:eastAsia="zh-CN"/>
        </w:rPr>
        <w:t>）补助低保家庭中的残疾人因残疾产生的额外生活支出，辖区困难残疾人全覆盖；</w:t>
      </w:r>
    </w:p>
    <w:p>
      <w:pPr>
        <w:bidi w:val="0"/>
        <w:rPr>
          <w:rFonts w:hint="eastAsia"/>
          <w:lang w:eastAsia="zh-CN"/>
        </w:rPr>
      </w:pPr>
      <w:r>
        <w:rPr>
          <w:rFonts w:hint="eastAsia"/>
          <w:lang w:eastAsia="zh-CN"/>
        </w:rPr>
        <w:t>（</w:t>
      </w:r>
      <w:r>
        <w:rPr>
          <w:rFonts w:hint="eastAsia"/>
          <w:lang w:val="en-US" w:eastAsia="zh-CN"/>
        </w:rPr>
        <w:t>2</w:t>
      </w:r>
      <w:r>
        <w:rPr>
          <w:rFonts w:hint="eastAsia"/>
          <w:lang w:eastAsia="zh-CN"/>
        </w:rPr>
        <w:t>）补助需要长期照护的重度残疾人因残疾产生的额外长期照护支出，辖区重度残疾人全覆盖。</w:t>
      </w:r>
    </w:p>
    <w:p>
      <w:pPr>
        <w:pStyle w:val="3"/>
        <w:bidi w:val="0"/>
      </w:pPr>
      <w:r>
        <w:rPr>
          <w:rFonts w:hint="eastAsia"/>
        </w:rPr>
        <w:t>二、绩效评价工作情况</w:t>
      </w:r>
    </w:p>
    <w:p>
      <w:pPr>
        <w:pStyle w:val="4"/>
        <w:bidi w:val="0"/>
        <w:rPr>
          <w:rFonts w:hint="eastAsia"/>
        </w:rPr>
      </w:pPr>
      <w:r>
        <w:rPr>
          <w:rFonts w:hint="eastAsia"/>
        </w:rPr>
        <w:t>（一）绩效评价目的。</w:t>
      </w:r>
    </w:p>
    <w:p>
      <w:pPr>
        <w:bidi w:val="0"/>
        <w:rPr>
          <w:rFonts w:hint="eastAsia"/>
        </w:rPr>
      </w:pPr>
      <w:r>
        <w:rPr>
          <w:rFonts w:hint="eastAsia"/>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bidi w:val="0"/>
        <w:rPr>
          <w:rFonts w:hint="default" w:ascii="仿宋_GB2312" w:hAnsi="楷体" w:eastAsia="仿宋_GB2312"/>
          <w:color w:val="auto"/>
          <w:szCs w:val="30"/>
          <w:lang w:val="en-US" w:eastAsia="zh-CN"/>
        </w:rPr>
      </w:pPr>
      <w:r>
        <w:rPr>
          <w:rFonts w:hint="eastAsia"/>
          <w:lang w:eastAsia="zh-CN"/>
        </w:rPr>
        <w:t>区残联严格执行各项残疾人两项补贴补政策，自觉接受社会和群众的监督。根据区目标责任考核管理办法，对照</w:t>
      </w:r>
      <w:r>
        <w:rPr>
          <w:rFonts w:hint="eastAsia"/>
          <w:lang w:val="en-US" w:eastAsia="zh-CN"/>
        </w:rPr>
        <w:t>工作目标，认真分析研究，采取有力措施，加强部门协作，共同做好残疾人两项补贴审核及发放工作，提高预算资金使用效率，超额完成了各项任务指标，有效推动残疾人两项补贴政策在辖区范围全覆盖。</w:t>
      </w:r>
    </w:p>
    <w:p>
      <w:pPr>
        <w:pStyle w:val="4"/>
        <w:bidi w:val="0"/>
      </w:pPr>
      <w:r>
        <w:rPr>
          <w:rFonts w:hint="eastAsia"/>
        </w:rPr>
        <w:t>（二）绩效评价工作方案制定过程。</w:t>
      </w:r>
    </w:p>
    <w:p>
      <w:pPr>
        <w:bidi w:val="0"/>
        <w:rPr>
          <w:rFonts w:hint="eastAsia" w:ascii="仿宋" w:hAnsi="仿宋" w:eastAsia="仿宋" w:cs="仿宋"/>
          <w:sz w:val="32"/>
          <w:szCs w:val="32"/>
        </w:rPr>
      </w:pPr>
      <w:r>
        <w:rPr>
          <w:rFonts w:hint="eastAsia"/>
          <w:sz w:val="32"/>
          <w:szCs w:val="32"/>
        </w:rPr>
        <w:t>根据</w:t>
      </w:r>
      <w:r>
        <w:rPr>
          <w:rFonts w:hint="eastAsia"/>
          <w:sz w:val="32"/>
          <w:szCs w:val="32"/>
          <w:lang w:eastAsia="zh-CN"/>
        </w:rPr>
        <w:t>昆明市盘龙区</w:t>
      </w:r>
      <w:r>
        <w:rPr>
          <w:rFonts w:hint="eastAsia"/>
          <w:sz w:val="32"/>
          <w:szCs w:val="32"/>
        </w:rPr>
        <w:t>财政局《关于</w:t>
      </w:r>
      <w:r>
        <w:rPr>
          <w:rFonts w:hint="eastAsia"/>
          <w:sz w:val="32"/>
          <w:szCs w:val="32"/>
          <w:lang w:eastAsia="zh-CN"/>
        </w:rPr>
        <w:t>开展</w:t>
      </w:r>
      <w:r>
        <w:rPr>
          <w:rFonts w:hint="eastAsia"/>
          <w:sz w:val="32"/>
          <w:szCs w:val="32"/>
          <w:lang w:val="en-US" w:eastAsia="zh-CN"/>
        </w:rPr>
        <w:t>2020年度区级预算支出绩效</w:t>
      </w:r>
      <w:r>
        <w:rPr>
          <w:rFonts w:hint="eastAsia"/>
          <w:sz w:val="32"/>
          <w:szCs w:val="32"/>
        </w:rPr>
        <w:t>自评工作的通知》（</w:t>
      </w:r>
      <w:r>
        <w:rPr>
          <w:rFonts w:hint="eastAsia"/>
          <w:sz w:val="32"/>
          <w:szCs w:val="32"/>
          <w:lang w:eastAsia="zh-CN"/>
        </w:rPr>
        <w:t>盘财绩</w:t>
      </w:r>
      <w:r>
        <w:rPr>
          <w:rFonts w:hint="eastAsia"/>
          <w:sz w:val="32"/>
          <w:szCs w:val="32"/>
        </w:rPr>
        <w:t>〔</w:t>
      </w:r>
      <w:r>
        <w:rPr>
          <w:rFonts w:hint="eastAsia"/>
          <w:sz w:val="32"/>
          <w:szCs w:val="32"/>
          <w:lang w:val="en-US" w:eastAsia="zh-CN"/>
        </w:rPr>
        <w:t>2021</w:t>
      </w:r>
      <w:r>
        <w:rPr>
          <w:rFonts w:hint="eastAsia"/>
          <w:sz w:val="32"/>
          <w:szCs w:val="32"/>
        </w:rPr>
        <w:t>〕</w:t>
      </w:r>
      <w:r>
        <w:rPr>
          <w:rFonts w:hint="eastAsia"/>
          <w:sz w:val="32"/>
          <w:szCs w:val="32"/>
          <w:lang w:val="en-US" w:eastAsia="zh-CN"/>
        </w:rPr>
        <w:t>2号</w:t>
      </w:r>
      <w:r>
        <w:rPr>
          <w:rFonts w:hint="eastAsia"/>
          <w:sz w:val="32"/>
          <w:szCs w:val="32"/>
        </w:rPr>
        <w:t>）</w:t>
      </w:r>
      <w:r>
        <w:rPr>
          <w:rFonts w:hint="eastAsia"/>
          <w:sz w:val="32"/>
          <w:szCs w:val="32"/>
          <w:lang w:eastAsia="zh-CN"/>
        </w:rPr>
        <w:t>和《盘龙区区级部门预算绩效自评管理暂行办法》文件</w:t>
      </w:r>
      <w:r>
        <w:rPr>
          <w:rFonts w:hint="eastAsia"/>
          <w:sz w:val="32"/>
          <w:szCs w:val="32"/>
        </w:rPr>
        <w:t>精神，我会迅速组织开展了20</w:t>
      </w:r>
      <w:r>
        <w:rPr>
          <w:rFonts w:hint="eastAsia"/>
          <w:sz w:val="32"/>
          <w:szCs w:val="32"/>
          <w:lang w:val="en-US" w:eastAsia="zh-CN"/>
        </w:rPr>
        <w:t>20</w:t>
      </w:r>
      <w:r>
        <w:rPr>
          <w:rFonts w:hint="eastAsia"/>
          <w:sz w:val="32"/>
          <w:szCs w:val="32"/>
        </w:rPr>
        <w:t>年度项目支出预算绩效自评工作。成立了</w:t>
      </w:r>
      <w:r>
        <w:rPr>
          <w:rFonts w:hint="eastAsia"/>
          <w:sz w:val="32"/>
          <w:szCs w:val="32"/>
          <w:lang w:eastAsia="zh-CN"/>
        </w:rPr>
        <w:t>以理事长为组长、副理事长为副组长、业务科室长及财务人员为成员的</w:t>
      </w:r>
      <w:r>
        <w:rPr>
          <w:rFonts w:hint="eastAsia"/>
          <w:sz w:val="32"/>
          <w:szCs w:val="32"/>
        </w:rPr>
        <w:t>自评工作领导小组，制定了自评方案,财务</w:t>
      </w:r>
      <w:r>
        <w:rPr>
          <w:rFonts w:hint="eastAsia"/>
          <w:sz w:val="32"/>
          <w:szCs w:val="32"/>
          <w:lang w:eastAsia="zh-CN"/>
        </w:rPr>
        <w:t>、组联教就科</w:t>
      </w:r>
      <w:r>
        <w:rPr>
          <w:rFonts w:hint="eastAsia"/>
          <w:sz w:val="32"/>
          <w:szCs w:val="32"/>
        </w:rPr>
        <w:t>和康复科人员全程参与自评。依据项目支出绩效自评指标计分表,逐条逐项对照</w:t>
      </w:r>
      <w:r>
        <w:rPr>
          <w:rFonts w:hint="eastAsia"/>
          <w:sz w:val="32"/>
          <w:szCs w:val="32"/>
          <w:lang w:eastAsia="zh-CN"/>
        </w:rPr>
        <w:t>评分</w:t>
      </w:r>
      <w:r>
        <w:rPr>
          <w:rFonts w:hint="eastAsia"/>
          <w:sz w:val="32"/>
          <w:szCs w:val="32"/>
        </w:rPr>
        <w:t>，并进行综合评价,疏理问题，明确方向，以进一步发挥</w:t>
      </w:r>
      <w:r>
        <w:rPr>
          <w:rFonts w:hint="eastAsia"/>
          <w:sz w:val="32"/>
          <w:szCs w:val="32"/>
          <w:lang w:eastAsia="zh-CN"/>
        </w:rPr>
        <w:t>其他</w:t>
      </w:r>
      <w:r>
        <w:rPr>
          <w:rFonts w:hint="eastAsia"/>
          <w:sz w:val="32"/>
          <w:szCs w:val="32"/>
        </w:rPr>
        <w:t>残疾人</w:t>
      </w:r>
      <w:r>
        <w:rPr>
          <w:rFonts w:hint="eastAsia"/>
          <w:sz w:val="32"/>
          <w:szCs w:val="32"/>
          <w:lang w:eastAsia="zh-CN"/>
        </w:rPr>
        <w:t>事业支出</w:t>
      </w:r>
      <w:r>
        <w:rPr>
          <w:rFonts w:hint="eastAsia"/>
          <w:sz w:val="32"/>
          <w:szCs w:val="32"/>
        </w:rPr>
        <w:t>项目资金使用效益，更加扎实地做好残疾人工作。</w:t>
      </w:r>
    </w:p>
    <w:p>
      <w:pPr>
        <w:pStyle w:val="4"/>
        <w:bidi w:val="0"/>
      </w:pPr>
      <w:r>
        <w:rPr>
          <w:rFonts w:hint="eastAsia"/>
        </w:rPr>
        <w:t>（三）绩效评价原则、评价方法</w:t>
      </w:r>
    </w:p>
    <w:p>
      <w:pPr>
        <w:bidi w:val="0"/>
        <w:rPr>
          <w:rFonts w:hint="eastAsia"/>
        </w:rPr>
      </w:pPr>
      <w:r>
        <w:rPr>
          <w:rFonts w:hint="eastAsia"/>
        </w:rPr>
        <w:t>1.绩效评价原则。</w:t>
      </w:r>
    </w:p>
    <w:p>
      <w:pPr>
        <w:bidi w:val="0"/>
        <w:rPr>
          <w:rFonts w:hint="eastAsia"/>
          <w:lang w:eastAsia="zh-CN"/>
        </w:rPr>
      </w:pPr>
      <w:r>
        <w:rPr>
          <w:rFonts w:hint="eastAsia"/>
        </w:rPr>
        <w:t>科学规范</w:t>
      </w:r>
      <w:r>
        <w:rPr>
          <w:rFonts w:hint="eastAsia"/>
          <w:lang w:eastAsia="zh-CN"/>
        </w:rPr>
        <w:t>原则，严格落实《预算法》、《盘龙区区级部门预算绩效自评管理暂行办法》及省、市绩效管理工作有关规定，客观评价资金使用绩效，进一步强化财政支出绩效理念，提升部门责任意识，规范财政资金管理，加强财政资金使用监督，提高资金使用社会效益，防止财经违纪问题发生，促进残疾人事业的发展。</w:t>
      </w:r>
    </w:p>
    <w:p>
      <w:pPr>
        <w:bidi w:val="0"/>
        <w:rPr>
          <w:rFonts w:hint="eastAsia"/>
          <w:lang w:eastAsia="zh-CN"/>
        </w:rPr>
      </w:pPr>
      <w:r>
        <w:rPr>
          <w:rFonts w:hint="eastAsia"/>
        </w:rPr>
        <w:t>公开公正</w:t>
      </w:r>
      <w:r>
        <w:rPr>
          <w:rFonts w:hint="eastAsia"/>
          <w:lang w:eastAsia="zh-CN"/>
        </w:rPr>
        <w:t>原则，绩效评价工作全程公开，我会将绩效评价的标准、考评的程序、考评的方法及时间进行公开宣布，使员工心理有数，积极参与到考评中来。同时，考评过程及结果也将按照要求全面向社会公众公开，自觉接受群众监督。</w:t>
      </w:r>
    </w:p>
    <w:p>
      <w:pPr>
        <w:bidi w:val="0"/>
        <w:rPr>
          <w:rFonts w:hint="eastAsia"/>
          <w:lang w:eastAsia="zh-CN"/>
        </w:rPr>
      </w:pPr>
      <w:r>
        <w:rPr>
          <w:rFonts w:hint="eastAsia"/>
        </w:rPr>
        <w:t>绩效相关</w:t>
      </w:r>
      <w:r>
        <w:rPr>
          <w:rFonts w:hint="eastAsia"/>
          <w:lang w:eastAsia="zh-CN"/>
        </w:rPr>
        <w:t>原则，项目在执行过程中，严格按照年度工作计划执行，确保残疾人工作有序推进，</w:t>
      </w:r>
      <w:r>
        <w:rPr>
          <w:rFonts w:hint="eastAsia"/>
          <w:lang w:val="en-US" w:eastAsia="zh-CN"/>
        </w:rPr>
        <w:t>结合单位相关管理制度，</w:t>
      </w:r>
      <w:r>
        <w:rPr>
          <w:rFonts w:hint="eastAsia"/>
          <w:lang w:eastAsia="zh-CN"/>
        </w:rPr>
        <w:t>做到与财务制度、部门管理制度及单位内部控制制度相适应。</w:t>
      </w:r>
    </w:p>
    <w:p>
      <w:pPr>
        <w:bidi w:val="0"/>
        <w:rPr>
          <w:rFonts w:hint="eastAsia"/>
        </w:rPr>
      </w:pPr>
      <w:r>
        <w:rPr>
          <w:rFonts w:hint="eastAsia"/>
        </w:rPr>
        <w:t>2.绩效评价方法。</w:t>
      </w:r>
    </w:p>
    <w:p>
      <w:pPr>
        <w:bidi w:val="0"/>
        <w:rPr>
          <w:rFonts w:hint="eastAsia"/>
          <w:lang w:val="en-US" w:eastAsia="zh-CN"/>
        </w:rPr>
      </w:pPr>
      <w:r>
        <w:rPr>
          <w:rFonts w:hint="eastAsia"/>
          <w:lang w:val="en-US" w:eastAsia="zh-CN"/>
        </w:rPr>
        <w:t>在绩效评价过程中，采用了以下方法：</w:t>
      </w:r>
    </w:p>
    <w:p>
      <w:pPr>
        <w:bidi w:val="0"/>
        <w:rPr>
          <w:rFonts w:hint="eastAsia"/>
        </w:rPr>
      </w:pPr>
      <w:r>
        <w:rPr>
          <w:rFonts w:hint="eastAsia"/>
          <w:lang w:val="en-US" w:eastAsia="zh-CN"/>
        </w:rPr>
        <w:t>（1）历史动态比较法：将2020年困难残疾人生活补贴和重度残疾人护理补贴项目支出同历年支出历史数据历史数据进行对比分析，了解其历史数据的变化及效益波动情况。通过历史数据的排列，既可以看残疾人两项补贴政策实施过程中投入及工作效益、效率变化趋势，以及工作改进方向。</w:t>
      </w:r>
    </w:p>
    <w:p>
      <w:pPr>
        <w:bidi w:val="0"/>
        <w:rPr>
          <w:rFonts w:hint="eastAsia"/>
          <w:lang w:val="en-US" w:eastAsia="zh-CN"/>
        </w:rPr>
      </w:pPr>
      <w:r>
        <w:rPr>
          <w:rFonts w:hint="eastAsia"/>
          <w:lang w:val="en-US" w:eastAsia="zh-CN"/>
        </w:rPr>
        <w:t>（2）目标评价法：将2020年残疾人两项补贴项目所产生的社会效益水平与2020年预设目标标准时行对比分析。</w:t>
      </w:r>
    </w:p>
    <w:p>
      <w:pPr>
        <w:pStyle w:val="4"/>
        <w:bidi w:val="0"/>
      </w:pPr>
      <w:r>
        <w:rPr>
          <w:rFonts w:hint="eastAsia"/>
        </w:rPr>
        <w:t>（四）绩效评价实施过程</w:t>
      </w:r>
    </w:p>
    <w:p>
      <w:pPr>
        <w:bidi w:val="0"/>
        <w:rPr>
          <w:rFonts w:hint="eastAsia"/>
        </w:rPr>
      </w:pPr>
      <w:r>
        <w:rPr>
          <w:rFonts w:hint="eastAsia"/>
        </w:rPr>
        <w:t>1.年终对</w:t>
      </w:r>
      <w:r>
        <w:rPr>
          <w:rFonts w:hint="eastAsia"/>
          <w:lang w:eastAsia="zh-CN"/>
        </w:rPr>
        <w:t>两项补贴项目</w:t>
      </w:r>
      <w:r>
        <w:rPr>
          <w:rFonts w:hint="eastAsia"/>
        </w:rPr>
        <w:t>进行工作总结，在对资料进行总结整理基础上实施绩效评价。</w:t>
      </w:r>
      <w:r>
        <w:rPr>
          <w:rFonts w:hint="eastAsia"/>
          <w:lang w:eastAsia="zh-CN"/>
        </w:rPr>
        <w:t>区残联、区民政</w:t>
      </w:r>
      <w:r>
        <w:rPr>
          <w:rFonts w:hint="eastAsia"/>
        </w:rPr>
        <w:t>协同配合</w:t>
      </w:r>
      <w:r>
        <w:rPr>
          <w:rFonts w:hint="eastAsia"/>
          <w:lang w:eastAsia="zh-CN"/>
        </w:rPr>
        <w:t>，</w:t>
      </w:r>
      <w:r>
        <w:rPr>
          <w:rFonts w:hint="eastAsia"/>
        </w:rPr>
        <w:t>收集、汇总、整理项目资料，检查、核实项目资料中的数据后，</w:t>
      </w:r>
      <w:r>
        <w:rPr>
          <w:rFonts w:hint="eastAsia"/>
          <w:lang w:eastAsia="zh-CN"/>
        </w:rPr>
        <w:t>并实地抽查走访，</w:t>
      </w:r>
      <w:r>
        <w:rPr>
          <w:rFonts w:hint="eastAsia"/>
        </w:rPr>
        <w:t>采用座谈、走访、调研、查阅资料等方式对项目计划的合理性、可操作性、相关配套制度、档案管理、技术服务、数据指标完成的真实性、资金拨付的规范性、时效性、是否足额拨付资金、有无截留、挪用项目资金；有无另行安排项目管理经费，项目管理经费有无挤占专项资金等情况进行检查。</w:t>
      </w:r>
    </w:p>
    <w:p>
      <w:pPr>
        <w:bidi w:val="0"/>
        <w:rPr>
          <w:rFonts w:hint="eastAsia"/>
        </w:rPr>
      </w:pPr>
      <w:r>
        <w:rPr>
          <w:rFonts w:hint="eastAsia"/>
        </w:rPr>
        <w:t>2.评价组在全面分析整理被检查项目的相关数据资料的基础上，总结检查情况，对照评价指标和标准，进行综合评议与打分，得出评价结论，撰写评价报告。</w:t>
      </w:r>
    </w:p>
    <w:p>
      <w:pPr>
        <w:pStyle w:val="4"/>
        <w:bidi w:val="0"/>
      </w:pPr>
      <w:r>
        <w:rPr>
          <w:rFonts w:hint="eastAsia"/>
        </w:rPr>
        <w:t>（五）本次绩效评价的局限性。</w:t>
      </w:r>
    </w:p>
    <w:p>
      <w:pPr>
        <w:bidi w:val="0"/>
        <w:rPr>
          <w:rFonts w:hint="eastAsia"/>
        </w:rPr>
      </w:pPr>
      <w:r>
        <w:rPr>
          <w:rFonts w:hint="eastAsia"/>
        </w:rPr>
        <w:t>目前主要侧重于侧重于资金投入的管理和监督，而对资金产生的社会效益则缺乏相应的制度约束，使财政支出绩效评价工作缺乏制度保障。</w:t>
      </w:r>
    </w:p>
    <w:p>
      <w:pPr>
        <w:pStyle w:val="3"/>
        <w:bidi w:val="0"/>
      </w:pPr>
      <w:r>
        <w:rPr>
          <w:rFonts w:hint="eastAsia"/>
        </w:rPr>
        <w:t>三、评价结论和绩效分析</w:t>
      </w:r>
    </w:p>
    <w:p>
      <w:pPr>
        <w:pStyle w:val="4"/>
        <w:bidi w:val="0"/>
      </w:pPr>
      <w:r>
        <w:rPr>
          <w:rFonts w:hint="eastAsia"/>
        </w:rPr>
        <w:t>（一）评价结论。</w:t>
      </w:r>
    </w:p>
    <w:p>
      <w:pPr>
        <w:bidi w:val="0"/>
      </w:pPr>
      <w:r>
        <w:rPr>
          <w:rFonts w:hint="eastAsia"/>
        </w:rPr>
        <w:t>1.评价结果。</w:t>
      </w:r>
    </w:p>
    <w:p>
      <w:pPr>
        <w:bidi w:val="0"/>
        <w:rPr>
          <w:rFonts w:hint="eastAsia"/>
        </w:rPr>
      </w:pPr>
      <w:r>
        <w:rPr>
          <w:rFonts w:hint="eastAsia"/>
        </w:rPr>
        <w:t>20</w:t>
      </w:r>
      <w:r>
        <w:rPr>
          <w:rFonts w:hint="eastAsia"/>
          <w:lang w:val="en-US" w:eastAsia="zh-CN"/>
        </w:rPr>
        <w:t>20</w:t>
      </w:r>
      <w:r>
        <w:rPr>
          <w:rFonts w:hint="eastAsia"/>
        </w:rPr>
        <w:t>年困难残疾人生活补贴和重度残疾人护理补贴项目资金使用符合中央、省、市文件要求，财政资金的投入，从残疾人最直接最现实最迫切的需求入手，着力解决残疾人因残疾产生的额外生活支出和长期照护支出困难保障残疾人生存发展权益，做好残疾人福利保障工作，填补残疾人社会保障体系空白，促进公平正义，让困难残疾人和重度残疾人提高生活质量，共享改革发展成果，同步实现小康。覆盖率达90%以上，辖区内残疾人满意度超过85%，自评分100分。</w:t>
      </w:r>
    </w:p>
    <w:p>
      <w:pPr>
        <w:pStyle w:val="4"/>
        <w:numPr>
          <w:ilvl w:val="0"/>
          <w:numId w:val="1"/>
        </w:numPr>
        <w:bidi w:val="0"/>
        <w:rPr>
          <w:rFonts w:hint="eastAsia"/>
        </w:rPr>
      </w:pPr>
      <w:r>
        <w:rPr>
          <w:rFonts w:hint="eastAsia"/>
        </w:rPr>
        <w:t>具体绩效分析</w:t>
      </w:r>
    </w:p>
    <w:p>
      <w:pPr>
        <w:bidi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全年辖区内共1899名贫困残疾人享受困难残疾人生活补贴，3999名重度残疾人享受重度残疾人护理补贴，投入经费56</w:t>
      </w:r>
      <w:r>
        <w:rPr>
          <w:rFonts w:hint="eastAsia" w:ascii="仿宋_GB2312" w:hAnsi="仿宋_GB2312" w:cs="仿宋_GB2312"/>
          <w:color w:val="auto"/>
          <w:sz w:val="32"/>
          <w:szCs w:val="32"/>
          <w:lang w:val="en-US" w:eastAsia="zh-CN"/>
        </w:rPr>
        <w:t>7.53</w:t>
      </w:r>
      <w:r>
        <w:rPr>
          <w:rFonts w:hint="eastAsia" w:ascii="仿宋_GB2312" w:hAnsi="仿宋_GB2312" w:eastAsia="仿宋_GB2312" w:cs="仿宋_GB2312"/>
          <w:color w:val="auto"/>
          <w:sz w:val="32"/>
          <w:szCs w:val="32"/>
        </w:rPr>
        <w:t>万元。</w:t>
      </w:r>
    </w:p>
    <w:p>
      <w:pPr>
        <w:bidi w:val="0"/>
        <w:rPr>
          <w:rFonts w:hint="eastAsia"/>
        </w:rPr>
      </w:pPr>
      <w:r>
        <w:rPr>
          <w:rFonts w:hint="eastAsia"/>
        </w:rPr>
        <w:t>A.项目决策</w:t>
      </w:r>
    </w:p>
    <w:p>
      <w:pPr>
        <w:bidi w:val="0"/>
        <w:rPr>
          <w:rFonts w:hint="eastAsia"/>
        </w:rPr>
      </w:pPr>
      <w:r>
        <w:rPr>
          <w:rFonts w:hint="eastAsia"/>
        </w:rPr>
        <w:t>A1.项目立项：项目立项与残联中长期规划目标相匹配，与省、市、区政府相关规划、决策相配，与残联部门承担的职责相适应，自评分8分；</w:t>
      </w:r>
    </w:p>
    <w:p>
      <w:pPr>
        <w:bidi w:val="0"/>
        <w:rPr>
          <w:rFonts w:hint="eastAsia"/>
        </w:rPr>
      </w:pPr>
      <w:r>
        <w:rPr>
          <w:rFonts w:hint="eastAsia"/>
        </w:rPr>
        <w:t>A2.项目目标：绩效目标设定完整，与预算相匹配，绩效指标设定明确、量化，自评分12分。</w:t>
      </w:r>
    </w:p>
    <w:p>
      <w:pPr>
        <w:bidi w:val="0"/>
        <w:rPr>
          <w:rFonts w:hint="eastAsia"/>
        </w:rPr>
      </w:pPr>
      <w:r>
        <w:rPr>
          <w:rFonts w:hint="eastAsia"/>
        </w:rPr>
        <w:t>B.项目管理</w:t>
      </w:r>
    </w:p>
    <w:p>
      <w:pPr>
        <w:bidi w:val="0"/>
        <w:rPr>
          <w:rFonts w:hint="eastAsia"/>
        </w:rPr>
      </w:pPr>
      <w:r>
        <w:rPr>
          <w:rFonts w:hint="eastAsia"/>
        </w:rPr>
        <w:t>B1.投入管理：预算编制充分、合理，预计项目支出合理并完整反应，预算调整规范，预算执行率100%，自评分4分；</w:t>
      </w:r>
    </w:p>
    <w:p>
      <w:pPr>
        <w:bidi w:val="0"/>
        <w:rPr>
          <w:rFonts w:hint="eastAsia"/>
        </w:rPr>
      </w:pPr>
      <w:r>
        <w:rPr>
          <w:rFonts w:hint="eastAsia"/>
        </w:rPr>
        <w:t>B2.财务管理：项目资金使用符合预算批复的用途，没有截留、挤占、挪用、虚列支出等情况，财务制度健全、完善、有效，资金拨付有完整的审批程序和手续，符合相关制度规定，没有违反相关财务管理制度的情况，自评分6分；</w:t>
      </w:r>
    </w:p>
    <w:p>
      <w:pPr>
        <w:bidi w:val="0"/>
        <w:rPr>
          <w:rFonts w:hint="eastAsia"/>
        </w:rPr>
      </w:pPr>
      <w:r>
        <w:rPr>
          <w:rFonts w:hint="eastAsia"/>
        </w:rPr>
        <w:t>B3.项目实施：项目管理制度健全、完善、有效，为保障项目顺利实施，采取相应的监管措施，风险得到控制，管理制度、监管制度有效执行，与项目相关的合同有效执行，台账记录规范，需要采买的服务符合政府采购规范，自评分10分；</w:t>
      </w:r>
    </w:p>
    <w:p>
      <w:pPr>
        <w:bidi w:val="0"/>
        <w:rPr>
          <w:rFonts w:hint="eastAsia"/>
        </w:rPr>
      </w:pPr>
      <w:r>
        <w:rPr>
          <w:rFonts w:hint="eastAsia"/>
        </w:rPr>
        <w:t>C.项目绩效</w:t>
      </w:r>
    </w:p>
    <w:p>
      <w:pPr>
        <w:bidi w:val="0"/>
        <w:rPr>
          <w:rFonts w:hint="eastAsia"/>
        </w:rPr>
      </w:pPr>
      <w:r>
        <w:rPr>
          <w:rFonts w:hint="eastAsia"/>
        </w:rPr>
        <w:t>201</w:t>
      </w:r>
      <w:r>
        <w:rPr>
          <w:rFonts w:hint="eastAsia"/>
          <w:lang w:val="en-US" w:eastAsia="zh-CN"/>
        </w:rPr>
        <w:t>9</w:t>
      </w:r>
      <w:r>
        <w:rPr>
          <w:rFonts w:hint="eastAsia"/>
        </w:rPr>
        <w:t>年，在年度、季度目标时限内完成两项补贴审核及资金拨付工作任务，立足服务，不断提高了为残疾人服务的水平，符合两项补贴发放条件的残疾人均得到落实，两补发放覆盖率达100%，并严格按照省、市、区指定的各项救助标准提供服务，成本得到有效控制，充分发挥了残疾人事业资金的使用效益，保障残疾人享有平等参与社会生活的能力和权利，填补了残疾人社会保障体系的空白，促进社会经济发展，促进公平正义，让残疾人切实感受到党和政府的政策，有效控制了社会不安定因素，增强理残疾人平等参与社会生活的能力，根据残联工作职责，残联协同民政期持续开展残疾人两项补贴发放工作，残疾人服务满意率超过90%。自评分60分。</w:t>
      </w:r>
    </w:p>
    <w:p>
      <w:pPr>
        <w:pStyle w:val="3"/>
        <w:bidi w:val="0"/>
        <w:rPr>
          <w:rFonts w:hint="eastAsia"/>
        </w:rPr>
      </w:pPr>
      <w:r>
        <w:rPr>
          <w:rFonts w:hint="eastAsia"/>
        </w:rPr>
        <w:t>四、成本效益分析。</w:t>
      </w:r>
    </w:p>
    <w:p>
      <w:pPr>
        <w:spacing w:line="560" w:lineRule="atLeast"/>
        <w:ind w:firstLine="600" w:firstLineChars="200"/>
        <w:rPr>
          <w:rFonts w:hint="eastAsia"/>
        </w:rPr>
      </w:pPr>
      <w:r>
        <w:rPr>
          <w:rFonts w:hint="eastAsia"/>
          <w:lang w:val="en-US" w:eastAsia="zh-CN"/>
        </w:rPr>
        <w:t>残疾人两项补贴经费主要用于对辖区内困难残疾人生活和重度残疾人护理进行补贴，2019年投入经费552.00万元，实际支出552.00万元，2020年投入经费567.53万元，实际支出567.53万元，较2019年增加15.53万元，变动原因为：2020年两项补贴调整补贴标准，</w:t>
      </w:r>
      <w:r>
        <w:rPr>
          <w:rFonts w:hint="eastAsia" w:eastAsia="仿宋_GB2312"/>
          <w:sz w:val="32"/>
          <w:szCs w:val="32"/>
        </w:rPr>
        <w:t>困难残疾人生活补贴执行省级调整标准，由50元/人/月调整为70元/人/月</w:t>
      </w:r>
      <w:r>
        <w:rPr>
          <w:rFonts w:hint="eastAsia"/>
          <w:sz w:val="32"/>
          <w:szCs w:val="32"/>
          <w:lang w:eastAsia="zh-CN"/>
        </w:rPr>
        <w:t>；</w:t>
      </w:r>
      <w:r>
        <w:rPr>
          <w:rFonts w:hint="eastAsia" w:eastAsia="仿宋_GB2312"/>
          <w:sz w:val="32"/>
          <w:szCs w:val="32"/>
        </w:rPr>
        <w:t>重度残疾人一级护理补贴由100元/人/月调整为110元/人/月</w:t>
      </w:r>
      <w:r>
        <w:rPr>
          <w:rFonts w:hint="eastAsia"/>
          <w:sz w:val="32"/>
          <w:szCs w:val="32"/>
          <w:lang w:eastAsia="zh-CN"/>
        </w:rPr>
        <w:t>；</w:t>
      </w:r>
      <w:r>
        <w:rPr>
          <w:rFonts w:hint="eastAsia" w:eastAsia="仿宋_GB2312"/>
          <w:sz w:val="32"/>
          <w:szCs w:val="32"/>
        </w:rPr>
        <w:t>重度残疾人二级护理补贴执行省级调整标准，由50元/人/月调整为70元/人/月。</w:t>
      </w:r>
    </w:p>
    <w:p>
      <w:pPr>
        <w:pStyle w:val="3"/>
        <w:bidi w:val="0"/>
      </w:pPr>
      <w:r>
        <w:rPr>
          <w:rFonts w:hint="eastAsia"/>
        </w:rPr>
        <w:t>五、主要经验及做法、存在的问题和建议</w:t>
      </w:r>
    </w:p>
    <w:p>
      <w:pPr>
        <w:pStyle w:val="4"/>
        <w:bidi w:val="0"/>
        <w:rPr>
          <w:rFonts w:hint="eastAsia"/>
        </w:rPr>
      </w:pPr>
      <w:r>
        <w:rPr>
          <w:rFonts w:hint="eastAsia"/>
        </w:rPr>
        <w:t>（一）主要经验及做法</w:t>
      </w:r>
    </w:p>
    <w:p>
      <w:pPr>
        <w:bidi w:val="0"/>
        <w:rPr>
          <w:rFonts w:hint="eastAsia"/>
        </w:rPr>
      </w:pPr>
      <w:r>
        <w:rPr>
          <w:rFonts w:hint="eastAsia"/>
        </w:rPr>
        <w:t>残联作为区委、区政府联系残疾人群众的桥梁和纽带，积极履职尽责，大胆实践，勇于开拓创新。一是加强工作宣传力度，增强社会公众对残联的认知和对残疾人群体的接纳程度；二是</w:t>
      </w:r>
      <w:r>
        <w:rPr>
          <w:rFonts w:hint="eastAsia"/>
          <w:lang w:eastAsia="zh-CN"/>
        </w:rPr>
        <w:t>严格</w:t>
      </w:r>
      <w:r>
        <w:rPr>
          <w:rFonts w:hint="eastAsia"/>
        </w:rPr>
        <w:t>精细</w:t>
      </w:r>
      <w:r>
        <w:rPr>
          <w:rFonts w:hint="eastAsia"/>
          <w:lang w:eastAsia="zh-CN"/>
        </w:rPr>
        <w:t>化</w:t>
      </w:r>
      <w:r>
        <w:rPr>
          <w:rFonts w:hint="eastAsia"/>
        </w:rPr>
        <w:t>管理，提</w:t>
      </w:r>
      <w:r>
        <w:rPr>
          <w:rFonts w:hint="eastAsia"/>
          <w:lang w:eastAsia="zh-CN"/>
        </w:rPr>
        <w:t>高</w:t>
      </w:r>
      <w:r>
        <w:rPr>
          <w:rFonts w:hint="eastAsia"/>
        </w:rPr>
        <w:t>工作质量和效率，全面落实绩效管理目标责任制</w:t>
      </w:r>
      <w:r>
        <w:rPr>
          <w:rFonts w:hint="eastAsia"/>
          <w:lang w:eastAsia="zh-CN"/>
        </w:rPr>
        <w:t>。三是坚持</w:t>
      </w:r>
      <w:r>
        <w:rPr>
          <w:rFonts w:hint="eastAsia"/>
        </w:rPr>
        <w:t>多部</w:t>
      </w:r>
      <w:r>
        <w:rPr>
          <w:rFonts w:hint="eastAsia"/>
          <w:lang w:eastAsia="zh-CN"/>
        </w:rPr>
        <w:t>门</w:t>
      </w:r>
      <w:r>
        <w:rPr>
          <w:rFonts w:hint="eastAsia"/>
        </w:rPr>
        <w:t>协作，共同推进项目各项任务指标的落实。</w:t>
      </w:r>
      <w:r>
        <w:rPr>
          <w:rFonts w:hint="eastAsia"/>
          <w:lang w:eastAsia="zh-CN"/>
        </w:rPr>
        <w:t>四</w:t>
      </w:r>
      <w:r>
        <w:rPr>
          <w:rFonts w:hint="eastAsia"/>
        </w:rPr>
        <w:t>是</w:t>
      </w:r>
      <w:r>
        <w:rPr>
          <w:rFonts w:hint="eastAsia"/>
          <w:lang w:eastAsia="zh-CN"/>
        </w:rPr>
        <w:t>强化资金用途监管，</w:t>
      </w:r>
      <w:r>
        <w:rPr>
          <w:rFonts w:hint="eastAsia"/>
        </w:rPr>
        <w:t>严格执行资金使用管理的相关规定。</w:t>
      </w:r>
    </w:p>
    <w:p>
      <w:pPr>
        <w:pStyle w:val="4"/>
        <w:bidi w:val="0"/>
        <w:rPr>
          <w:rFonts w:hint="eastAsia"/>
        </w:rPr>
      </w:pPr>
      <w:r>
        <w:rPr>
          <w:rFonts w:hint="eastAsia"/>
        </w:rPr>
        <w:t>（二）存在的问题；</w:t>
      </w:r>
      <w:bookmarkStart w:id="0" w:name="_GoBack"/>
      <w:bookmarkEnd w:id="0"/>
    </w:p>
    <w:p>
      <w:pPr>
        <w:bidi w:val="0"/>
        <w:rPr>
          <w:rFonts w:hint="eastAsia"/>
        </w:rPr>
      </w:pPr>
      <w:r>
        <w:rPr>
          <w:rFonts w:hint="eastAsia"/>
        </w:rPr>
        <w:t>主要表现在：两项补贴政策宣传力度需要进一步加强；补贴标准有待提高</w:t>
      </w:r>
    </w:p>
    <w:p>
      <w:pPr>
        <w:pStyle w:val="4"/>
        <w:bidi w:val="0"/>
        <w:rPr>
          <w:rFonts w:hint="eastAsia"/>
        </w:rPr>
      </w:pPr>
      <w:r>
        <w:rPr>
          <w:rFonts w:hint="eastAsia"/>
        </w:rPr>
        <w:t>（三）建议和改进措施。</w:t>
      </w:r>
    </w:p>
    <w:p>
      <w:pPr>
        <w:bidi w:val="0"/>
        <w:rPr>
          <w:rFonts w:hint="eastAsia"/>
        </w:rPr>
      </w:pPr>
      <w:r>
        <w:rPr>
          <w:rFonts w:hint="eastAsia"/>
        </w:rPr>
        <w:t>1.进一步加大工作宣传力度，加强部门间的合作，确保两项补贴政策覆盖全区所有困难残疾人和重度残疾人。</w:t>
      </w:r>
    </w:p>
    <w:p>
      <w:pPr>
        <w:bidi w:val="0"/>
        <w:rPr>
          <w:rFonts w:hint="eastAsia"/>
        </w:rPr>
      </w:pPr>
      <w:r>
        <w:rPr>
          <w:rFonts w:hint="eastAsia"/>
        </w:rPr>
        <w:t>2.提高补助标准，进一步改善残疾人生活条件，提高残疾人生命质量。</w:t>
      </w:r>
    </w:p>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00"/>
      </w:pPr>
      <w:r>
        <w:separator/>
      </w:r>
    </w:p>
  </w:endnote>
  <w:endnote w:type="continuationSeparator" w:id="1">
    <w:p>
      <w:pPr>
        <w:spacing w:line="240" w:lineRule="auto"/>
        <w:ind w:firstLine="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PMingLiU">
    <w:panose1 w:val="02020500000000000000"/>
    <w:charset w:val="88"/>
    <w:family w:val="roman"/>
    <w:pitch w:val="default"/>
    <w:sig w:usb0="A00002FF" w:usb1="28CFFCFA" w:usb2="00000016" w:usb3="00000000" w:csb0="0010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宋体"/>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5"/>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lang w:eastAsia="zh-CN"/>
                            </w:rPr>
                          </w:pPr>
                        </w:p>
                        <w:p>
                          <w:pPr>
                            <w:pStyle w:val="5"/>
                            <w:rPr>
                              <w:rFonts w:hint="eastAsia"/>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5"/>
                      <w:rPr>
                        <w:rFonts w:hint="eastAsia"/>
                        <w:lang w:eastAsia="zh-CN"/>
                      </w:rPr>
                    </w:pPr>
                  </w:p>
                  <w:p>
                    <w:pPr>
                      <w:pStyle w:val="5"/>
                      <w:rPr>
                        <w:rFonts w:hint="eastAsia"/>
                        <w:lang w:eastAsia="zh-CN"/>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00"/>
      </w:pPr>
      <w:r>
        <w:separator/>
      </w:r>
    </w:p>
  </w:footnote>
  <w:footnote w:type="continuationSeparator" w:id="1">
    <w:p>
      <w:pPr>
        <w:spacing w:line="240" w:lineRule="auto"/>
        <w:ind w:firstLine="60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519B93"/>
    <w:multiLevelType w:val="singleLevel"/>
    <w:tmpl w:val="B5519B93"/>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595E41"/>
    <w:rsid w:val="09E369F3"/>
    <w:rsid w:val="09F04D02"/>
    <w:rsid w:val="0E833AC4"/>
    <w:rsid w:val="110D474E"/>
    <w:rsid w:val="135D4E09"/>
    <w:rsid w:val="161B2678"/>
    <w:rsid w:val="165E41EC"/>
    <w:rsid w:val="19940504"/>
    <w:rsid w:val="1D9A66D3"/>
    <w:rsid w:val="20C617F2"/>
    <w:rsid w:val="21E45250"/>
    <w:rsid w:val="291A7445"/>
    <w:rsid w:val="2A99447A"/>
    <w:rsid w:val="33B461CA"/>
    <w:rsid w:val="34441F2B"/>
    <w:rsid w:val="36E01D7D"/>
    <w:rsid w:val="3A5042DB"/>
    <w:rsid w:val="3C330704"/>
    <w:rsid w:val="42C85540"/>
    <w:rsid w:val="42EA47E6"/>
    <w:rsid w:val="4302537F"/>
    <w:rsid w:val="459F7836"/>
    <w:rsid w:val="47F77885"/>
    <w:rsid w:val="48327D00"/>
    <w:rsid w:val="48C7518E"/>
    <w:rsid w:val="50772C3B"/>
    <w:rsid w:val="50806EC5"/>
    <w:rsid w:val="5159531B"/>
    <w:rsid w:val="51E85DF8"/>
    <w:rsid w:val="54F26CAA"/>
    <w:rsid w:val="5B0F5105"/>
    <w:rsid w:val="5BCF28EC"/>
    <w:rsid w:val="64471A11"/>
    <w:rsid w:val="722E2254"/>
    <w:rsid w:val="79045FF6"/>
    <w:rsid w:val="7AB36416"/>
    <w:rsid w:val="7F4F32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1044" w:firstLineChars="200"/>
      <w:jc w:val="left"/>
    </w:pPr>
    <w:rPr>
      <w:rFonts w:ascii="Calibri" w:hAnsi="Calibri" w:eastAsia="仿宋_GB2312" w:cs="Times New Roman"/>
      <w:kern w:val="2"/>
      <w:sz w:val="30"/>
      <w:szCs w:val="22"/>
      <w:lang w:val="en-US" w:eastAsia="zh-CN" w:bidi="ar-SA"/>
    </w:rPr>
  </w:style>
  <w:style w:type="paragraph" w:styleId="2">
    <w:name w:val="heading 1"/>
    <w:basedOn w:val="1"/>
    <w:next w:val="1"/>
    <w:qFormat/>
    <w:uiPriority w:val="9"/>
    <w:pPr>
      <w:keepNext/>
      <w:keepLines/>
      <w:spacing w:before="340" w:after="330" w:line="578" w:lineRule="auto"/>
      <w:jc w:val="center"/>
      <w:outlineLvl w:val="0"/>
    </w:pPr>
    <w:rPr>
      <w:rFonts w:eastAsia="方正小标宋简体"/>
      <w:b/>
      <w:bCs/>
      <w:kern w:val="44"/>
      <w:sz w:val="44"/>
      <w:szCs w:val="44"/>
    </w:rPr>
  </w:style>
  <w:style w:type="paragraph" w:styleId="3">
    <w:name w:val="heading 2"/>
    <w:basedOn w:val="1"/>
    <w:next w:val="1"/>
    <w:unhideWhenUsed/>
    <w:qFormat/>
    <w:uiPriority w:val="0"/>
    <w:pPr>
      <w:keepNext/>
      <w:keepLines/>
      <w:spacing w:beforeLines="0" w:beforeAutospacing="0" w:afterLines="0" w:afterAutospacing="0" w:line="360" w:lineRule="auto"/>
      <w:outlineLvl w:val="1"/>
    </w:pPr>
    <w:rPr>
      <w:rFonts w:ascii="Arial" w:hAnsi="Arial" w:eastAsia="黑体"/>
    </w:rPr>
  </w:style>
  <w:style w:type="paragraph" w:styleId="4">
    <w:name w:val="heading 3"/>
    <w:basedOn w:val="1"/>
    <w:next w:val="1"/>
    <w:unhideWhenUsed/>
    <w:qFormat/>
    <w:uiPriority w:val="0"/>
    <w:pPr>
      <w:keepNext/>
      <w:keepLines/>
      <w:spacing w:beforeLines="0" w:beforeAutospacing="0" w:afterLines="0" w:afterAutospacing="0" w:line="360" w:lineRule="auto"/>
      <w:outlineLvl w:val="2"/>
    </w:pPr>
    <w:rPr>
      <w:rFonts w:eastAsia="楷体"/>
      <w:b/>
      <w:sz w:val="30"/>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9">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10">
    <w:name w:val="TOC 标题1"/>
    <w:basedOn w:val="2"/>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2020-05-06T08:31:00Z</cp:lastPrinted>
  <dcterms:modified xsi:type="dcterms:W3CDTF">2021-05-26T07:58:51Z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45C351266586430BB6B8C91643C4A2B6</vt:lpwstr>
  </property>
</Properties>
</file>