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昆明市盘龙区应急管理局2020年项目支出绩效自评报告</w:t>
      </w:r>
    </w:p>
    <w:p>
      <w:pPr>
        <w:jc w:val="center"/>
        <w:rPr>
          <w:rFonts w:ascii="黑体" w:hAnsi="黑体" w:eastAsia="黑体"/>
          <w:bCs/>
          <w:sz w:val="52"/>
          <w:szCs w:val="52"/>
        </w:rPr>
      </w:pPr>
      <w:r>
        <w:rPr>
          <w:rFonts w:hint="eastAsia" w:ascii="黑体" w:hAnsi="黑体" w:eastAsia="黑体" w:cs="黑体"/>
          <w:bCs/>
          <w:sz w:val="52"/>
          <w:szCs w:val="52"/>
        </w:rPr>
        <w:t>（2020年度）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6" o:spid="_x0000_s1026" o:spt="32" type="#_x0000_t32" style="position:absolute;left:0pt;margin-left:186.75pt;margin-top:15.45pt;height:0pt;width:196.5pt;z-index:251659264;mso-width-relative:page;mso-height-relative:page;" filled="f"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OnKHt7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部门名称（公章）：昆明市盘龙区应急管理局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2051" o:spid="_x0000_s2051" o:spt="32" type="#_x0000_t32" style="position:absolute;left:0pt;margin-left:135pt;margin-top:17.45pt;height:0pt;width:196.5pt;z-index:251660288;mso-width-relative:page;mso-height-relative:page;" filled="f"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CN3b1F/QEAAOwDAAAOAAAAAAAAAAEAIAAAACYBAABkcnMvZTJv&#10;RG9jLnhtbFBLBQYAAAAABgAGAFkBAACVBQAAAAA=&#10;">
            <v:path arrowok="t"/>
            <v:fill on="f" focussize="0,0"/>
            <v:stroke/>
            <v:imagedata o:title=""/>
            <o:lock v:ext="edit"/>
          </v:shape>
        </w:pict>
      </w:r>
      <w:r>
        <w:rPr>
          <w:rFonts w:hint="eastAsia" w:ascii="Times New Roman" w:hAnsi="Times New Roman" w:eastAsia="黑体" w:cs="黑体"/>
          <w:b/>
          <w:bCs/>
          <w:sz w:val="28"/>
          <w:szCs w:val="28"/>
        </w:rPr>
        <w:t>项目单位：昆明市盘龙区应急管理局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w:pict>
          <v:shape id="_x0000_s2050" o:spid="_x0000_s2050" o:spt="32" type="#_x0000_t32" style="position:absolute;left:0pt;margin-left:135pt;margin-top:14.25pt;height:0pt;width:196.5pt;z-index:251661312;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path arrowok="t"/>
            <v:fill on="f" focussize="0,0"/>
            <v:stroke/>
            <v:imagedata o:title=""/>
            <o:lock v:ext="edit"/>
          </v:shape>
        </w:pict>
      </w:r>
      <w:r>
        <w:rPr>
          <w:rFonts w:hint="eastAsia" w:ascii="Times New Roman" w:hAnsi="Times New Roman" w:eastAsia="黑体" w:cs="黑体"/>
          <w:b/>
          <w:bCs/>
          <w:sz w:val="28"/>
          <w:szCs w:val="28"/>
        </w:rPr>
        <w:t>主管部门：昆明市盘龙区应急管理局</w:t>
      </w:r>
    </w:p>
    <w:p>
      <w:pPr>
        <w:spacing w:line="360" w:lineRule="auto"/>
        <w:ind w:left="1218" w:leftChars="580"/>
        <w:rPr>
          <w:rFonts w:ascii="Times New Roman" w:hAnsi="Times New Roman" w:eastAsia="黑体"/>
          <w:b/>
          <w:bCs/>
          <w:sz w:val="28"/>
          <w:szCs w:val="28"/>
        </w:rPr>
      </w:pPr>
    </w:p>
    <w:p>
      <w:pPr>
        <w:pStyle w:val="2"/>
        <w:ind w:firstLine="562"/>
        <w:rPr>
          <w:rFonts w:ascii="Times New Roman" w:hAnsi="Times New Roman" w:eastAsia="黑体"/>
          <w:b/>
          <w:bCs/>
          <w:sz w:val="28"/>
          <w:szCs w:val="28"/>
        </w:rPr>
      </w:pPr>
    </w:p>
    <w:p>
      <w:pPr>
        <w:pStyle w:val="2"/>
        <w:ind w:firstLine="562"/>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05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9"/>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975"/>
        <w:gridCol w:w="3390"/>
        <w:gridCol w:w="88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noWrap/>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975" w:type="dxa"/>
            <w:noWrap/>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3390" w:type="dxa"/>
            <w:noWrap/>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882" w:type="dxa"/>
            <w:noWrap/>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234" w:type="dxa"/>
            <w:noWrap/>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975" w:type="dxa"/>
            <w:noWrap/>
          </w:tcPr>
          <w:p>
            <w:pPr>
              <w:pStyle w:val="9"/>
              <w:widowControl w:val="0"/>
              <w:spacing w:after="0" w:line="24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赵国强</w:t>
            </w:r>
          </w:p>
        </w:tc>
        <w:tc>
          <w:tcPr>
            <w:tcW w:w="3390" w:type="dxa"/>
            <w:noWrap/>
          </w:tcPr>
          <w:p>
            <w:pPr>
              <w:pStyle w:val="9"/>
              <w:widowControl w:val="0"/>
              <w:spacing w:after="0" w:line="24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党组副书记</w:t>
            </w:r>
          </w:p>
        </w:tc>
        <w:tc>
          <w:tcPr>
            <w:tcW w:w="882" w:type="dxa"/>
            <w:noWrap/>
          </w:tcPr>
          <w:p>
            <w:pPr>
              <w:pStyle w:val="9"/>
              <w:widowControl w:val="0"/>
              <w:spacing w:after="0" w:line="240" w:lineRule="auto"/>
              <w:jc w:val="both"/>
              <w:rPr>
                <w:rFonts w:ascii="Times New Roman" w:hAnsi="Times New Roman" w:eastAsia="黑体" w:cs="黑体"/>
                <w:kern w:val="2"/>
                <w:sz w:val="24"/>
                <w:szCs w:val="24"/>
                <w:lang w:val="zh-TW" w:eastAsia="zh-TW"/>
              </w:rPr>
            </w:pPr>
          </w:p>
        </w:tc>
        <w:tc>
          <w:tcPr>
            <w:tcW w:w="1621" w:type="dxa"/>
            <w:noWrap/>
          </w:tcPr>
          <w:p>
            <w:pPr>
              <w:pStyle w:val="9"/>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234" w:type="dxa"/>
            <w:noWrap/>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975"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赵祖敏</w:t>
            </w:r>
          </w:p>
        </w:tc>
        <w:tc>
          <w:tcPr>
            <w:tcW w:w="3390"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副局长</w:t>
            </w:r>
          </w:p>
        </w:tc>
        <w:tc>
          <w:tcPr>
            <w:tcW w:w="882"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234" w:type="dxa"/>
            <w:noWrap/>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975"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张辉</w:t>
            </w:r>
          </w:p>
        </w:tc>
        <w:tc>
          <w:tcPr>
            <w:tcW w:w="3390"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安全生产监察专员</w:t>
            </w:r>
          </w:p>
        </w:tc>
        <w:tc>
          <w:tcPr>
            <w:tcW w:w="882"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234" w:type="dxa"/>
            <w:noWrap/>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975"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倪阳</w:t>
            </w:r>
          </w:p>
        </w:tc>
        <w:tc>
          <w:tcPr>
            <w:tcW w:w="3390"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办公室负责人</w:t>
            </w:r>
          </w:p>
        </w:tc>
        <w:tc>
          <w:tcPr>
            <w:tcW w:w="882"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234" w:type="dxa"/>
            <w:noWrap/>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975"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杨燕东</w:t>
            </w:r>
          </w:p>
        </w:tc>
        <w:tc>
          <w:tcPr>
            <w:tcW w:w="3390" w:type="dxa"/>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减灾救灾和物资保障科负责人</w:t>
            </w:r>
          </w:p>
        </w:tc>
        <w:tc>
          <w:tcPr>
            <w:tcW w:w="882"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0"/>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r>
        <w:rPr>
          <w:rFonts w:hint="eastAsia" w:ascii="黑体" w:hAnsi="黑体" w:eastAsia="黑体"/>
          <w:szCs w:val="32"/>
        </w:rPr>
        <w:tab/>
      </w: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安全生产监管工作经费项目支出绩效自评报告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楷体" w:hAnsi="楷体" w:eastAsia="楷体"/>
          <w:szCs w:val="32"/>
        </w:rPr>
      </w:pP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一、项目基本情况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1.立项背景及目的。</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安全生产关系到人民群众生命和财产安全，是建立和谐社会的必要条件之一，关系改革发展和社会稳定大局。为防止和减少各类事故，保持安全生产形势总体稳定，保证全区经济社会持续、稳定、健康发展，确保我区安全生产工作正常有序的开展，根据以往年度政府批示设定安全生产监管工作经费。</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2020年，按照区政府的决策部署，我局积极督促各相关部门认真履行职责，推进工作落实，各类事故指标较上年有所下降，全区安全生产形势持续稳定向好。安全生产监管工作经费主要用于：（1）组织各级各部门深入开展安全生产隐患排查，建立隐患排查整治清单，并逐一实行销号管理”的要求，组织开展生产经营场所、交通等隐患排查；对涉及公众安全且隐患治理主体单位不甚明确的事故隐患组织治理或给予隐患治理补助。 </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计划开展知识竞赛；专题培训；公益宣传；烟花爆竹宣传；“六月宣传月”宣传等工作。开展各类安全生产宣讲及群众性活动；各类培训教育活动等工作。开展文化体验馆建设；安全生产科技和信息化建设；建立自然灾害信息资源获取和共享信息传输渠道建设等工作；事故现场模拟、警示教育等。 </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按“部门组织、专家检查”的原则开展隐患检查。请专业人员参与检查及服务，专业人员可采用相对固定期限或单项工作任务的方式开展（可按不同时段根据安全技术类别安排不同专业的技术员）协助我局开展专业性日常检查工作，根据每年度一些特殊时段开展集中式大检查时，临时聘请专业技术人员参加安全检查。 </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2020年安全生产监管工作经费项目实际到位资金144.73万元，其中区本级财政安排144.73万元。</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2020年安全生产监管工作经费项目支出144.73万元。</w:t>
      </w:r>
    </w:p>
    <w:tbl>
      <w:tblPr>
        <w:tblStyle w:val="7"/>
        <w:tblW w:w="10697" w:type="dxa"/>
        <w:tblInd w:w="-7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1916"/>
        <w:gridCol w:w="534"/>
        <w:gridCol w:w="1732"/>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697" w:type="dxa"/>
            <w:gridSpan w:val="9"/>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1.项目起止时间：2020年1月1日-2020年12月31日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239" w:type="dxa"/>
            <w:gridSpan w:val="4"/>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预算安排资金（万元）:144.73万元</w:t>
            </w:r>
          </w:p>
        </w:tc>
        <w:tc>
          <w:tcPr>
            <w:tcW w:w="5458" w:type="dxa"/>
            <w:gridSpan w:val="5"/>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 144.73万元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732" w:type="dxa"/>
            <w:noWrap/>
          </w:tcPr>
          <w:p>
            <w:pPr>
              <w:pStyle w:val="11"/>
              <w:spacing w:line="440" w:lineRule="exact"/>
              <w:ind w:left="420" w:leftChars="200" w:firstLine="0" w:firstLineChars="0"/>
              <w:jc w:val="left"/>
              <w:rPr>
                <w:rFonts w:ascii="仿宋_GB2312" w:hAnsi="楷体" w:eastAsia="仿宋_GB2312"/>
                <w:szCs w:val="32"/>
              </w:rPr>
            </w:pP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1"/>
              <w:spacing w:line="440" w:lineRule="exact"/>
              <w:ind w:left="420" w:leftChars="200" w:firstLine="0" w:firstLineChars="0"/>
              <w:jc w:val="left"/>
              <w:rPr>
                <w:rFonts w:ascii="仿宋_GB2312" w:hAnsi="楷体" w:eastAsia="仿宋_GB2312"/>
                <w:szCs w:val="32"/>
              </w:rPr>
            </w:pP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32"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32" w:type="dxa"/>
            <w:noWrap/>
          </w:tcPr>
          <w:p>
            <w:pPr>
              <w:pStyle w:val="11"/>
              <w:spacing w:line="440" w:lineRule="exact"/>
              <w:ind w:left="420" w:leftChars="200" w:firstLine="0" w:firstLineChars="0"/>
              <w:jc w:val="left"/>
              <w:rPr>
                <w:rFonts w:ascii="仿宋_GB2312" w:hAnsi="楷体" w:eastAsia="仿宋_GB2312"/>
                <w:szCs w:val="32"/>
              </w:rPr>
            </w:pP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1"/>
              <w:spacing w:line="440" w:lineRule="exact"/>
              <w:ind w:left="420" w:leftChars="200" w:firstLine="0" w:firstLineChars="0"/>
              <w:jc w:val="left"/>
              <w:rPr>
                <w:rFonts w:ascii="仿宋_GB2312" w:hAnsi="楷体" w:eastAsia="仿宋_GB2312"/>
                <w:szCs w:val="32"/>
              </w:rPr>
            </w:pP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32" w:type="dxa"/>
            <w:noWrap/>
          </w:tcPr>
          <w:p>
            <w:pPr>
              <w:pStyle w:val="11"/>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144.73万元</w:t>
            </w: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1"/>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144.73万元</w:t>
            </w: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1"/>
              <w:spacing w:line="440" w:lineRule="exact"/>
              <w:ind w:left="420" w:leftChars="200"/>
              <w:jc w:val="left"/>
              <w:rPr>
                <w:rFonts w:ascii="仿宋_GB2312" w:hAnsi="楷体" w:eastAsia="仿宋_GB2312"/>
                <w:szCs w:val="32"/>
              </w:rPr>
            </w:pPr>
          </w:p>
        </w:tc>
        <w:tc>
          <w:tcPr>
            <w:tcW w:w="4153"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697" w:type="dxa"/>
            <w:gridSpan w:val="9"/>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973"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674"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973"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安全生产监管工作经费</w:t>
            </w:r>
          </w:p>
        </w:tc>
        <w:tc>
          <w:tcPr>
            <w:tcW w:w="3050" w:type="dxa"/>
            <w:gridSpan w:val="4"/>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144.73万元</w:t>
            </w:r>
          </w:p>
        </w:tc>
        <w:tc>
          <w:tcPr>
            <w:tcW w:w="4674"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144.73万元</w:t>
            </w:r>
          </w:p>
        </w:tc>
      </w:tr>
    </w:tbl>
    <w:p>
      <w:pPr>
        <w:pStyle w:val="2"/>
      </w:pP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4.组织及管理情况。包括项目组织情况、项目实施流程、资金拨付流程。</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根据相关情况，做好前期准备工作。由业务科室提出用款申请，计算出使用金额后交分管领导审核，主管领导审批，交财务科拨付款项，做到及时审批、及时发放。</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以科学发展观为指导，一推动实施安全发展战略为主线，坚持依法治理，强化安全生产组织领导，强化责任落实，强化协调配合，强化监管执法，强化工作推进，实现全区安全生产形势稳定好转。</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2.年度目标。包括产出目标、效果目标。</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产出目标：2020年安全生产监管工作经费按照实际情况完成支出，规范审批，按时完成。</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效果目标：维护稳定，促进协调发展，对社会发展有一定可持续影响。</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二、绩效评价工作情况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（二）绩效评价工作方案制定过程。</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（三）绩效评价原则、评价方法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1.绩效评价原则。</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科学规范、公开公正、绩效相关等原则。</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2.绩效评价方法。</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采取座谈会、数据采集和社会调查等方式。</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（四）绩效评价实施过程</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1.数据填报和采集。</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2.社会调查。</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3.数据分析和撰写报告。</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（五）本次绩效评价的局限性。</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三、评价结论和绩效分析</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（一）评价结论。</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本项目按要求完成当年计划任务，促进社会和谐稳定发展、改善部分群众生活、满足群众需求、产生一定的经济效益，项目评为优秀。2020年绩效自评综合得分为91分。</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（二）具体绩效分析。对照绩效评价指标体系逐项进行分析、评价并打分。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7"/>
        <w:gridCol w:w="1108"/>
        <w:gridCol w:w="1955"/>
        <w:gridCol w:w="1214"/>
        <w:gridCol w:w="1612"/>
        <w:gridCol w:w="1158"/>
        <w:gridCol w:w="16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昆明市盘龙区应急管理局安全生产监管工作经费项目支出绩效自评情况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jc w:val="left"/>
              <w:rPr>
                <w:rFonts w:ascii="仿宋_GB2312" w:hAnsi="楷体" w:eastAsia="仿宋_GB2312"/>
                <w:szCs w:val="32"/>
              </w:rPr>
            </w:pPr>
            <w:r>
              <w:rPr>
                <w:rFonts w:hint="eastAsia" w:ascii="仿宋_GB2312" w:hAnsi="楷体" w:eastAsia="仿宋_GB2312"/>
                <w:szCs w:val="32"/>
              </w:rPr>
              <w:t xml:space="preserve">计划组织区级层面的排查10次，隐患排查方式采取明查与暗查方式进行，每次排查都将聘请 </w:t>
            </w:r>
          </w:p>
          <w:p>
            <w:pPr>
              <w:widowControl/>
              <w:jc w:val="left"/>
              <w:rPr>
                <w:rFonts w:ascii="仿宋_GB2312" w:hAnsi="楷体" w:eastAsia="仿宋_GB2312"/>
                <w:szCs w:val="32"/>
              </w:rPr>
            </w:pPr>
            <w:r>
              <w:rPr>
                <w:rFonts w:hint="eastAsia" w:ascii="仿宋_GB2312" w:hAnsi="楷体" w:eastAsia="仿宋_GB2312"/>
                <w:szCs w:val="32"/>
              </w:rPr>
              <w:t xml:space="preserve">被排查行业的专业人员参加等。 </w:t>
            </w:r>
          </w:p>
        </w:tc>
        <w:tc>
          <w:tcPr>
            <w:tcW w:w="440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jc w:val="left"/>
              <w:rPr>
                <w:rFonts w:ascii="仿宋_GB2312" w:hAnsi="楷体" w:eastAsia="仿宋_GB2312"/>
                <w:szCs w:val="32"/>
              </w:rPr>
            </w:pPr>
            <w:r>
              <w:rPr>
                <w:rFonts w:hint="eastAsia" w:ascii="仿宋_GB2312" w:hAnsi="楷体" w:eastAsia="仿宋_GB2312"/>
                <w:szCs w:val="32"/>
              </w:rPr>
              <w:t xml:space="preserve">计划组织区级层面的排查10次，隐患排查方式采取明查与暗查方式进行，每次排查都将聘请 </w:t>
            </w:r>
          </w:p>
          <w:p>
            <w:pPr>
              <w:pStyle w:val="11"/>
              <w:spacing w:line="440" w:lineRule="exact"/>
              <w:ind w:firstLine="0" w:firstLineChars="0"/>
              <w:jc w:val="left"/>
              <w:rPr>
                <w:rFonts w:ascii="仿宋_GB2312" w:hAnsi="楷体" w:eastAsia="仿宋_GB2312"/>
                <w:szCs w:val="32"/>
              </w:rPr>
            </w:pPr>
            <w:r>
              <w:rPr>
                <w:rFonts w:hint="eastAsia" w:ascii="仿宋_GB2312" w:hAnsi="楷体" w:eastAsia="仿宋_GB2312"/>
                <w:szCs w:val="32"/>
              </w:rPr>
              <w:t xml:space="preserve">被排查行业的专业人员参加等。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根据实际情况完成资金使用</w:t>
            </w:r>
          </w:p>
        </w:tc>
        <w:tc>
          <w:tcPr>
            <w:tcW w:w="1158" w:type="dxa"/>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已完成144.73万元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社会公众对我局工作的满意度</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bl>
    <w:p>
      <w:pPr>
        <w:topLinePunct/>
        <w:spacing w:line="440" w:lineRule="exact"/>
        <w:rPr>
          <w:rFonts w:ascii="仿宋" w:hAnsi="仿宋" w:eastAsia="仿宋"/>
          <w:szCs w:val="32"/>
        </w:rPr>
      </w:pP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四、主要经验及做法、存在的问题和建议</w:t>
      </w:r>
    </w:p>
    <w:p>
      <w:pPr>
        <w:topLinePunct/>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（一）主要经验及做法：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我局依照资金专项资金管理办法，严格遵循专款专用、独立核 算的管理原则。专项项目的申报严格按照财政资金管理的要求进行，专项资金财政拨款后及时进行了项目开展和资金投入。我局目前对资金的管理按照项目自出涉及的经济科目规定，根据财务管理办法的相关制度执行。</w:t>
      </w:r>
    </w:p>
    <w:p>
      <w:pPr>
        <w:topLinePunct/>
        <w:spacing w:line="520" w:lineRule="exact"/>
        <w:ind w:firstLine="800" w:firstLineChars="25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（二）存在的问题:</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今年在整个绩效目标执行过程中，能严格按照绩效管理有关规定和实现目标要求定期分析实施进程和实现进度，查找问题，加强管理。确保绩效目标的实现。但还存在部分上级经费下拨较迟缓的情况。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（三）建议和改进措施:</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局将健全预算执行进度和考核机制，加强与各部门的沟通，以便更好的提高资金使用效率。</w:t>
      </w:r>
    </w:p>
    <w:p>
      <w:pPr>
        <w:spacing w:line="440" w:lineRule="exact"/>
        <w:jc w:val="center"/>
        <w:rPr>
          <w:rFonts w:ascii="方正小标宋_GBK" w:eastAsia="方正小标宋_GBK"/>
          <w:sz w:val="36"/>
          <w:szCs w:val="36"/>
        </w:rPr>
      </w:pPr>
      <w:r>
        <w:rPr>
          <w:rFonts w:hint="eastAsia" w:ascii="方正小标宋_GBK" w:eastAsia="方正小标宋_GBK"/>
          <w:sz w:val="36"/>
          <w:szCs w:val="36"/>
        </w:rPr>
        <w:t>自然灾害生活补助经费项目支出绩效自评报告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楷体" w:hAnsi="楷体" w:eastAsia="楷体"/>
          <w:szCs w:val="32"/>
        </w:rPr>
      </w:pP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一、项目基本情况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1.立项背景及目的。</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自然灾害到人民群众生命和财产安全，关系改革发展和社会稳定大局。为保障自然灾害发生后，保持灾民的基本生活状况，根据以往年度政府批示设定自然灾害生活补助经费。</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2020 年上半年昆明市发生干旱灾害，我区滇源、阿子营 2 个 街道办事处不同程度受灾，给群众生产、生活带来困难。根据各街道办事处报送的 2020 年干旱灾情核报报告，截止 2020 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月31 日，全区因旱受灾 7419 人，因旱需生活救助 5599 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滇源街道办事处 2974 人，阿子营街道办事处 2625 人。经区政府批准，按照中央财政自然灾害旱灾临时生活困难救 助补助 60 元/人的标准，安排滇源街道办事处自然灾害救灾资金 （旱灾生活救助）17.84 元，救助 2974 人；阿子营街道办事处 自然灾害救灾资金（旱灾生活救助）15.75</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元，救助 2625 人； 合计安排资金 33.59</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元，救助 5599 人。其中，使用中央自然灾害救灾资金（旱灾生活救助）20.00</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元，使用区级自然灾害救灾资金 13.59</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 xml:space="preserve">元。  </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2020年自然灾害生活补助经费项目实际到位资金</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万元，其中区本级财政安排</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2020年</w:t>
      </w:r>
      <w:r>
        <w:rPr>
          <w:rFonts w:hint="eastAsia" w:ascii="仿宋_GB2312" w:hAnsi="仿宋_GB2312" w:eastAsia="仿宋_GB2312" w:cs="仿宋_GB2312"/>
          <w:sz w:val="32"/>
          <w:szCs w:val="32"/>
          <w:lang w:eastAsia="zh-CN"/>
        </w:rPr>
        <w:t>自然灾害生活补助经费</w:t>
      </w:r>
      <w:r>
        <w:rPr>
          <w:rFonts w:hint="eastAsia" w:ascii="仿宋_GB2312" w:hAnsi="仿宋_GB2312" w:eastAsia="仿宋_GB2312" w:cs="仿宋_GB2312"/>
          <w:sz w:val="32"/>
          <w:szCs w:val="32"/>
        </w:rPr>
        <w:t>项目支出2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w:t>
      </w:r>
    </w:p>
    <w:tbl>
      <w:tblPr>
        <w:tblStyle w:val="7"/>
        <w:tblW w:w="10697" w:type="dxa"/>
        <w:tblInd w:w="-7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1916"/>
        <w:gridCol w:w="534"/>
        <w:gridCol w:w="1732"/>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697" w:type="dxa"/>
            <w:gridSpan w:val="9"/>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1.项目起止时间：2020年1月1日-2020年12月31日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239" w:type="dxa"/>
            <w:gridSpan w:val="4"/>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25</w:t>
            </w:r>
            <w:r>
              <w:rPr>
                <w:rFonts w:hint="eastAsia" w:ascii="仿宋_GB2312" w:hAnsi="楷体" w:eastAsia="仿宋_GB2312"/>
                <w:szCs w:val="32"/>
              </w:rPr>
              <w:t>万元</w:t>
            </w:r>
          </w:p>
        </w:tc>
        <w:tc>
          <w:tcPr>
            <w:tcW w:w="5458" w:type="dxa"/>
            <w:gridSpan w:val="5"/>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25</w:t>
            </w:r>
            <w:r>
              <w:rPr>
                <w:rFonts w:hint="eastAsia" w:ascii="仿宋_GB2312" w:hAnsi="楷体" w:eastAsia="仿宋_GB231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732" w:type="dxa"/>
            <w:noWrap/>
          </w:tcPr>
          <w:p>
            <w:pPr>
              <w:pStyle w:val="11"/>
              <w:spacing w:line="440" w:lineRule="exact"/>
              <w:ind w:left="420" w:leftChars="200" w:firstLine="0" w:firstLineChars="0"/>
              <w:jc w:val="left"/>
              <w:rPr>
                <w:rFonts w:ascii="仿宋_GB2312" w:hAnsi="楷体" w:eastAsia="仿宋_GB2312"/>
                <w:szCs w:val="32"/>
              </w:rPr>
            </w:pP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1"/>
              <w:spacing w:line="440" w:lineRule="exact"/>
              <w:ind w:left="420" w:leftChars="200" w:firstLine="0" w:firstLineChars="0"/>
              <w:jc w:val="left"/>
              <w:rPr>
                <w:rFonts w:ascii="仿宋_GB2312" w:hAnsi="楷体" w:eastAsia="仿宋_GB2312"/>
                <w:szCs w:val="32"/>
              </w:rPr>
            </w:pP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32"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32" w:type="dxa"/>
            <w:noWrap/>
          </w:tcPr>
          <w:p>
            <w:pPr>
              <w:pStyle w:val="11"/>
              <w:spacing w:line="440" w:lineRule="exact"/>
              <w:ind w:left="420" w:leftChars="200" w:firstLine="0" w:firstLineChars="0"/>
              <w:jc w:val="left"/>
              <w:rPr>
                <w:rFonts w:ascii="仿宋_GB2312" w:hAnsi="楷体" w:eastAsia="仿宋_GB2312"/>
                <w:szCs w:val="32"/>
              </w:rPr>
            </w:pP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1"/>
              <w:spacing w:line="440" w:lineRule="exact"/>
              <w:ind w:left="420" w:leftChars="200" w:firstLine="0" w:firstLineChars="0"/>
              <w:jc w:val="left"/>
              <w:rPr>
                <w:rFonts w:ascii="仿宋_GB2312" w:hAnsi="楷体" w:eastAsia="仿宋_GB2312"/>
                <w:szCs w:val="32"/>
              </w:rPr>
            </w:pP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450"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32" w:type="dxa"/>
            <w:noWrap/>
          </w:tcPr>
          <w:p>
            <w:pPr>
              <w:pStyle w:val="11"/>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2</w:t>
            </w:r>
            <w:r>
              <w:rPr>
                <w:rFonts w:hint="eastAsia" w:ascii="仿宋_GB2312" w:hAnsi="楷体" w:eastAsia="仿宋_GB2312"/>
                <w:szCs w:val="32"/>
                <w:lang w:val="en-US" w:eastAsia="zh-CN"/>
              </w:rPr>
              <w:t>5</w:t>
            </w:r>
            <w:r>
              <w:rPr>
                <w:rFonts w:hint="eastAsia" w:ascii="仿宋_GB2312" w:hAnsi="楷体" w:eastAsia="仿宋_GB2312"/>
                <w:szCs w:val="32"/>
              </w:rPr>
              <w:t>万元</w:t>
            </w:r>
          </w:p>
        </w:tc>
        <w:tc>
          <w:tcPr>
            <w:tcW w:w="248" w:type="dxa"/>
            <w:noWrap/>
          </w:tcPr>
          <w:p>
            <w:pPr>
              <w:pStyle w:val="11"/>
              <w:spacing w:line="440" w:lineRule="exact"/>
              <w:ind w:left="420" w:leftChars="200"/>
              <w:jc w:val="left"/>
              <w:rPr>
                <w:rFonts w:ascii="仿宋_GB2312" w:hAnsi="楷体" w:eastAsia="仿宋_GB2312"/>
                <w:szCs w:val="32"/>
              </w:rPr>
            </w:pPr>
          </w:p>
        </w:tc>
        <w:tc>
          <w:tcPr>
            <w:tcW w:w="2377"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1"/>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lang w:val="en-US" w:eastAsia="zh-CN"/>
              </w:rPr>
              <w:t>25</w:t>
            </w:r>
            <w:r>
              <w:rPr>
                <w:rFonts w:hint="eastAsia" w:ascii="仿宋_GB2312" w:hAnsi="楷体" w:eastAsia="仿宋_GB2312"/>
                <w:szCs w:val="32"/>
              </w:rPr>
              <w:t>万元</w:t>
            </w: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1"/>
              <w:spacing w:line="440" w:lineRule="exact"/>
              <w:ind w:left="420" w:leftChars="200"/>
              <w:jc w:val="left"/>
              <w:rPr>
                <w:rFonts w:ascii="仿宋_GB2312" w:hAnsi="楷体" w:eastAsia="仿宋_GB2312"/>
                <w:szCs w:val="32"/>
              </w:rPr>
            </w:pPr>
          </w:p>
        </w:tc>
        <w:tc>
          <w:tcPr>
            <w:tcW w:w="4153"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1057" w:type="dxa"/>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697" w:type="dxa"/>
            <w:gridSpan w:val="9"/>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973" w:type="dxa"/>
            <w:gridSpan w:val="2"/>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674"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973"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安全生产监管工作经费</w:t>
            </w:r>
          </w:p>
        </w:tc>
        <w:tc>
          <w:tcPr>
            <w:tcW w:w="3050" w:type="dxa"/>
            <w:gridSpan w:val="4"/>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25</w:t>
            </w:r>
            <w:r>
              <w:rPr>
                <w:rFonts w:hint="eastAsia" w:ascii="仿宋_GB2312" w:hAnsi="楷体" w:eastAsia="仿宋_GB2312"/>
                <w:szCs w:val="32"/>
              </w:rPr>
              <w:t>万元</w:t>
            </w:r>
          </w:p>
        </w:tc>
        <w:tc>
          <w:tcPr>
            <w:tcW w:w="4674" w:type="dxa"/>
            <w:gridSpan w:val="3"/>
            <w:noWrap/>
          </w:tcPr>
          <w:p>
            <w:pPr>
              <w:pStyle w:val="11"/>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25</w:t>
            </w:r>
            <w:r>
              <w:rPr>
                <w:rFonts w:hint="eastAsia" w:ascii="仿宋_GB2312" w:hAnsi="楷体" w:eastAsia="仿宋_GB2312"/>
                <w:szCs w:val="32"/>
              </w:rPr>
              <w:t>万元</w:t>
            </w:r>
          </w:p>
        </w:tc>
      </w:tr>
    </w:tbl>
    <w:p>
      <w:pPr>
        <w:pStyle w:val="2"/>
      </w:pP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4.组织及管理情况。包括项目组织情况、项目实施流程、资金拨付流程。</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根据相关情况，做好前期准备工作。由业务科室提出用款申请，计算出使用金额后交分管领导审核，主管领导审批，交财务科拨付款项，做到及时审批、及时发放。</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合理配置救灾资金，解决辖区内遭受自然灾害农村居民无力克服的衣、食、住、医等临时困难，紧急转移安置和抢救受灾群众，抚慰因灾遇难人员家属，恢复重建倒损住房，以及采购、管理、储运救灾物资，为我县社会经济发展提供应急保障，维护社会稳定。</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2.年度目标。包括产出目标、效果目标。</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产出目标：2020年自然灾害生活补助经费按照实际情况完成支出，规范审批，按时完成。</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效果目标：维护稳定，促进协调发展，对社会发展有一定可持续影响。</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二、绩效评价工作情况</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（二）绩效评价工作方案制定过程。</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（三）绩效评价原则、评价方法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1.绩效评价原则。</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科学规范、公开公正、绩效相关等原则。</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2.绩效评价方法。</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采取座谈会、数据采集和社会调查等方式。</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（四）绩效评价实施过程</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1.数据填报和采集。</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2.社会调查。</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3.数据分析和撰写报告。</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（五）本次绩效评价的局限性。</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三、评价结论和绩效分析</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（一）评价结论。</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本项目按要求完成当年计划任务，促进社会和谐稳定发展、改善部分群众生活、满足群众需求、产生一定的经济效益，项目评为优秀。2020年绩效自评综合得分为91分。</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（二）具体绩效分析。对照绩效评价指标体系逐项进行分析、评价并打分。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7"/>
        <w:gridCol w:w="1108"/>
        <w:gridCol w:w="1955"/>
        <w:gridCol w:w="1214"/>
        <w:gridCol w:w="1612"/>
        <w:gridCol w:w="1158"/>
        <w:gridCol w:w="16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昆明市盘龙区应急管理局自然灾害生活补助经费项目支出绩效自评情况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jc w:val="left"/>
              <w:rPr>
                <w:rFonts w:ascii="仿宋_GB2312" w:hAnsi="楷体" w:eastAsia="仿宋_GB2312"/>
                <w:szCs w:val="32"/>
              </w:rPr>
            </w:pPr>
            <w:r>
              <w:rPr>
                <w:rFonts w:hint="eastAsia" w:ascii="仿宋_GB2312" w:hAnsi="楷体" w:eastAsia="仿宋_GB2312"/>
                <w:szCs w:val="32"/>
              </w:rPr>
              <w:t xml:space="preserve">根据辖区内发生的自然灾害进行救助 </w:t>
            </w:r>
          </w:p>
        </w:tc>
        <w:tc>
          <w:tcPr>
            <w:tcW w:w="440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1"/>
              <w:spacing w:line="440" w:lineRule="exact"/>
              <w:ind w:firstLine="0" w:firstLineChars="0"/>
              <w:jc w:val="left"/>
              <w:rPr>
                <w:rFonts w:ascii="仿宋_GB2312" w:hAnsi="楷体" w:eastAsia="仿宋_GB2312"/>
                <w:szCs w:val="32"/>
              </w:rPr>
            </w:pPr>
            <w:r>
              <w:rPr>
                <w:rFonts w:hint="eastAsia" w:ascii="仿宋_GB2312" w:hAnsi="楷体" w:eastAsia="仿宋_GB2312"/>
                <w:szCs w:val="32"/>
              </w:rPr>
              <w:t xml:space="preserve">根据辖区内发生的自然灾害进行救助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根据实际情况完成资金使用</w:t>
            </w:r>
          </w:p>
        </w:tc>
        <w:tc>
          <w:tcPr>
            <w:tcW w:w="1158" w:type="dxa"/>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已完成2</w:t>
            </w:r>
            <w:r>
              <w:rPr>
                <w:rFonts w:hint="eastAsia" w:ascii="仿宋_GB2312" w:hAnsi="楷体" w:eastAsia="仿宋_GB2312"/>
                <w:szCs w:val="32"/>
                <w:lang w:val="en-US" w:eastAsia="zh-CN"/>
              </w:rPr>
              <w:t>5</w:t>
            </w:r>
            <w:bookmarkStart w:id="0" w:name="_GoBack"/>
            <w:bookmarkEnd w:id="0"/>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受灾群众对我局工作的满意度</w:t>
            </w:r>
          </w:p>
        </w:tc>
        <w:tc>
          <w:tcPr>
            <w:tcW w:w="1158"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bl>
    <w:p>
      <w:pPr>
        <w:topLinePunct/>
        <w:spacing w:line="440" w:lineRule="exact"/>
        <w:rPr>
          <w:rFonts w:ascii="仿宋" w:hAnsi="仿宋" w:eastAsia="仿宋"/>
          <w:szCs w:val="32"/>
        </w:rPr>
      </w:pP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四、主要经验及做法、存在的问题和建议</w:t>
      </w:r>
    </w:p>
    <w:p>
      <w:pPr>
        <w:topLinePunct/>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（一）主要经验及做法：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我局依照资金专项资金管理办法，严格遵循专款专用、独立核 算的管理原则。专项项目的申报严格按照财政资金管理的要求进行，专项资金财政拨款后及时进行了项目开展和资金投入。我局目前对资金的管理按照项目自出涉及的经济科目规定，根据财务管理办法的相关制度执行。</w:t>
      </w:r>
    </w:p>
    <w:p>
      <w:pPr>
        <w:topLinePunct/>
        <w:spacing w:line="520" w:lineRule="exact"/>
        <w:ind w:firstLine="800" w:firstLineChars="25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（二）存在的问题:</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今年在整个绩效目标执行过程中，能严格按照绩效管理有关规定和实现目标要求定期分析实施进程和实现进度，查找问题，加强管理，确保绩效目标的实现。</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（三）建议和改进措施:</w:t>
      </w:r>
    </w:p>
    <w:p>
      <w:pPr>
        <w:topLinePunct/>
        <w:spacing w:line="52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局将健全预算执行进度和考核机制，加强与各部门的沟通，以便更好的提高资金使用效率。</w:t>
      </w:r>
    </w:p>
    <w:p>
      <w:pPr>
        <w:pStyle w:val="2"/>
        <w:ind w:left="0" w:leftChars="0" w:firstLine="0" w:firstLineChars="0"/>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8A54B77"/>
    <w:rsid w:val="00684521"/>
    <w:rsid w:val="00A74C34"/>
    <w:rsid w:val="0F480706"/>
    <w:rsid w:val="10DA75B6"/>
    <w:rsid w:val="1D0040F6"/>
    <w:rsid w:val="32EA53CD"/>
    <w:rsid w:val="40595043"/>
    <w:rsid w:val="42484B6D"/>
    <w:rsid w:val="4408214B"/>
    <w:rsid w:val="4B8F336F"/>
    <w:rsid w:val="4CFA4DFD"/>
    <w:rsid w:val="530D4F34"/>
    <w:rsid w:val="5A03495E"/>
    <w:rsid w:val="5A7E79FC"/>
    <w:rsid w:val="5AD5477D"/>
    <w:rsid w:val="615D148D"/>
    <w:rsid w:val="644F6670"/>
    <w:rsid w:val="64760470"/>
    <w:rsid w:val="66BF30C5"/>
    <w:rsid w:val="6D856411"/>
    <w:rsid w:val="774C6A16"/>
    <w:rsid w:val="78A54B77"/>
    <w:rsid w:val="7B3C1B56"/>
    <w:rsid w:val="7E1611DA"/>
    <w:rsid w:val="7E4B0E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1026"/>
        <o:r id="V:Rule2" type="connector" idref="#_x0000_s2050"/>
        <o:r id="V:Rule3" type="connector" idref="#_x0000_s205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Body Text First Indent 21"/>
    <w:basedOn w:val="1"/>
    <w:qFormat/>
    <w:uiPriority w:val="99"/>
    <w:pPr>
      <w:ind w:left="420" w:leftChars="200" w:firstLine="420" w:firstLineChars="200"/>
    </w:p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0">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13</Pages>
  <Words>908</Words>
  <Characters>5177</Characters>
  <Lines>43</Lines>
  <Paragraphs>12</Paragraphs>
  <TotalTime>16</TotalTime>
  <ScaleCrop>false</ScaleCrop>
  <LinksUpToDate>false</LinksUpToDate>
  <CharactersWithSpaces>6073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2021-05-25T02:02:00Z</dcterms:created>
  <dc:creator>PL应急局</dc:creator>
  <cp:lastModifiedBy>PL应急局</cp:lastModifiedBy>
  <cp:lastPrinted>2021-05-31T00:53:00Z</cp:lastPrinted>
  <dcterms:modified xsi:type="dcterms:W3CDTF">2021-06-04T03:02:08Z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1947765B1B4340359184481710D61CBB</vt:lpwstr>
  </property>
</Properties>
</file>