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盘龙区</w:t>
      </w:r>
      <w:r>
        <w:rPr>
          <w:rFonts w:hint="eastAsia" w:ascii="黑体" w:hAnsi="黑体" w:eastAsia="黑体" w:cs="黑体"/>
          <w:bCs/>
          <w:sz w:val="52"/>
          <w:szCs w:val="52"/>
          <w:lang w:eastAsia="zh-CN"/>
        </w:rPr>
        <w:t>应急管理局</w:t>
      </w:r>
      <w:r>
        <w:rPr>
          <w:rFonts w:ascii="黑体" w:hAnsi="黑体" w:eastAsia="黑体"/>
          <w:bCs/>
          <w:sz w:val="52"/>
          <w:szCs w:val="52"/>
        </w:rPr>
        <w:t>20</w:t>
      </w:r>
      <w:r>
        <w:rPr>
          <w:rFonts w:hint="eastAsia" w:ascii="黑体" w:hAnsi="黑体" w:eastAsia="黑体"/>
          <w:bCs/>
          <w:sz w:val="52"/>
          <w:szCs w:val="52"/>
          <w:lang w:val="en-US" w:eastAsia="zh-CN"/>
        </w:rPr>
        <w:t>20</w:t>
      </w:r>
      <w:r>
        <w:rPr>
          <w:rFonts w:hint="eastAsia" w:ascii="黑体" w:hAnsi="黑体" w:eastAsia="黑体"/>
          <w:bCs/>
          <w:sz w:val="52"/>
          <w:szCs w:val="52"/>
        </w:rPr>
        <w:t>年</w:t>
      </w:r>
    </w:p>
    <w:p>
      <w:pPr>
        <w:jc w:val="center"/>
        <w:rPr>
          <w:rFonts w:ascii="黑体" w:hAnsi="黑体" w:eastAsia="黑体"/>
          <w:bCs/>
          <w:sz w:val="52"/>
          <w:szCs w:val="52"/>
        </w:rPr>
      </w:pP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BjJ5pdcAAAAJAQAADwAAAAAAAAABACAAAAAiAAAAZHJzL2Rvd25yZXYu&#10;eG1sUEsBAhQAFAAAAAgAh07iQGMiVwf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黑体"/>
          <w:b/>
          <w:bCs/>
          <w:sz w:val="28"/>
          <w:szCs w:val="28"/>
          <w:lang w:eastAsia="zh-CN"/>
        </w:rPr>
        <w:t>昆明市盘龙区应急管理局</w:t>
      </w:r>
      <w:r>
        <w:rPr>
          <w:rFonts w:hint="eastAsia" w:ascii="Times New Roman" w:hAnsi="Times New Roman" w:eastAsia="黑体" w:cs="黑体"/>
          <w:b/>
          <w:bCs/>
          <w:sz w:val="28"/>
          <w:szCs w:val="28"/>
        </w:rPr>
        <w:t>整体支出</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Er9D3DYAAAACQEAAA8AAAAAAAAAAQAgAAAAIgAAAGRycy9kb3ducmV2&#10;LnhtbFBLAQIUABQAAAAIAIdO4kCOHcNw/AEAAOwDAAAOAAAAAAAAAAEAIAAAACc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w:t>
      </w:r>
      <w:r>
        <w:rPr>
          <w:rFonts w:hint="eastAsia" w:ascii="Times New Roman" w:hAnsi="Times New Roman" w:eastAsia="黑体" w:cs="黑体"/>
          <w:b/>
          <w:bCs/>
          <w:sz w:val="28"/>
          <w:szCs w:val="28"/>
          <w:lang w:eastAsia="zh-CN"/>
        </w:rPr>
        <w:t>昆明市盘龙区应急管理局</w:t>
      </w:r>
    </w:p>
    <w:p>
      <w:pPr>
        <w:adjustRightInd w:val="0"/>
        <w:snapToGrid w:val="0"/>
        <w:spacing w:line="360" w:lineRule="auto"/>
        <w:ind w:left="126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9.95pt;height:0pt;width:272.25pt;z-index:251661312;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CBJ+CNcAAAAJAQAADwAAAAAAAAABACAAAAAiAAAAZHJzL2Rvd25yZXYu&#10;eG1sUEsBAhQAFAAAAAgAh07iQOoKYOv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评价机构：</w:t>
      </w:r>
      <w:r>
        <w:rPr>
          <w:rFonts w:hint="eastAsia" w:ascii="Times New Roman" w:hAnsi="Times New Roman" w:eastAsia="黑体" w:cs="黑体"/>
          <w:b/>
          <w:bCs/>
          <w:sz w:val="28"/>
          <w:szCs w:val="28"/>
          <w:lang w:eastAsia="zh-CN"/>
        </w:rPr>
        <w:t>昆明市盘龙区应急管理局</w:t>
      </w:r>
    </w:p>
    <w:p>
      <w:pPr>
        <w:adjustRightInd w:val="0"/>
        <w:snapToGrid w:val="0"/>
        <w:spacing w:line="360" w:lineRule="auto"/>
        <w:ind w:left="1260" w:leftChars="600"/>
        <w:rPr>
          <w:rFonts w:ascii="Times New Roman" w:hAnsi="Times New Roman" w:eastAsia="黑体" w:cs="黑体"/>
          <w:b/>
          <w:bCs/>
          <w:sz w:val="28"/>
          <w:szCs w:val="28"/>
        </w:rPr>
      </w:pPr>
    </w:p>
    <w:p>
      <w:pPr>
        <w:adjustRightInd w:val="0"/>
        <w:snapToGrid w:val="0"/>
        <w:spacing w:line="360" w:lineRule="auto"/>
        <w:ind w:left="1260" w:leftChars="60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pStyle w:val="8"/>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6"/>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4"/>
        <w:gridCol w:w="975"/>
        <w:gridCol w:w="3390"/>
        <w:gridCol w:w="882"/>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34" w:type="dxa"/>
            <w:noWrap w:val="0"/>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评价小组</w:t>
            </w:r>
          </w:p>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机构职位</w:t>
            </w:r>
          </w:p>
        </w:tc>
        <w:tc>
          <w:tcPr>
            <w:tcW w:w="975" w:type="dxa"/>
            <w:noWrap w:val="0"/>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姓名</w:t>
            </w:r>
          </w:p>
        </w:tc>
        <w:tc>
          <w:tcPr>
            <w:tcW w:w="3390" w:type="dxa"/>
            <w:noWrap w:val="0"/>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职务/职称</w:t>
            </w:r>
          </w:p>
        </w:tc>
        <w:tc>
          <w:tcPr>
            <w:tcW w:w="882" w:type="dxa"/>
            <w:noWrap w:val="0"/>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所属</w:t>
            </w:r>
          </w:p>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单位/处室</w:t>
            </w:r>
          </w:p>
        </w:tc>
        <w:tc>
          <w:tcPr>
            <w:tcW w:w="1621" w:type="dxa"/>
            <w:noWrap w:val="0"/>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234" w:type="dxa"/>
            <w:noWrap w:val="0"/>
            <w:vAlign w:val="center"/>
          </w:tcPr>
          <w:p>
            <w:pPr>
              <w:pStyle w:val="8"/>
              <w:widowControl w:val="0"/>
              <w:spacing w:after="0" w:line="24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组长</w:t>
            </w:r>
          </w:p>
        </w:tc>
        <w:tc>
          <w:tcPr>
            <w:tcW w:w="975" w:type="dxa"/>
            <w:noWrap w:val="0"/>
            <w:vAlign w:val="top"/>
          </w:tcPr>
          <w:p>
            <w:pPr>
              <w:pStyle w:val="8"/>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赵国强</w:t>
            </w:r>
          </w:p>
        </w:tc>
        <w:tc>
          <w:tcPr>
            <w:tcW w:w="3390" w:type="dxa"/>
            <w:noWrap w:val="0"/>
            <w:vAlign w:val="top"/>
          </w:tcPr>
          <w:p>
            <w:pPr>
              <w:pStyle w:val="8"/>
              <w:widowControl w:val="0"/>
              <w:spacing w:after="0" w:line="24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党组副书记</w:t>
            </w:r>
          </w:p>
        </w:tc>
        <w:tc>
          <w:tcPr>
            <w:tcW w:w="882" w:type="dxa"/>
            <w:noWrap w:val="0"/>
            <w:vAlign w:val="top"/>
          </w:tcPr>
          <w:p>
            <w:pPr>
              <w:pStyle w:val="8"/>
              <w:widowControl w:val="0"/>
              <w:spacing w:after="0" w:line="24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8"/>
              <w:widowControl w:val="0"/>
              <w:spacing w:after="0" w:line="24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234" w:type="dxa"/>
            <w:noWrap w:val="0"/>
            <w:vAlign w:val="center"/>
          </w:tcPr>
          <w:p>
            <w:pPr>
              <w:pStyle w:val="8"/>
              <w:widowControl w:val="0"/>
              <w:spacing w:after="0" w:line="360" w:lineRule="auto"/>
              <w:jc w:val="center"/>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副组长</w:t>
            </w:r>
          </w:p>
        </w:tc>
        <w:tc>
          <w:tcPr>
            <w:tcW w:w="975" w:type="dxa"/>
            <w:noWrap w:val="0"/>
            <w:vAlign w:val="top"/>
          </w:tcPr>
          <w:p>
            <w:pPr>
              <w:pStyle w:val="8"/>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赵祖敏</w:t>
            </w:r>
          </w:p>
        </w:tc>
        <w:tc>
          <w:tcPr>
            <w:tcW w:w="3390" w:type="dxa"/>
            <w:noWrap w:val="0"/>
            <w:vAlign w:val="top"/>
          </w:tcPr>
          <w:p>
            <w:pPr>
              <w:pStyle w:val="8"/>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副局长</w:t>
            </w:r>
          </w:p>
        </w:tc>
        <w:tc>
          <w:tcPr>
            <w:tcW w:w="882" w:type="dxa"/>
            <w:noWrap w:val="0"/>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234" w:type="dxa"/>
            <w:noWrap w:val="0"/>
            <w:vAlign w:val="center"/>
          </w:tcPr>
          <w:p>
            <w:pPr>
              <w:pStyle w:val="8"/>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副组长</w:t>
            </w:r>
          </w:p>
        </w:tc>
        <w:tc>
          <w:tcPr>
            <w:tcW w:w="975" w:type="dxa"/>
            <w:noWrap w:val="0"/>
            <w:vAlign w:val="top"/>
          </w:tcPr>
          <w:p>
            <w:pPr>
              <w:pStyle w:val="8"/>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张辉</w:t>
            </w:r>
          </w:p>
        </w:tc>
        <w:tc>
          <w:tcPr>
            <w:tcW w:w="3390" w:type="dxa"/>
            <w:noWrap w:val="0"/>
            <w:vAlign w:val="top"/>
          </w:tcPr>
          <w:p>
            <w:pPr>
              <w:pStyle w:val="8"/>
              <w:widowControl w:val="0"/>
              <w:spacing w:after="0" w:line="360" w:lineRule="auto"/>
              <w:jc w:val="both"/>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安全生产监察专员</w:t>
            </w:r>
          </w:p>
        </w:tc>
        <w:tc>
          <w:tcPr>
            <w:tcW w:w="882" w:type="dxa"/>
            <w:noWrap w:val="0"/>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c>
          <w:tcPr>
            <w:tcW w:w="1621" w:type="dxa"/>
            <w:noWrap w:val="0"/>
            <w:vAlign w:val="top"/>
          </w:tcPr>
          <w:p>
            <w:pPr>
              <w:pStyle w:val="8"/>
              <w:widowControl w:val="0"/>
              <w:spacing w:after="0" w:line="360" w:lineRule="auto"/>
              <w:jc w:val="both"/>
              <w:rPr>
                <w:rFonts w:ascii="Times New Roman" w:hAnsi="Times New Roman" w:eastAsia="黑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1234" w:type="dxa"/>
            <w:noWrap w:val="0"/>
            <w:vAlign w:val="center"/>
          </w:tcPr>
          <w:p>
            <w:pPr>
              <w:pStyle w:val="8"/>
              <w:widowControl w:val="0"/>
              <w:spacing w:after="0" w:line="360" w:lineRule="auto"/>
              <w:jc w:val="center"/>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kern w:val="2"/>
                <w:sz w:val="24"/>
                <w:szCs w:val="24"/>
                <w:lang w:val="zh-TW" w:eastAsia="zh-CN"/>
              </w:rPr>
              <w:t>成员</w:t>
            </w:r>
          </w:p>
        </w:tc>
        <w:tc>
          <w:tcPr>
            <w:tcW w:w="975" w:type="dxa"/>
            <w:noWrap w:val="0"/>
            <w:vAlign w:val="top"/>
          </w:tcPr>
          <w:p>
            <w:pPr>
              <w:pStyle w:val="8"/>
              <w:widowControl w:val="0"/>
              <w:spacing w:after="0" w:line="360" w:lineRule="auto"/>
              <w:jc w:val="both"/>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color w:val="000000"/>
                <w:kern w:val="2"/>
                <w:sz w:val="24"/>
                <w:szCs w:val="24"/>
                <w:u w:val="none" w:color="000000"/>
                <w:lang w:val="zh-TW" w:eastAsia="zh-CN" w:bidi="ar-SA"/>
              </w:rPr>
              <w:t>倪阳</w:t>
            </w:r>
          </w:p>
        </w:tc>
        <w:tc>
          <w:tcPr>
            <w:tcW w:w="3390" w:type="dxa"/>
            <w:noWrap w:val="0"/>
            <w:vAlign w:val="top"/>
          </w:tcPr>
          <w:p>
            <w:pPr>
              <w:pStyle w:val="8"/>
              <w:widowControl w:val="0"/>
              <w:spacing w:after="0" w:line="360" w:lineRule="auto"/>
              <w:jc w:val="both"/>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color w:val="000000"/>
                <w:kern w:val="2"/>
                <w:sz w:val="24"/>
                <w:szCs w:val="24"/>
                <w:u w:val="none" w:color="000000"/>
                <w:lang w:val="zh-TW" w:eastAsia="zh-CN" w:bidi="ar-SA"/>
              </w:rPr>
              <w:t>办公室负责人</w:t>
            </w:r>
          </w:p>
        </w:tc>
        <w:tc>
          <w:tcPr>
            <w:tcW w:w="882" w:type="dxa"/>
            <w:noWrap w:val="0"/>
            <w:vAlign w:val="top"/>
          </w:tcPr>
          <w:p>
            <w:pPr>
              <w:pStyle w:val="8"/>
              <w:widowControl w:val="0"/>
              <w:spacing w:after="0" w:line="360" w:lineRule="auto"/>
              <w:jc w:val="both"/>
              <w:rPr>
                <w:rFonts w:ascii="Times New Roman" w:hAnsi="Times New Roman" w:eastAsia="黑体" w:cs="黑体"/>
                <w:color w:val="000000"/>
                <w:kern w:val="2"/>
                <w:sz w:val="24"/>
                <w:szCs w:val="24"/>
                <w:u w:val="none" w:color="000000"/>
                <w:lang w:val="zh-TW" w:eastAsia="zh-TW" w:bidi="ar-SA"/>
              </w:rPr>
            </w:pPr>
          </w:p>
        </w:tc>
        <w:tc>
          <w:tcPr>
            <w:tcW w:w="1621" w:type="dxa"/>
            <w:noWrap w:val="0"/>
            <w:vAlign w:val="top"/>
          </w:tcPr>
          <w:p>
            <w:pPr>
              <w:pStyle w:val="8"/>
              <w:widowControl w:val="0"/>
              <w:spacing w:after="0" w:line="360" w:lineRule="auto"/>
              <w:jc w:val="both"/>
              <w:rPr>
                <w:rFonts w:ascii="Times New Roman" w:hAnsi="Times New Roman" w:eastAsia="黑体" w:cs="黑体"/>
                <w:color w:val="000000"/>
                <w:kern w:val="2"/>
                <w:sz w:val="24"/>
                <w:szCs w:val="24"/>
                <w:u w:val="none" w:color="000000"/>
                <w:lang w:val="zh-TW" w:eastAsia="zh-TW"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234" w:type="dxa"/>
            <w:noWrap w:val="0"/>
            <w:vAlign w:val="center"/>
          </w:tcPr>
          <w:p>
            <w:pPr>
              <w:pStyle w:val="8"/>
              <w:widowControl w:val="0"/>
              <w:spacing w:after="0" w:line="360" w:lineRule="auto"/>
              <w:jc w:val="center"/>
              <w:rPr>
                <w:rFonts w:hint="eastAsia" w:ascii="Times New Roman" w:hAnsi="Times New Roman" w:eastAsia="黑体" w:cs="黑体"/>
                <w:kern w:val="2"/>
                <w:sz w:val="24"/>
                <w:szCs w:val="24"/>
                <w:lang w:val="zh-TW" w:eastAsia="zh-CN"/>
              </w:rPr>
            </w:pPr>
            <w:r>
              <w:rPr>
                <w:rFonts w:hint="eastAsia" w:ascii="Times New Roman" w:hAnsi="Times New Roman" w:eastAsia="黑体" w:cs="黑体"/>
                <w:kern w:val="2"/>
                <w:sz w:val="24"/>
                <w:szCs w:val="24"/>
                <w:lang w:val="zh-TW" w:eastAsia="zh-CN"/>
              </w:rPr>
              <w:t>成员</w:t>
            </w:r>
          </w:p>
        </w:tc>
        <w:tc>
          <w:tcPr>
            <w:tcW w:w="975" w:type="dxa"/>
            <w:noWrap w:val="0"/>
            <w:vAlign w:val="top"/>
          </w:tcPr>
          <w:p>
            <w:pPr>
              <w:pStyle w:val="8"/>
              <w:widowControl w:val="0"/>
              <w:spacing w:after="0" w:line="360" w:lineRule="auto"/>
              <w:jc w:val="both"/>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color w:val="000000"/>
                <w:kern w:val="2"/>
                <w:sz w:val="24"/>
                <w:szCs w:val="24"/>
                <w:u w:val="none" w:color="000000"/>
                <w:lang w:val="zh-TW" w:eastAsia="zh-CN" w:bidi="ar-SA"/>
              </w:rPr>
              <w:t>杨燕东</w:t>
            </w:r>
          </w:p>
        </w:tc>
        <w:tc>
          <w:tcPr>
            <w:tcW w:w="3390" w:type="dxa"/>
            <w:noWrap w:val="0"/>
            <w:vAlign w:val="top"/>
          </w:tcPr>
          <w:p>
            <w:pPr>
              <w:pStyle w:val="8"/>
              <w:widowControl w:val="0"/>
              <w:spacing w:after="0" w:line="360" w:lineRule="auto"/>
              <w:jc w:val="both"/>
              <w:rPr>
                <w:rFonts w:hint="eastAsia" w:ascii="Times New Roman" w:hAnsi="Times New Roman" w:eastAsia="黑体" w:cs="黑体"/>
                <w:color w:val="000000"/>
                <w:kern w:val="2"/>
                <w:sz w:val="24"/>
                <w:szCs w:val="24"/>
                <w:u w:val="none" w:color="000000"/>
                <w:lang w:val="zh-TW" w:eastAsia="zh-CN" w:bidi="ar-SA"/>
              </w:rPr>
            </w:pPr>
            <w:r>
              <w:rPr>
                <w:rFonts w:hint="eastAsia" w:ascii="Times New Roman" w:hAnsi="Times New Roman" w:eastAsia="黑体" w:cs="黑体"/>
                <w:color w:val="000000"/>
                <w:kern w:val="2"/>
                <w:sz w:val="24"/>
                <w:szCs w:val="24"/>
                <w:u w:val="none" w:color="000000"/>
                <w:lang w:val="zh-TW" w:eastAsia="zh-CN" w:bidi="ar-SA"/>
              </w:rPr>
              <w:t>减灾救灾和物资保障科负责人</w:t>
            </w:r>
          </w:p>
        </w:tc>
        <w:tc>
          <w:tcPr>
            <w:tcW w:w="882" w:type="dxa"/>
            <w:noWrap w:val="0"/>
            <w:vAlign w:val="top"/>
          </w:tcPr>
          <w:p>
            <w:pPr>
              <w:pStyle w:val="8"/>
              <w:widowControl w:val="0"/>
              <w:spacing w:after="0" w:line="360" w:lineRule="auto"/>
              <w:jc w:val="both"/>
              <w:rPr>
                <w:rFonts w:ascii="Times New Roman" w:hAnsi="Times New Roman" w:eastAsia="黑体" w:cs="黑体"/>
                <w:color w:val="000000"/>
                <w:kern w:val="2"/>
                <w:sz w:val="24"/>
                <w:szCs w:val="24"/>
                <w:u w:val="none" w:color="000000"/>
                <w:lang w:val="zh-TW" w:eastAsia="zh-TW" w:bidi="ar-SA"/>
              </w:rPr>
            </w:pPr>
          </w:p>
        </w:tc>
        <w:tc>
          <w:tcPr>
            <w:tcW w:w="1621" w:type="dxa"/>
            <w:noWrap w:val="0"/>
            <w:vAlign w:val="top"/>
          </w:tcPr>
          <w:p>
            <w:pPr>
              <w:pStyle w:val="8"/>
              <w:widowControl w:val="0"/>
              <w:spacing w:after="0" w:line="360" w:lineRule="auto"/>
              <w:jc w:val="both"/>
              <w:rPr>
                <w:rFonts w:ascii="Times New Roman" w:hAnsi="Times New Roman" w:eastAsia="黑体" w:cs="黑体"/>
                <w:color w:val="000000"/>
                <w:kern w:val="2"/>
                <w:sz w:val="24"/>
                <w:szCs w:val="24"/>
                <w:u w:val="none" w:color="000000"/>
                <w:lang w:val="zh-TW" w:eastAsia="zh-TW"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noWrap w:val="0"/>
            <w:vAlign w:val="top"/>
          </w:tcPr>
          <w:p>
            <w:pPr>
              <w:pStyle w:val="8"/>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报告撰写人（签字）：</w:t>
            </w:r>
          </w:p>
          <w:p>
            <w:pPr>
              <w:pStyle w:val="8"/>
              <w:widowControl w:val="0"/>
              <w:spacing w:after="0" w:line="360" w:lineRule="auto"/>
              <w:jc w:val="both"/>
              <w:rPr>
                <w:rFonts w:ascii="Times New Roman" w:hAnsi="Times New Roman" w:eastAsia="黑体" w:cs="黑体"/>
                <w:kern w:val="2"/>
                <w:sz w:val="24"/>
                <w:szCs w:val="24"/>
                <w:lang w:val="zh-TW"/>
              </w:rPr>
            </w:pPr>
          </w:p>
          <w:p>
            <w:pPr>
              <w:pStyle w:val="8"/>
              <w:widowControl w:val="0"/>
              <w:spacing w:after="0" w:line="360" w:lineRule="auto"/>
              <w:jc w:val="both"/>
              <w:rPr>
                <w:rFonts w:ascii="Times New Roman" w:hAnsi="Times New Roman" w:eastAsia="黑体" w:cs="黑体"/>
                <w:kern w:val="2"/>
                <w:sz w:val="24"/>
                <w:szCs w:val="24"/>
                <w:lang w:val="zh-TW"/>
              </w:rPr>
            </w:pPr>
          </w:p>
          <w:p>
            <w:pPr>
              <w:pStyle w:val="8"/>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noWrap w:val="0"/>
            <w:vAlign w:val="top"/>
          </w:tcPr>
          <w:p>
            <w:pPr>
              <w:pStyle w:val="8"/>
              <w:widowControl w:val="0"/>
              <w:spacing w:after="0" w:line="360" w:lineRule="auto"/>
              <w:jc w:val="both"/>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评价工作负责人（签字）：</w:t>
            </w:r>
          </w:p>
          <w:p>
            <w:pPr>
              <w:pStyle w:val="8"/>
              <w:widowControl w:val="0"/>
              <w:spacing w:after="0" w:line="360" w:lineRule="auto"/>
              <w:jc w:val="both"/>
              <w:rPr>
                <w:rFonts w:ascii="Times New Roman" w:hAnsi="Times New Roman" w:eastAsia="黑体" w:cs="黑体"/>
                <w:kern w:val="2"/>
                <w:sz w:val="24"/>
                <w:szCs w:val="24"/>
                <w:lang w:val="zh-TW"/>
              </w:rPr>
            </w:pPr>
          </w:p>
          <w:p>
            <w:pPr>
              <w:pStyle w:val="8"/>
              <w:widowControl w:val="0"/>
              <w:spacing w:after="0" w:line="360" w:lineRule="auto"/>
              <w:jc w:val="both"/>
              <w:rPr>
                <w:rFonts w:ascii="Times New Roman" w:hAnsi="Times New Roman" w:eastAsia="黑体" w:cs="黑体"/>
                <w:kern w:val="2"/>
                <w:sz w:val="24"/>
                <w:szCs w:val="24"/>
                <w:lang w:val="zh-TW"/>
              </w:rPr>
            </w:pPr>
          </w:p>
          <w:p>
            <w:pPr>
              <w:pStyle w:val="8"/>
              <w:widowControl w:val="0"/>
              <w:wordWrap w:val="0"/>
              <w:spacing w:after="0" w:line="360" w:lineRule="auto"/>
              <w:jc w:val="right"/>
              <w:rPr>
                <w:rFonts w:ascii="Times New Roman" w:hAnsi="Times New Roman" w:eastAsia="黑体" w:cs="黑体"/>
                <w:kern w:val="2"/>
                <w:sz w:val="24"/>
                <w:szCs w:val="24"/>
                <w:lang w:val="zh-TW"/>
              </w:rPr>
            </w:pPr>
            <w:r>
              <w:rPr>
                <w:rFonts w:hint="eastAsia" w:ascii="Times New Roman" w:hAnsi="Times New Roman" w:eastAsia="黑体" w:cs="黑体"/>
                <w:kern w:val="2"/>
                <w:sz w:val="24"/>
                <w:szCs w:val="24"/>
                <w:lang w:val="zh-TW"/>
              </w:rPr>
              <w:t>年  月  日</w:t>
            </w:r>
          </w:p>
        </w:tc>
      </w:tr>
    </w:tbl>
    <w:p>
      <w:pPr>
        <w:pStyle w:val="8"/>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8"/>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黑体" w:hAnsi="黑体" w:eastAsia="黑体"/>
          <w:szCs w:val="32"/>
        </w:rPr>
      </w:pPr>
      <w:r>
        <w:rPr>
          <w:rFonts w:hint="eastAsia" w:ascii="方正小标宋_GBK" w:hAnsi="Times New Roman" w:eastAsia="方正小标宋_GBK" w:cs="宋体"/>
          <w:b w:val="0"/>
          <w:color w:val="auto"/>
          <w:lang w:val="zh-CN"/>
        </w:rPr>
        <w:t>目录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lang w:eastAsia="zh-CN"/>
        </w:rPr>
        <w:t>一</w:t>
      </w:r>
      <w:r>
        <w:rPr>
          <w:rFonts w:hint="eastAsia" w:ascii="黑体" w:hAnsi="黑体" w:eastAsia="黑体"/>
          <w:szCs w:val="32"/>
        </w:rPr>
        <w:t>、部门概况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（一）部门机构设置、编制</w:t>
      </w:r>
      <w:r>
        <w:rPr>
          <w:rFonts w:hint="eastAsia" w:ascii="黑体" w:hAnsi="黑体" w:eastAsia="黑体"/>
          <w:szCs w:val="32"/>
        </w:rPr>
        <w:tab/>
      </w:r>
    </w:p>
    <w:p>
      <w:pPr>
        <w:spacing w:line="400" w:lineRule="exact"/>
        <w:ind w:firstLine="420" w:firstLineChars="200"/>
        <w:jc w:val="left"/>
        <w:rPr>
          <w:rFonts w:ascii="黑体" w:hAnsi="黑体" w:eastAsia="黑体"/>
          <w:szCs w:val="32"/>
        </w:rPr>
      </w:pPr>
      <w:r>
        <w:rPr>
          <w:rFonts w:hint="eastAsia" w:ascii="黑体" w:hAnsi="黑体" w:eastAsia="黑体"/>
          <w:szCs w:val="32"/>
        </w:rPr>
        <w:t>（二）部门职能</w:t>
      </w:r>
    </w:p>
    <w:p>
      <w:pPr>
        <w:spacing w:line="400" w:lineRule="exact"/>
        <w:ind w:firstLine="420" w:firstLineChars="200"/>
        <w:jc w:val="left"/>
        <w:rPr>
          <w:rFonts w:ascii="黑体" w:hAnsi="黑体" w:eastAsia="黑体"/>
          <w:szCs w:val="32"/>
        </w:rPr>
      </w:pPr>
      <w:r>
        <w:rPr>
          <w:rFonts w:hint="eastAsia" w:ascii="黑体" w:hAnsi="黑体" w:eastAsia="黑体"/>
          <w:szCs w:val="32"/>
        </w:rPr>
        <w:t>（三）部门工作完成情况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（四）部门管理制度 </w:t>
      </w:r>
    </w:p>
    <w:p>
      <w:pPr>
        <w:spacing w:line="400" w:lineRule="exact"/>
        <w:ind w:firstLine="420" w:firstLineChars="200"/>
        <w:jc w:val="left"/>
        <w:rPr>
          <w:rFonts w:ascii="黑体" w:hAnsi="黑体" w:eastAsia="黑体"/>
          <w:szCs w:val="32"/>
        </w:rPr>
      </w:pPr>
      <w:r>
        <w:rPr>
          <w:rFonts w:hint="eastAsia" w:ascii="黑体" w:hAnsi="黑体" w:eastAsia="黑体"/>
          <w:szCs w:val="32"/>
        </w:rPr>
        <w:t>（五）部门资金来源及使用情况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 xml:space="preserve">（六）政府采购情况 </w:t>
      </w:r>
    </w:p>
    <w:p>
      <w:pPr>
        <w:spacing w:line="400" w:lineRule="exact"/>
        <w:ind w:firstLine="420" w:firstLineChars="200"/>
        <w:jc w:val="left"/>
        <w:rPr>
          <w:rFonts w:ascii="黑体" w:hAnsi="黑体" w:eastAsia="黑体"/>
          <w:szCs w:val="32"/>
        </w:rPr>
      </w:pPr>
      <w:r>
        <w:rPr>
          <w:rFonts w:hint="eastAsia" w:ascii="黑体" w:hAnsi="黑体" w:eastAsia="黑体"/>
          <w:szCs w:val="32"/>
        </w:rPr>
        <w:t>（七）固定资产情况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lang w:eastAsia="zh-CN"/>
        </w:rPr>
        <w:t>二</w:t>
      </w:r>
      <w:r>
        <w:rPr>
          <w:rFonts w:hint="eastAsia" w:ascii="黑体" w:hAnsi="黑体" w:eastAsia="黑体"/>
          <w:szCs w:val="32"/>
        </w:rPr>
        <w:t>、绩效目标</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lang w:eastAsia="zh-CN"/>
        </w:rPr>
        <w:t>三</w:t>
      </w:r>
      <w:r>
        <w:rPr>
          <w:rFonts w:hint="eastAsia" w:ascii="黑体" w:hAnsi="黑体" w:eastAsia="黑体"/>
          <w:szCs w:val="32"/>
        </w:rPr>
        <w:t>、评价思路和过程</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（一）评价思路</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（二）评价目的</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（三）评价依据</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（四）评价对象及评价时段</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lang w:eastAsia="zh-CN"/>
        </w:rPr>
        <w:t>四</w:t>
      </w:r>
      <w:r>
        <w:rPr>
          <w:rFonts w:hint="eastAsia" w:ascii="黑体" w:hAnsi="黑体" w:eastAsia="黑体"/>
          <w:szCs w:val="32"/>
        </w:rPr>
        <w:t>、评价结论和绩效分析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（二）具体绩效分析</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lang w:eastAsia="zh-CN"/>
        </w:rPr>
        <w:t>五</w:t>
      </w:r>
      <w:r>
        <w:rPr>
          <w:rFonts w:hint="eastAsia" w:ascii="黑体" w:hAnsi="黑体" w:eastAsia="黑体"/>
          <w:szCs w:val="32"/>
        </w:rPr>
        <w:t>、主要经验做法</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lang w:eastAsia="zh-CN"/>
        </w:rPr>
        <w:t>六</w:t>
      </w:r>
      <w:r>
        <w:rPr>
          <w:rFonts w:hint="eastAsia" w:ascii="黑体" w:hAnsi="黑体" w:eastAsia="黑体"/>
          <w:szCs w:val="32"/>
        </w:rPr>
        <w:t>、存在的问题</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hint="eastAsia" w:ascii="黑体" w:hAnsi="黑体" w:eastAsia="黑体"/>
          <w:szCs w:val="32"/>
        </w:rPr>
      </w:pPr>
      <w:r>
        <w:rPr>
          <w:rFonts w:hint="eastAsia" w:ascii="黑体" w:hAnsi="黑体" w:eastAsia="黑体"/>
          <w:szCs w:val="32"/>
          <w:lang w:eastAsia="zh-CN"/>
        </w:rPr>
        <w:t>七</w:t>
      </w:r>
      <w:r>
        <w:rPr>
          <w:rFonts w:hint="eastAsia" w:ascii="黑体" w:hAnsi="黑体" w:eastAsia="黑体"/>
          <w:szCs w:val="32"/>
        </w:rPr>
        <w:t>、改进措施及建议</w:t>
      </w:r>
    </w:p>
    <w:p>
      <w:pPr>
        <w:spacing w:line="400" w:lineRule="exact"/>
        <w:ind w:firstLine="420" w:firstLineChars="200"/>
        <w:jc w:val="left"/>
        <w:rPr>
          <w:rFonts w:ascii="黑体" w:hAnsi="黑体" w:eastAsia="黑体"/>
          <w:szCs w:val="32"/>
        </w:rPr>
      </w:pPr>
      <w:r>
        <w:rPr>
          <w:rFonts w:hint="eastAsia" w:ascii="黑体" w:hAnsi="黑体" w:eastAsia="黑体"/>
          <w:szCs w:val="32"/>
          <w:lang w:eastAsia="zh-CN"/>
        </w:rPr>
        <w:t>八、绩效自评结果应用</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p>
    <w:p>
      <w:pPr>
        <w:spacing w:line="600" w:lineRule="exact"/>
        <w:ind w:firstLine="420" w:firstLineChars="200"/>
        <w:jc w:val="left"/>
        <w:rPr>
          <w:rFonts w:ascii="黑体" w:hAnsi="黑体" w:eastAsia="黑体"/>
          <w:szCs w:val="32"/>
        </w:rPr>
      </w:pPr>
    </w:p>
    <w:p>
      <w:pPr>
        <w:pStyle w:val="2"/>
        <w:rPr>
          <w:rFonts w:ascii="黑体" w:hAnsi="黑体" w:eastAsia="黑体"/>
          <w:szCs w:val="32"/>
        </w:rPr>
      </w:pPr>
    </w:p>
    <w:p>
      <w:pPr>
        <w:pStyle w:val="2"/>
        <w:rPr>
          <w:rFonts w:ascii="黑体" w:hAnsi="黑体" w:eastAsia="黑体"/>
          <w:szCs w:val="32"/>
        </w:rPr>
      </w:pPr>
    </w:p>
    <w:p>
      <w:pPr>
        <w:pStyle w:val="2"/>
        <w:rPr>
          <w:rFonts w:ascii="黑体" w:hAnsi="黑体" w:eastAsia="黑体"/>
          <w:szCs w:val="32"/>
        </w:rPr>
      </w:pPr>
    </w:p>
    <w:p>
      <w:pPr>
        <w:pStyle w:val="2"/>
        <w:rPr>
          <w:rFonts w:ascii="黑体" w:hAnsi="黑体" w:eastAsia="黑体"/>
          <w:szCs w:val="32"/>
        </w:rPr>
      </w:pPr>
    </w:p>
    <w:p>
      <w:pPr>
        <w:pStyle w:val="2"/>
        <w:rPr>
          <w:rFonts w:ascii="黑体" w:hAnsi="黑体" w:eastAsia="黑体"/>
          <w:szCs w:val="32"/>
        </w:rPr>
      </w:pPr>
    </w:p>
    <w:p>
      <w:pPr>
        <w:pStyle w:val="2"/>
        <w:rPr>
          <w:rFonts w:ascii="黑体" w:hAnsi="黑体" w:eastAsia="黑体"/>
          <w:szCs w:val="32"/>
        </w:rPr>
      </w:pPr>
    </w:p>
    <w:p>
      <w:pPr>
        <w:spacing w:line="600" w:lineRule="exact"/>
        <w:ind w:firstLine="420" w:firstLineChars="200"/>
        <w:jc w:val="center"/>
        <w:rPr>
          <w:rFonts w:ascii="方正小标宋_GBK" w:hAnsi="黑体" w:eastAsia="方正小标宋_GBK"/>
          <w:szCs w:val="32"/>
        </w:rPr>
      </w:pPr>
    </w:p>
    <w:p>
      <w:pPr>
        <w:widowControl/>
        <w:spacing w:line="600" w:lineRule="exact"/>
        <w:ind w:right="-58"/>
        <w:jc w:val="center"/>
        <w:rPr>
          <w:rFonts w:hint="eastAsia" w:ascii="方正小标宋简体" w:hAnsi="宋体" w:eastAsia="方正小标宋简体" w:cs="宋体"/>
          <w:kern w:val="0"/>
          <w:sz w:val="44"/>
          <w:szCs w:val="44"/>
        </w:rPr>
      </w:pPr>
      <w:r>
        <w:rPr>
          <w:rFonts w:hint="eastAsia" w:ascii="方正小标宋简体" w:hAnsi="宋体" w:eastAsia="方正小标宋简体" w:cs="宋体"/>
          <w:kern w:val="0"/>
          <w:sz w:val="44"/>
          <w:szCs w:val="44"/>
          <w:lang w:eastAsia="zh-CN"/>
        </w:rPr>
        <w:t>昆明市</w:t>
      </w:r>
      <w:r>
        <w:rPr>
          <w:rFonts w:hint="eastAsia" w:ascii="方正小标宋简体" w:hAnsi="宋体" w:eastAsia="方正小标宋简体" w:cs="宋体"/>
          <w:kern w:val="0"/>
          <w:sz w:val="44"/>
          <w:szCs w:val="44"/>
        </w:rPr>
        <w:t>盘龙区</w:t>
      </w:r>
      <w:r>
        <w:rPr>
          <w:rFonts w:hint="eastAsia" w:ascii="方正小标宋简体" w:hAnsi="宋体" w:eastAsia="方正小标宋简体" w:cs="宋体"/>
          <w:kern w:val="0"/>
          <w:sz w:val="44"/>
          <w:szCs w:val="44"/>
          <w:lang w:eastAsia="zh-CN"/>
        </w:rPr>
        <w:t>应急管理局</w:t>
      </w:r>
      <w:r>
        <w:rPr>
          <w:rFonts w:hint="eastAsia" w:ascii="方正小标宋简体" w:hAnsi="宋体" w:eastAsia="方正小标宋简体" w:cs="宋体"/>
          <w:kern w:val="0"/>
          <w:sz w:val="44"/>
          <w:szCs w:val="44"/>
        </w:rPr>
        <w:t>20</w:t>
      </w:r>
      <w:r>
        <w:rPr>
          <w:rFonts w:hint="eastAsia" w:ascii="方正小标宋简体" w:hAnsi="宋体" w:eastAsia="方正小标宋简体" w:cs="宋体"/>
          <w:kern w:val="0"/>
          <w:sz w:val="44"/>
          <w:szCs w:val="44"/>
          <w:lang w:val="en-US" w:eastAsia="zh-CN"/>
        </w:rPr>
        <w:t>20</w:t>
      </w:r>
      <w:r>
        <w:rPr>
          <w:rFonts w:hint="eastAsia" w:ascii="方正小标宋简体" w:hAnsi="宋体" w:eastAsia="方正小标宋简体" w:cs="宋体"/>
          <w:kern w:val="0"/>
          <w:sz w:val="44"/>
          <w:szCs w:val="44"/>
        </w:rPr>
        <w:t>年部门整体支出绩效自评报告</w:t>
      </w:r>
    </w:p>
    <w:p>
      <w:pPr>
        <w:spacing w:line="520" w:lineRule="exact"/>
        <w:ind w:firstLine="480" w:firstLineChars="200"/>
        <w:jc w:val="center"/>
        <w:rPr>
          <w:rFonts w:ascii="仿宋_GB2312" w:eastAsia="仿宋_GB2312"/>
          <w:sz w:val="24"/>
          <w:szCs w:val="24"/>
        </w:rPr>
      </w:pPr>
    </w:p>
    <w:p>
      <w:pPr>
        <w:topLinePunct/>
        <w:spacing w:line="520" w:lineRule="exact"/>
        <w:ind w:firstLine="800" w:firstLineChars="25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昆明市盘龙区财政局关于开展2020年度区级预算支出绩效自评工作的通知》（盘财绩[2021]2号）文件精神，我局成立了副书记担任组长的绩效评价工作小组，对我局2020年度部门整体支出绩效进行了全面综合评价。整体支出分基本支出和项目支出两部分，基本支出的评价重点是厉行节约保运转，降低行政运行成本；项目支出的评价重点是规范管理促发展，做到专款专用，提高资金使用效益。经相全面综合评价，我局2020年部门整体支出绩效评价为92分，现将自评情况汇报如下：</w:t>
      </w:r>
    </w:p>
    <w:p>
      <w:pPr>
        <w:topLinePunct/>
        <w:spacing w:line="520" w:lineRule="exact"/>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、部门概况</w:t>
      </w:r>
    </w:p>
    <w:p>
      <w:pPr>
        <w:topLinePunct/>
        <w:spacing w:line="520" w:lineRule="exact"/>
        <w:ind w:firstLine="803"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b/>
          <w:sz w:val="32"/>
          <w:szCs w:val="32"/>
          <w:lang w:val="en-US" w:eastAsia="zh-CN"/>
        </w:rPr>
        <w:t>（一）部门机构设置、编制</w:t>
      </w:r>
    </w:p>
    <w:p>
      <w:pPr>
        <w:topLinePunct/>
        <w:spacing w:line="52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1.机构情况</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昆明市盘龙区应急管理局内设机构10个：办公室、应急指挥中心、救援协调和预案管理科、火灾救援管理科、危险化学品安全监督管理科、安全生产监督管理和执法科、安全生产综合协调科、减灾救灾和物资保障科（财务科）、政策法规和宣传信息科、组织人事科（机关党支部）。</w:t>
      </w:r>
    </w:p>
    <w:p>
      <w:pPr>
        <w:topLinePunct/>
        <w:spacing w:line="52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2.人员情况</w:t>
      </w:r>
    </w:p>
    <w:p>
      <w:pPr>
        <w:topLinePunct/>
        <w:spacing w:line="520" w:lineRule="exact"/>
        <w:ind w:firstLine="800" w:firstLineChars="25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昆明市盘龙区应急管理局是政府组成部门，执行行政单位会计制度，行政编制</w:t>
      </w:r>
      <w:r>
        <w:rPr>
          <w:rFonts w:hint="eastAsia" w:ascii="仿宋_GB2312" w:hAnsi="仿宋_GB2312" w:eastAsia="仿宋_GB2312" w:cs="仿宋_GB2312"/>
          <w:sz w:val="32"/>
          <w:szCs w:val="32"/>
          <w:lang w:val="en-US" w:eastAsia="zh-CN"/>
        </w:rPr>
        <w:t>19人（含工勤1人），年末实有行政在职人员17人（含工勤1人）。</w:t>
      </w:r>
    </w:p>
    <w:p>
      <w:pPr>
        <w:spacing w:line="400" w:lineRule="exact"/>
        <w:ind w:firstLine="643" w:firstLineChars="20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（二）部门职能</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负责应急管理工作，指导各街道、各部门应对安全生产类、自然灾害类等突发事件和综合减灾救灾工作。负责安全生产综合监督管理和工矿商贸行业安全生产监督管理工作。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贯彻落实应急管理、安全生产的方针政策、法律法规，组织编制全区应急体系建设、安全生产和综合减灾规划，组织制定部门规范性文件并监督实施。</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指导应急预案体系建设，建立完善事故灾难和自然灾害分级应对制度，组织编制区级总体应急预案和安全生产类、自然灾害类专项预案，综合协调应急预案衔接工作，组织开展预案演练，推动应急重点工程和应急避难设施建设。</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牵头建立全区统一的应急管理信息系统，并与国家、省、市应急管理信息系统相衔接。负责信息传输渠道的规划和布局，组织协调建立监测预警和灾情报告制度，健全自然灾害信息资源获取和共享机制，依法统一发布灾情。</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组织指导协调安全生产类、自然灾害类等突发事件应急救援，综合研判突发事件发展态势并提出应对建议。按响应级别承担区级应对有关灾害指挥部工作，协助区委、区政府指定的负责同志组织有关灾害应急处置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建立应急协调联动机制，推进指挥平台对接，协调指挥各类应急专业队伍，衔接解放军和武警部队参与应急救援工作。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统筹应急救援力量建设，负责消防、森林和草原火灾扑救、抗洪抢险、地震和地质灾害救援等应急救援队伍协调调度，负责安全生产专业应急救援队伍建设，指导各街道及社会应急救援力量建设。</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指导城镇、农村、森林、草原消防工作规划编制并推进落实，协调指导森林草原火灾扑救工作。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指导协调森林和草原火灾、水旱灾害、地震和地质灾害等防治工作，负责自然灾害综合监测预警工作，指导开展自然灾害综合风险评估工作。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组织协调灾害救助工作，组织指导灾情核查、损失评估、救灾捐赠工作，管理、分配救灾款物并监督使用。</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lang w:eastAsia="zh-CN"/>
        </w:rPr>
        <w:t>依法行使安全生产综合监督管理职权，指导协调、监督检查区级有关部门和各街道办事处安全生产工作，组织开展安全生产巡查、考核工作。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lang w:eastAsia="zh-CN"/>
        </w:rPr>
        <w:t>按照分级、属地原则，依法监督检查工矿商贸生产经营单位贯彻执行安全生产法律法规情况及其安全生产条件，以及有关设备（特种设备除外）、材料、劳动防护用品的安全生产管理工作。负责监督管理工矿商贸行业企业安全生产工作。依法组织并指导监督实施安全生产准入制度。负责危险化学品安全监督管理综合工作和烟花爆竹安全生产监督管理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lang w:eastAsia="zh-CN"/>
        </w:rPr>
        <w:t>依法组织生产安全事故调查处理，监督事故查处和责任追究落实情况。组织协调开展自然灾害类突发事件的调查评估工作。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lang w:eastAsia="zh-CN"/>
        </w:rPr>
        <w:t>按照国家和省、市、区党委、政府的要求部署，开展应急管理方面的区域性交流与合作。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lang w:eastAsia="zh-CN"/>
        </w:rPr>
        <w:t>制定应急物资储备和应急救援装备规划并组织实施，会同区发展和改革局（区粮食和物资储备局）等部门建立健全应急物资信息平台和调拨制度，在救灾时统一调度。</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lang w:eastAsia="zh-CN"/>
        </w:rPr>
        <w:t>负责应急管理、安全生产宣传教育和培训工作，组织指导应急管理、安全生产相关科学技术的推广应用和信息化建设工作。</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lang w:eastAsia="zh-CN"/>
        </w:rPr>
        <w:t>完成区委、区政府和上级部门交办的其他任务。</w:t>
      </w:r>
    </w:p>
    <w:p>
      <w:pPr>
        <w:topLinePunct/>
        <w:spacing w:line="520" w:lineRule="exact"/>
        <w:ind w:firstLine="800" w:firstLineChars="25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lang w:eastAsia="zh-CN"/>
        </w:rPr>
        <w:t>职能转变。昆明市盘龙区应急管理局应加强、优化、统筹全区应急能力建设，构建统一领导、权责一致、权威高效的应急能力体系，推动形成统一指挥、专常兼备、反应灵敏、上下联动、平战结合的应急管理体制。</w:t>
      </w:r>
    </w:p>
    <w:p>
      <w:pPr>
        <w:spacing w:line="560" w:lineRule="exact"/>
        <w:ind w:firstLine="643" w:firstLineChars="200"/>
        <w:rPr>
          <w:rFonts w:hint="eastAsia" w:ascii="仿宋_GB2312" w:hAnsi="仿宋_GB2312" w:eastAsia="仿宋_GB2312" w:cs="仿宋_GB2312"/>
          <w:b/>
          <w:sz w:val="32"/>
          <w:szCs w:val="32"/>
          <w:lang w:eastAsia="zh-CN"/>
        </w:rPr>
      </w:pPr>
      <w:r>
        <w:rPr>
          <w:rFonts w:hint="eastAsia" w:ascii="仿宋_GB2312" w:hAnsi="仿宋_GB2312" w:eastAsia="仿宋_GB2312" w:cs="仿宋_GB2312"/>
          <w:b/>
          <w:sz w:val="32"/>
          <w:szCs w:val="32"/>
          <w:lang w:eastAsia="zh-CN"/>
        </w:rPr>
        <w:t>（三）部门工作完成情况</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1.加强组织领导，进一步落实安全生产责任</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年来，区政府共召开全区安全生产工作会议1次、安全生产专题会议6次；召开区政府常务会议6次，区委常委会议2次研究安全生产工作，出台了《关于推进防灾减灾救灾体制机制改革的实施意见》、《关于调整昆明市盘龙区安全生产委员会组成人员及成立安全生产行业监管指挥部的通知》，区政府常务会、区委常委会通报了2020年上半年、三季度安全生产工作情况；区委、区政府将安全生产监管职责写入区级部门“三定”职责，并将安全生产工作按部门4.0%、街道4.0%的权重纳入全区综合目标管理考核；区政府与12个街道、31家部门签订《2020年度安全生产和事故灾害应对目标管理责任书》（生产安全、道路交通、消防安全、事故灾害）。</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2.持续开展安全生产综合整治</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我区紧紧围绕安全工程三年行动计划，聚焦危险化学品、消防、道路交通、建筑施工等重点行业领域，深入开展安全生产集中整治、</w:t>
      </w:r>
      <w:r>
        <w:rPr>
          <w:rFonts w:hint="eastAsia" w:ascii="仿宋_GB2312" w:hAnsi="仿宋_GB2312" w:eastAsia="仿宋_GB2312" w:cs="仿宋_GB2312"/>
          <w:sz w:val="32"/>
          <w:szCs w:val="32"/>
          <w:lang w:val="zh-CN" w:eastAsia="zh-CN"/>
        </w:rPr>
        <w:t>“查灾害、除隐患”专项行动、</w:t>
      </w:r>
      <w:r>
        <w:rPr>
          <w:rFonts w:hint="eastAsia" w:ascii="仿宋_GB2312" w:hAnsi="仿宋_GB2312" w:eastAsia="仿宋_GB2312" w:cs="仿宋_GB2312"/>
          <w:sz w:val="32"/>
          <w:szCs w:val="32"/>
          <w:lang w:val="en-US" w:eastAsia="zh-CN"/>
        </w:rPr>
        <w:t>复工复产安全生产大检查等专项行动。</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3.做好重点时段安全生产工作</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lang w:val="en-US" w:eastAsia="zh-CN"/>
        </w:rPr>
        <w:t>2020年，我区突出抓好重点时段期间安全生产工作，全力做好全国“两会”</w:t>
      </w:r>
      <w:r>
        <w:rPr>
          <w:rFonts w:hint="eastAsia" w:ascii="仿宋_GB2312" w:hAnsi="仿宋_GB2312" w:eastAsia="仿宋_GB2312" w:cs="仿宋_GB2312"/>
          <w:sz w:val="32"/>
          <w:szCs w:val="32"/>
          <w:lang w:val="zh-CN" w:eastAsia="zh-CN"/>
        </w:rPr>
        <w:t>、春节、</w:t>
      </w:r>
      <w:r>
        <w:rPr>
          <w:rFonts w:hint="eastAsia" w:ascii="仿宋_GB2312" w:hAnsi="仿宋_GB2312" w:eastAsia="仿宋_GB2312" w:cs="仿宋_GB2312"/>
          <w:sz w:val="32"/>
          <w:szCs w:val="32"/>
          <w:lang w:val="en-US" w:eastAsia="zh-CN"/>
        </w:rPr>
        <w:t>春运、清明、五一、端午、森林防火、汛期、中秋、国庆、岁末年初等重点时段安全生产工作。其中重点做好疫情防控期间复工复产安全生产工作，区安委办先后开展了复工复产安全生产大检查，组织开展了“大风天气下安全隐患排查整治”、“电动自行车火灾隐患专项整治”、“非法违法“小化工”安全专项整治”、“秋冬季道路交通安全整治百日会战”等8个专项整治，确保了重点时段期间全区安全生产形势稳定。</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4.减灾救灾能力得到提升</w:t>
      </w:r>
    </w:p>
    <w:p>
      <w:pPr>
        <w:pStyle w:val="10"/>
        <w:keepNext w:val="0"/>
        <w:keepLines w:val="0"/>
        <w:pageBreakBefore w:val="0"/>
        <w:widowControl w:val="0"/>
        <w:kinsoku/>
        <w:wordWrap/>
        <w:overflowPunct/>
        <w:topLinePunct w:val="0"/>
        <w:autoSpaceDE/>
        <w:autoSpaceDN/>
        <w:bidi w:val="0"/>
        <w:adjustRightInd/>
        <w:snapToGrid/>
        <w:spacing w:line="560" w:lineRule="exact"/>
        <w:ind w:left="0" w:firstLine="634"/>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做好防疫救灾物资保障工作。2020年1月起，针对新冠病毒防控工作，区应急管理局第一时间调运区级救灾储备物资，配发至物资紧缺的单位和街道，及时调运帐篷、大衣、绒衣、棉被、毛毯、单人床等防疫救灾物资16种2509件套。</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做好受灾群众的救灾救济工作。及时分析自然灾害隐患，协调相关部门联合堪察灾情，评估损失，2020年，调拨区级储备救灾粮食89.20吨，发放冬春生活救助资金120余万元，共计救助5635人。收集旱灾统计情况，发放自然灾害救灾资金33.60万元，救助5599名受灾人员。</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大力开展防灾减灾宣传。5月12日，在奥斯迪购物中心广场开展了以“提升基层应急能力，筑牢防灾减灾救灾的人民防线”为主题的宣传活动，发放各类宣传物料2500余份，接待群众600余人；8月16日，在联盟街道颐华路社区组织开展了“2020年防灾减灾宣传教育活动”；10月13日，在联盟街道长寿路社区广场组织开展了“盘龙区2020年10·13国际减灾日宣传活动”。</w:t>
      </w:r>
    </w:p>
    <w:p>
      <w:pPr>
        <w:spacing w:line="560" w:lineRule="exact"/>
        <w:ind w:firstLine="643" w:firstLineChars="200"/>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（四）部门管理制度</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资产管理体制和制度建设方面。</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建立健全资产配置标准体系，资产配置标准是制定支出标准的基础和主要依据；在办公设备配置中也适用办公资产配置标准，主要包括办公设备和办公家具。配置标准包括单位价格和数量标准。</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运行机制和管理方式方面。</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完善工作流程和审核机制，研究和完善单位内部的职责分工和工作流程，实行固定资产专人负责，设立财务室出纳、会计以便更合理有效的使用资产，配置资产。</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信息化建设是提升我局工作层次，提高我局管理水平的重要途径。在资产管理中使用信息化管理，有利于使资产管理工作更加有效、快捷。在资产管理工作中，我局统一资产管理平台进行固定资产，在该平台上统一进行固定资产的新增、变动、报废等工作的开展。</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加强资产的管理工作</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加强学习。组织好相关人员认真学习好相关资产管理的制度，进一步认识到资产管理的重要性。</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加强管理。认真做好各项基础工作，明确资产管理责任机制，健全固定资产管理的工作流程，做到程序化、规范化。</w:t>
      </w:r>
    </w:p>
    <w:p>
      <w:pPr>
        <w:widowControl w:val="0"/>
        <w:spacing w:line="360" w:lineRule="auto"/>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严格审批。把单位的资产管理和财务管理、资产的价值管理和实物管理结合起来，真正发挥存量资金的效能。</w:t>
      </w:r>
    </w:p>
    <w:p>
      <w:pPr>
        <w:spacing w:line="560" w:lineRule="exact"/>
        <w:ind w:firstLine="643" w:firstLineChars="200"/>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（五）部门资金来源及使用情况</w:t>
      </w:r>
    </w:p>
    <w:p>
      <w:pPr>
        <w:widowControl w:val="0"/>
        <w:spacing w:line="360" w:lineRule="auto"/>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1.全年收入支出情况：昆明市盘龙区应急管理局2020年一般公共预算财政拨款792.95万元，非同级财政拨款21.44万元。2020年全年支出共813.58万元，其中基本支出381.00万元万元，项目支出432.58万元，其中安全生产监管工作经费144.73万元、应急管理工作经费12.68万元、自然灾害生活补助经费25.00万元、社区安全专干补助经费37.08万元、应急处置经费2.09万元、中央自然灾害生活补助131.86万元，地方自然灾害生活补助47.21万元，其他灾害防治及应急管理支出31.93万元。</w:t>
      </w:r>
    </w:p>
    <w:p>
      <w:pPr>
        <w:widowControl w:val="0"/>
        <w:spacing w:line="360" w:lineRule="auto"/>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2.“三公”经费支出情况：2020年度一般公共预算财政拨款“三公”经费支出预算为6.6万元，支出决算6.59万元。</w:t>
      </w:r>
    </w:p>
    <w:p>
      <w:pPr>
        <w:widowControl w:val="0"/>
        <w:spacing w:line="360" w:lineRule="auto"/>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3.会议费支出情况：2020年度会议经费支出预算为0万元，支出决算为0万元。</w:t>
      </w:r>
    </w:p>
    <w:p>
      <w:pPr>
        <w:widowControl w:val="0"/>
        <w:spacing w:line="360" w:lineRule="auto"/>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4.培训费支出情况：2020年度培训费支出预算为0万元，支出决算为0万元。</w:t>
      </w:r>
    </w:p>
    <w:p>
      <w:pPr>
        <w:pStyle w:val="2"/>
        <w:keepNext w:val="0"/>
        <w:keepLines w:val="0"/>
        <w:pageBreakBefore w:val="0"/>
        <w:widowControl w:val="0"/>
        <w:kinsoku/>
        <w:wordWrap/>
        <w:overflowPunct/>
        <w:topLinePunct w:val="0"/>
        <w:autoSpaceDE/>
        <w:autoSpaceDN/>
        <w:bidi w:val="0"/>
        <w:adjustRightInd/>
        <w:snapToGrid/>
        <w:ind w:left="0" w:leftChars="0" w:firstLine="643" w:firstLineChars="200"/>
        <w:textAlignment w:val="auto"/>
        <w:rPr>
          <w:rFonts w:hint="eastAsia" w:ascii="仿宋_GB2312" w:hAnsi="仿宋_GB2312" w:eastAsia="仿宋_GB2312" w:cs="仿宋_GB2312"/>
          <w:b/>
          <w:kern w:val="2"/>
          <w:sz w:val="32"/>
          <w:szCs w:val="32"/>
          <w:lang w:val="en-US" w:eastAsia="zh-CN" w:bidi="ar-SA"/>
        </w:rPr>
      </w:pPr>
      <w:r>
        <w:rPr>
          <w:rFonts w:hint="eastAsia" w:ascii="仿宋_GB2312" w:hAnsi="仿宋_GB2312" w:eastAsia="仿宋_GB2312" w:cs="仿宋_GB2312"/>
          <w:b/>
          <w:kern w:val="2"/>
          <w:sz w:val="32"/>
          <w:szCs w:val="32"/>
          <w:lang w:val="en-US" w:eastAsia="zh-CN" w:bidi="ar-SA"/>
        </w:rPr>
        <w:t>（六）政府采购情况</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2020年度昆明市盘龙区应急管理局无政府采购。</w:t>
      </w:r>
    </w:p>
    <w:p>
      <w:pPr>
        <w:pStyle w:val="2"/>
        <w:keepNext w:val="0"/>
        <w:keepLines w:val="0"/>
        <w:pageBreakBefore w:val="0"/>
        <w:widowControl w:val="0"/>
        <w:kinsoku/>
        <w:wordWrap/>
        <w:overflowPunct/>
        <w:topLinePunct w:val="0"/>
        <w:autoSpaceDE/>
        <w:autoSpaceDN/>
        <w:bidi w:val="0"/>
        <w:adjustRightInd/>
        <w:snapToGrid/>
        <w:ind w:left="0" w:leftChars="0" w:firstLine="643" w:firstLineChars="200"/>
        <w:textAlignment w:val="auto"/>
        <w:rPr>
          <w:rFonts w:hint="eastAsia" w:ascii="仿宋_GB2312" w:hAnsi="仿宋_GB2312" w:eastAsia="仿宋_GB2312" w:cs="仿宋_GB2312"/>
          <w:b/>
          <w:kern w:val="2"/>
          <w:sz w:val="32"/>
          <w:szCs w:val="32"/>
          <w:lang w:val="en-US" w:eastAsia="zh-CN" w:bidi="ar-SA"/>
        </w:rPr>
      </w:pPr>
      <w:r>
        <w:rPr>
          <w:rFonts w:hint="eastAsia" w:ascii="仿宋_GB2312" w:hAnsi="仿宋_GB2312" w:eastAsia="仿宋_GB2312" w:cs="仿宋_GB2312"/>
          <w:b/>
          <w:kern w:val="2"/>
          <w:sz w:val="32"/>
          <w:szCs w:val="32"/>
          <w:lang w:val="en-US" w:eastAsia="zh-CN" w:bidi="ar-SA"/>
        </w:rPr>
        <w:t>（七）固定资产情况</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2020年昆明市盘龙区应急管理局无新购入增固定资产，入库省厅划拨固定资产141.89万元，固定资产全年累计折旧93.89万元，年末固定资产余额65.67万元。</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二、绩效目标</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（一）部门总目标</w:t>
      </w:r>
    </w:p>
    <w:p>
      <w:pPr>
        <w:snapToGrid w:val="0"/>
        <w:spacing w:line="520" w:lineRule="exact"/>
        <w:ind w:firstLine="640" w:firstLineChars="200"/>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强化完成工作的动力，能够更清晰的界定工作内容与其需要达到的标准，强化自我认知与自我发展，使管理活动更加公平适宜，绩效目标管理更加明确。通过绩效评估，绩效跟踪，绩效评价结果运用等来激励和改进绩效工作，使其达到项目预期目标。</w:t>
      </w:r>
    </w:p>
    <w:p>
      <w:pPr>
        <w:spacing w:line="56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（二）部门项目具体计划目标</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通过一般行政管理事务项目实施，能有效减少盘龙区事故隐患的存在，对危及公众的隐患及时进行整治，从而提升全区安全环境，确保人民群众生命财产安全；能有效提高社区安全生产专干的待遇，充分调动安全生产监管工作积极性，充分体现责、权、利的平衡。</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2.通过中央自然灾害生活补助和地方自然灾害生活补助项目的实施，能够确保辖区内对遭受自然灾害的居民进行救助，营造经济稳定、社会和谐发展环境。</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三、评级思路和过程</w:t>
      </w:r>
    </w:p>
    <w:p>
      <w:pPr>
        <w:pStyle w:val="2"/>
        <w:keepNext w:val="0"/>
        <w:keepLines w:val="0"/>
        <w:pageBreakBefore w:val="0"/>
        <w:widowControl w:val="0"/>
        <w:kinsoku/>
        <w:wordWrap/>
        <w:overflowPunct/>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（一）评级思路：</w:t>
      </w:r>
      <w:r>
        <w:rPr>
          <w:rFonts w:hint="eastAsia" w:ascii="仿宋_GB2312" w:hAnsi="仿宋_GB2312" w:eastAsia="仿宋_GB2312" w:cs="仿宋_GB2312"/>
          <w:kern w:val="2"/>
          <w:sz w:val="32"/>
          <w:szCs w:val="32"/>
          <w:lang w:val="en-US" w:eastAsia="zh-CN" w:bidi="ar-SA"/>
        </w:rPr>
        <w:t>确认当年度部门整体支出的绩效目标→梳理部门内部管理制度及存量资源→分析确定当年度部门整体支出的评价重点→构建绩效评价指标体系。</w:t>
      </w:r>
    </w:p>
    <w:p>
      <w:pPr>
        <w:pStyle w:val="2"/>
        <w:keepNext w:val="0"/>
        <w:keepLines w:val="0"/>
        <w:pageBreakBefore w:val="0"/>
        <w:widowControl w:val="0"/>
        <w:kinsoku/>
        <w:wordWrap/>
        <w:overflowPunct/>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1.目标设定：绩效目标合理明确，目标依据是否充分，是否符合客观实际。</w:t>
      </w:r>
    </w:p>
    <w:p>
      <w:pPr>
        <w:pStyle w:val="2"/>
        <w:keepNext w:val="0"/>
        <w:keepLines w:val="0"/>
        <w:pageBreakBefore w:val="0"/>
        <w:widowControl w:val="0"/>
        <w:kinsoku/>
        <w:wordWrap/>
        <w:overflowPunct/>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2.预算执行：预算完成率，单位本年度预算完成数与预算数的比率。“三公经费”控制率，单位本年度“三公经费”实际支出数与上年支出数的比率。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3.预算管理：管理制度健全性，单位为加强预算管理、规范财务行为而制定的管理制度是否健全完整。预算信息公开，单位是否按照政府信息公开的有关规定公开相关预决算信息。</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4.资产管理：固定资产利用率，单位实际在用固定资产总额与所有固定资产总额的比率。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5.职责履行：实际完成率，单位履行职责而实际完成工作数与计划工作数的比率。</w:t>
      </w:r>
    </w:p>
    <w:p>
      <w:pPr>
        <w:pStyle w:val="2"/>
        <w:keepNext w:val="0"/>
        <w:keepLines w:val="0"/>
        <w:pageBreakBefore w:val="0"/>
        <w:widowControl w:val="0"/>
        <w:kinsoku/>
        <w:wordWrap/>
        <w:overflowPunct/>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6.履职效率：社会效益，部门履行职责对社会发展所带来的直接和间接影响。</w:t>
      </w:r>
    </w:p>
    <w:p>
      <w:pPr>
        <w:pStyle w:val="2"/>
        <w:keepNext w:val="0"/>
        <w:keepLines w:val="0"/>
        <w:pageBreakBefore w:val="0"/>
        <w:widowControl w:val="0"/>
        <w:kinsoku/>
        <w:wordWrap/>
        <w:overflowPunct/>
        <w:autoSpaceDE/>
        <w:autoSpaceDN/>
        <w:bidi w:val="0"/>
        <w:adjustRightInd/>
        <w:snapToGrid/>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（二）评价目的</w:t>
      </w:r>
    </w:p>
    <w:p>
      <w:pPr>
        <w:topLinePunct/>
        <w:spacing w:line="560" w:lineRule="exact"/>
        <w:ind w:firstLine="800" w:firstLineChars="25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通过收集昆明市盘龙区应急管理局基本情况、预算制定与明细、部门中长期规划目标及组织架构等信息，分析昆明市盘龙区应急管理局资源配置的合理性及中长期规划目标完成与履职情况，总结经验做法，找出预算绩效管理中的薄弱环节，提出改进建议，提高财政资金的使用效益。</w:t>
      </w:r>
    </w:p>
    <w:p>
      <w:pPr>
        <w:topLinePunct/>
        <w:spacing w:line="560" w:lineRule="exact"/>
        <w:ind w:firstLine="800" w:firstLineChars="25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绩效考核自评作为行政单位进行现代化管理的重要手段，不仅在一定程度上大大的提高了财政资金的行运效率，还进一步加强了政府对财政资金的宏观管理。</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（三）评价依据</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根据《盘龙区区级部门预算绩效自评管理暂行办法》及相关文件依据。</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（四）评级对象及评级时段</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评价2020年昆明市盘龙区应急管理局整体绩效</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四、评价结论和绩效分析</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1.评价结果</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本年度绩效自评综合得分92分，评价等次为优秀。</w:t>
      </w: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（二）具体绩效分析（见附表）</w:t>
      </w:r>
    </w:p>
    <w:p>
      <w:pPr>
        <w:topLinePunct/>
        <w:spacing w:line="560" w:lineRule="exact"/>
        <w:rPr>
          <w:rFonts w:ascii="仿宋" w:hAnsi="仿宋" w:eastAsia="仿宋"/>
          <w:sz w:val="32"/>
          <w:szCs w:val="32"/>
        </w:rPr>
      </w:pPr>
      <w:r>
        <w:rPr>
          <w:rFonts w:hint="eastAsia" w:ascii="仿宋" w:hAnsi="仿宋" w:eastAsia="仿宋"/>
          <w:sz w:val="32"/>
          <w:szCs w:val="32"/>
        </w:rPr>
        <w:t>附表:具体绩效分析</w:t>
      </w:r>
    </w:p>
    <w:tbl>
      <w:tblPr>
        <w:tblStyle w:val="6"/>
        <w:tblW w:w="10570" w:type="dxa"/>
        <w:tblInd w:w="-77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4"/>
        <w:gridCol w:w="143"/>
        <w:gridCol w:w="479"/>
        <w:gridCol w:w="600"/>
        <w:gridCol w:w="29"/>
        <w:gridCol w:w="105"/>
        <w:gridCol w:w="1159"/>
        <w:gridCol w:w="180"/>
        <w:gridCol w:w="1455"/>
        <w:gridCol w:w="270"/>
        <w:gridCol w:w="144"/>
        <w:gridCol w:w="1320"/>
        <w:gridCol w:w="148"/>
        <w:gridCol w:w="293"/>
        <w:gridCol w:w="127"/>
        <w:gridCol w:w="738"/>
        <w:gridCol w:w="240"/>
        <w:gridCol w:w="360"/>
        <w:gridCol w:w="94"/>
        <w:gridCol w:w="146"/>
        <w:gridCol w:w="8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仿宋_GB2312" w:eastAsia="仿宋_GB2312" w:cs="仿宋_GB2312"/>
                <w:b/>
                <w:color w:val="000000"/>
                <w:kern w:val="0"/>
                <w:sz w:val="24"/>
              </w:rPr>
            </w:pPr>
            <w:r>
              <w:rPr>
                <w:rFonts w:hint="eastAsia" w:ascii="黑体" w:hAnsi="黑体" w:eastAsia="黑体" w:cs="黑体"/>
                <w:b/>
                <w:color w:val="000000"/>
                <w:kern w:val="0"/>
                <w:sz w:val="24"/>
              </w:rPr>
              <w:t>一、部门（单位）基本概况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联系人</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eastAsia="zh-CN"/>
              </w:rPr>
            </w:pPr>
            <w:r>
              <w:rPr>
                <w:rFonts w:hint="eastAsia" w:ascii="仿宋_GB2312" w:hAnsi="黑体" w:eastAsia="仿宋_GB2312"/>
                <w:szCs w:val="32"/>
                <w:lang w:eastAsia="zh-CN"/>
              </w:rPr>
              <w:t>黄文华</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联络电话</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65632857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人员编制</w:t>
            </w:r>
          </w:p>
        </w:tc>
        <w:tc>
          <w:tcPr>
            <w:tcW w:w="3798"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19</w:t>
            </w:r>
          </w:p>
        </w:tc>
        <w:tc>
          <w:tcPr>
            <w:tcW w:w="3010" w:type="dxa"/>
            <w:gridSpan w:val="7"/>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实有人数</w:t>
            </w:r>
          </w:p>
        </w:tc>
        <w:tc>
          <w:tcPr>
            <w:tcW w:w="1446"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2"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职能职责概述</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rPr>
                <w:rFonts w:ascii="仿宋_GB2312" w:hAnsi="黑体" w:eastAsia="仿宋_GB2312"/>
                <w:szCs w:val="32"/>
              </w:rPr>
            </w:pPr>
            <w:r>
              <w:rPr>
                <w:rFonts w:hint="eastAsia" w:ascii="仿宋_GB2312" w:hAnsi="黑体" w:eastAsia="仿宋_GB2312"/>
                <w:szCs w:val="32"/>
              </w:rPr>
              <w:t>区应急管理局负责组织编制全区总体应急预案和安全生产类、自然灾害类专项预案，综合协调应急预案衔接工作，组织开展预案演练。按照分级负责的原则，指导自然灾害类应急救援；组织协调有关灾害应急救援工作，并按权限作出决定；按响应级别承担区级应对有关灾害指挥部工作，协助区委、区政府指定的负责同志组织有关灾害应急处置工作。组织编制综合减灾规划，指导协调相关部门森林和草原火灾、水旱灾害、地震和地质灾害等防治工作；会同区自然资源局（区林业和草原局）、区水务局、区气象局、区防震减灾局等部门建立统一的应急管理信息平台，建立监测预警和灾情报告制度，健全自然灾害信息资源获取和共享机制，依法统一发布灾情。开展多灾种和灾害链综合监测预警，指导开展自然灾害综合风险评估，发布森林和草原火险、火灾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23"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年度主要</w:t>
            </w:r>
          </w:p>
          <w:p>
            <w:pPr>
              <w:widowControl/>
              <w:spacing w:line="240" w:lineRule="exact"/>
              <w:jc w:val="center"/>
              <w:textAlignment w:val="center"/>
              <w:rPr>
                <w:rFonts w:ascii="仿宋_GB2312" w:hAnsi="黑体" w:eastAsia="仿宋_GB2312"/>
                <w:szCs w:val="32"/>
              </w:rPr>
            </w:pPr>
            <w:r>
              <w:rPr>
                <w:rFonts w:hint="eastAsia" w:ascii="仿宋_GB2312" w:hAnsi="黑体" w:eastAsia="仿宋_GB2312"/>
                <w:szCs w:val="32"/>
              </w:rPr>
              <w:t>工作内容</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textAlignment w:val="center"/>
              <w:rPr>
                <w:rFonts w:hint="eastAsia" w:ascii="仿宋_GB2312" w:hAnsi="黑体" w:eastAsia="仿宋_GB2312"/>
                <w:szCs w:val="32"/>
              </w:rPr>
            </w:pPr>
            <w:r>
              <w:rPr>
                <w:rFonts w:hint="eastAsia" w:ascii="仿宋_GB2312" w:hAnsi="黑体" w:eastAsia="仿宋_GB2312"/>
                <w:szCs w:val="32"/>
              </w:rPr>
              <w:t>（一）持续抓好“三个责任”落实。一是落实党政领导责任。二是落实部门监管责任。三是落实生产经营单位主体责任。</w:t>
            </w:r>
          </w:p>
          <w:p>
            <w:pPr>
              <w:widowControl/>
              <w:ind w:firstLine="420" w:firstLineChars="200"/>
              <w:jc w:val="left"/>
              <w:textAlignment w:val="center"/>
              <w:rPr>
                <w:rFonts w:hint="eastAsia" w:ascii="仿宋_GB2312" w:hAnsi="黑体" w:eastAsia="仿宋_GB2312"/>
                <w:szCs w:val="32"/>
              </w:rPr>
            </w:pPr>
            <w:r>
              <w:rPr>
                <w:rFonts w:hint="eastAsia" w:ascii="仿宋_GB2312" w:hAnsi="黑体" w:eastAsia="仿宋_GB2312"/>
                <w:szCs w:val="32"/>
              </w:rPr>
              <w:t>（二）强化重点工作。持续推动城市安全发展实施意见、安全生产领域改革发展的实施意见等重点工作持续开展。</w:t>
            </w:r>
          </w:p>
          <w:p>
            <w:pPr>
              <w:widowControl/>
              <w:ind w:firstLine="420" w:firstLineChars="200"/>
              <w:jc w:val="left"/>
              <w:textAlignment w:val="center"/>
              <w:rPr>
                <w:rFonts w:hint="eastAsia" w:ascii="仿宋_GB2312" w:hAnsi="黑体" w:eastAsia="仿宋_GB2312"/>
                <w:szCs w:val="32"/>
              </w:rPr>
            </w:pPr>
            <w:r>
              <w:rPr>
                <w:rFonts w:hint="eastAsia" w:ascii="仿宋_GB2312" w:hAnsi="黑体" w:eastAsia="仿宋_GB2312"/>
                <w:szCs w:val="32"/>
              </w:rPr>
              <w:t>（三）202</w:t>
            </w:r>
            <w:r>
              <w:rPr>
                <w:rFonts w:hint="eastAsia" w:ascii="仿宋_GB2312" w:hAnsi="黑体" w:eastAsia="仿宋_GB2312"/>
                <w:szCs w:val="32"/>
                <w:lang w:val="en-US" w:eastAsia="zh-CN"/>
              </w:rPr>
              <w:t>0</w:t>
            </w:r>
            <w:r>
              <w:rPr>
                <w:rFonts w:hint="eastAsia" w:ascii="仿宋_GB2312" w:hAnsi="黑体" w:eastAsia="仿宋_GB2312"/>
                <w:szCs w:val="32"/>
              </w:rPr>
              <w:t>年安全生产事故防范工作。各街道、各部门要做好取暖、用电、中毒、触电、坠落、淹溺、雷击、物体打击、燃气泄露、车辆碾压等意外事故的防范工作。</w:t>
            </w:r>
          </w:p>
          <w:p>
            <w:pPr>
              <w:widowControl/>
              <w:ind w:firstLine="420" w:firstLineChars="200"/>
              <w:jc w:val="left"/>
              <w:textAlignment w:val="center"/>
              <w:rPr>
                <w:rFonts w:hint="eastAsia" w:ascii="仿宋_GB2312" w:hAnsi="黑体" w:eastAsia="仿宋_GB2312"/>
                <w:szCs w:val="32"/>
              </w:rPr>
            </w:pPr>
            <w:r>
              <w:rPr>
                <w:rFonts w:hint="eastAsia" w:ascii="仿宋_GB2312" w:hAnsi="黑体" w:eastAsia="仿宋_GB2312"/>
                <w:szCs w:val="32"/>
              </w:rPr>
              <w:t>（四）做好自然灾害应对工作。各街道各部门要做好可能出现的低温、雨雪、冰冻、寒潮、大风等恶劣天气、森林火灾和地震等灾害的应对准备，加强巡查防守，完善应急预案，确保队伍、物资、装备和避难场所等准备到位，严防极端天气引发的次生事故灾害。</w:t>
            </w:r>
          </w:p>
          <w:p>
            <w:pPr>
              <w:widowControl/>
              <w:ind w:firstLine="420" w:firstLineChars="200"/>
              <w:jc w:val="left"/>
              <w:textAlignment w:val="center"/>
              <w:rPr>
                <w:rFonts w:ascii="仿宋_GB2312" w:hAnsi="黑体" w:eastAsia="仿宋_GB2312"/>
                <w:szCs w:val="32"/>
              </w:rPr>
            </w:pPr>
            <w:r>
              <w:rPr>
                <w:rFonts w:hint="eastAsia" w:ascii="仿宋_GB2312" w:hAnsi="黑体" w:eastAsia="仿宋_GB2312"/>
                <w:szCs w:val="32"/>
              </w:rPr>
              <w:t>（五）扎实推进盘龙区安全生产专项整治三年行动。聚焦危化品、工贸、消防、道路交通、城市建设等重点行业领域，治理一批重大事故隐患，严厉打击一批非法违法行为。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4" w:hRule="atLeast"/>
        </w:trPr>
        <w:tc>
          <w:tcPr>
            <w:tcW w:w="231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年度部门（单位）总运行情况及取得的成绩</w:t>
            </w:r>
          </w:p>
        </w:tc>
        <w:tc>
          <w:tcPr>
            <w:tcW w:w="8254" w:type="dxa"/>
            <w:gridSpan w:val="1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ind w:firstLine="420" w:firstLineChars="200"/>
              <w:jc w:val="left"/>
              <w:textAlignment w:val="center"/>
              <w:rPr>
                <w:rFonts w:hint="eastAsia" w:ascii="仿宋_GB2312" w:hAnsi="黑体" w:eastAsia="仿宋_GB2312" w:cs="Times New Roman"/>
                <w:szCs w:val="32"/>
                <w:lang w:eastAsia="zh-CN"/>
              </w:rPr>
            </w:pPr>
            <w:r>
              <w:rPr>
                <w:rFonts w:hint="eastAsia" w:ascii="仿宋_GB2312" w:hAnsi="黑体" w:eastAsia="仿宋_GB2312" w:cs="Times New Roman"/>
                <w:szCs w:val="32"/>
                <w:lang w:eastAsia="zh-CN"/>
              </w:rPr>
              <w:t>（一）加强组织领导，进一步落实安全生产责任；</w:t>
            </w:r>
          </w:p>
          <w:p>
            <w:pPr>
              <w:widowControl/>
              <w:ind w:firstLine="420" w:firstLineChars="200"/>
              <w:jc w:val="left"/>
              <w:textAlignment w:val="center"/>
              <w:rPr>
                <w:rFonts w:hint="eastAsia" w:ascii="仿宋_GB2312" w:hAnsi="黑体" w:eastAsia="仿宋_GB2312" w:cs="Times New Roman"/>
                <w:szCs w:val="32"/>
                <w:lang w:eastAsia="zh-CN"/>
              </w:rPr>
            </w:pPr>
            <w:r>
              <w:rPr>
                <w:rFonts w:hint="eastAsia" w:ascii="仿宋_GB2312" w:hAnsi="黑体" w:eastAsia="仿宋_GB2312" w:cs="Times New Roman"/>
                <w:szCs w:val="32"/>
                <w:lang w:eastAsia="zh-CN"/>
              </w:rPr>
              <w:t>（二）持续开安全生产综合整治；</w:t>
            </w:r>
          </w:p>
          <w:p>
            <w:pPr>
              <w:widowControl/>
              <w:ind w:firstLine="420" w:firstLineChars="200"/>
              <w:jc w:val="left"/>
              <w:textAlignment w:val="center"/>
              <w:rPr>
                <w:rFonts w:hint="eastAsia" w:ascii="仿宋_GB2312" w:hAnsi="黑体" w:eastAsia="仿宋_GB2312" w:cs="Times New Roman"/>
                <w:szCs w:val="32"/>
                <w:lang w:eastAsia="zh-CN"/>
              </w:rPr>
            </w:pPr>
            <w:r>
              <w:rPr>
                <w:rFonts w:hint="eastAsia" w:ascii="仿宋_GB2312" w:hAnsi="黑体" w:eastAsia="仿宋_GB2312" w:cs="Times New Roman"/>
                <w:szCs w:val="32"/>
                <w:lang w:eastAsia="zh-CN"/>
              </w:rPr>
              <w:t>（三）安全工程三年行动计划稳步进行；</w:t>
            </w:r>
          </w:p>
          <w:p>
            <w:pPr>
              <w:widowControl/>
              <w:ind w:firstLine="420" w:firstLineChars="200"/>
              <w:jc w:val="left"/>
              <w:textAlignment w:val="center"/>
              <w:rPr>
                <w:rFonts w:hint="eastAsia" w:ascii="仿宋_GB2312" w:hAnsi="黑体" w:eastAsia="仿宋_GB2312" w:cs="Times New Roman"/>
                <w:szCs w:val="32"/>
                <w:lang w:eastAsia="zh-CN"/>
              </w:rPr>
            </w:pPr>
            <w:r>
              <w:rPr>
                <w:rFonts w:hint="eastAsia" w:ascii="仿宋_GB2312" w:hAnsi="黑体" w:eastAsia="仿宋_GB2312" w:cs="Times New Roman"/>
                <w:szCs w:val="32"/>
                <w:lang w:eastAsia="zh-CN"/>
              </w:rPr>
              <w:t>（四）安全生产专项整治三年行动持续推进；</w:t>
            </w:r>
          </w:p>
          <w:p>
            <w:pPr>
              <w:widowControl/>
              <w:ind w:firstLine="420" w:firstLineChars="200"/>
              <w:jc w:val="left"/>
              <w:textAlignment w:val="center"/>
              <w:rPr>
                <w:rFonts w:hint="eastAsia" w:ascii="仿宋_GB2312" w:hAnsi="黑体" w:eastAsia="仿宋_GB2312" w:cs="Times New Roman"/>
                <w:szCs w:val="32"/>
                <w:lang w:eastAsia="zh-CN"/>
              </w:rPr>
            </w:pPr>
            <w:r>
              <w:rPr>
                <w:rFonts w:hint="eastAsia" w:ascii="仿宋_GB2312" w:hAnsi="黑体" w:eastAsia="仿宋_GB2312" w:cs="Times New Roman"/>
                <w:szCs w:val="32"/>
                <w:lang w:eastAsia="zh-CN"/>
              </w:rPr>
              <w:t>（五）应急处置初见成效；</w:t>
            </w:r>
          </w:p>
          <w:p>
            <w:pPr>
              <w:widowControl/>
              <w:ind w:firstLine="420" w:firstLineChars="200"/>
              <w:jc w:val="left"/>
              <w:textAlignment w:val="center"/>
              <w:rPr>
                <w:rFonts w:hint="eastAsia"/>
                <w:lang w:eastAsia="zh-CN"/>
              </w:rPr>
            </w:pPr>
            <w:r>
              <w:rPr>
                <w:rFonts w:hint="eastAsia" w:ascii="仿宋_GB2312" w:hAnsi="黑体" w:eastAsia="仿宋_GB2312" w:cs="Times New Roman"/>
                <w:szCs w:val="32"/>
                <w:lang w:eastAsia="zh-CN"/>
              </w:rPr>
              <w:t>（六）房间救灾能力得到提升。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二、部门（单位）收支情况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年度收入情况（万元）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1"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机构名称</w:t>
            </w:r>
          </w:p>
        </w:tc>
        <w:tc>
          <w:tcPr>
            <w:tcW w:w="1222" w:type="dxa"/>
            <w:gridSpan w:val="3"/>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收入合计</w:t>
            </w:r>
          </w:p>
        </w:tc>
        <w:tc>
          <w:tcPr>
            <w:tcW w:w="7654" w:type="dxa"/>
            <w:gridSpan w:val="17"/>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222" w:type="dxa"/>
            <w:gridSpan w:val="3"/>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上年结转</w:t>
            </w: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公共财政拨款</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政府基金拨款</w:t>
            </w: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纳入专户管理的非税收入拨款</w:t>
            </w: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其他收入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2"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eastAsia="zh-CN"/>
              </w:rPr>
            </w:pPr>
            <w:r>
              <w:rPr>
                <w:rFonts w:hint="eastAsia" w:ascii="仿宋_GB2312" w:hAnsi="黑体" w:eastAsia="仿宋_GB2312"/>
                <w:szCs w:val="32"/>
                <w:lang w:eastAsia="zh-CN"/>
              </w:rPr>
              <w:t>昆明市盘龙区应急管理局</w:t>
            </w:r>
          </w:p>
        </w:tc>
        <w:tc>
          <w:tcPr>
            <w:tcW w:w="1222" w:type="dxa"/>
            <w:gridSpan w:val="3"/>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left"/>
              <w:rPr>
                <w:rFonts w:hint="default" w:ascii="Arial" w:hAnsi="Arial" w:eastAsia="宋体" w:cs="Arial"/>
                <w:color w:val="000000"/>
                <w:sz w:val="20"/>
                <w:szCs w:val="20"/>
                <w:lang w:val="en-US" w:eastAsia="zh-CN"/>
              </w:rPr>
            </w:pPr>
            <w:r>
              <w:rPr>
                <w:rFonts w:hint="eastAsia" w:ascii="仿宋" w:hAnsi="仿宋" w:eastAsia="仿宋"/>
                <w:sz w:val="20"/>
                <w:szCs w:val="20"/>
                <w:highlight w:val="none"/>
                <w:lang w:val="en-US" w:eastAsia="zh-CN"/>
              </w:rPr>
              <w:t>936.41</w:t>
            </w:r>
          </w:p>
        </w:tc>
        <w:tc>
          <w:tcPr>
            <w:tcW w:w="1473" w:type="dxa"/>
            <w:gridSpan w:val="4"/>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122.01</w:t>
            </w:r>
          </w:p>
        </w:tc>
        <w:tc>
          <w:tcPr>
            <w:tcW w:w="1455"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hint="default" w:ascii="Arial" w:hAnsi="Arial" w:eastAsia="宋体" w:cs="Arial"/>
                <w:color w:val="000000"/>
                <w:sz w:val="20"/>
                <w:szCs w:val="20"/>
                <w:lang w:val="en-US" w:eastAsia="zh-CN"/>
              </w:rPr>
            </w:pPr>
            <w:r>
              <w:rPr>
                <w:rFonts w:hint="eastAsia" w:ascii="仿宋" w:hAnsi="仿宋" w:eastAsia="仿宋"/>
                <w:sz w:val="20"/>
                <w:szCs w:val="20"/>
                <w:highlight w:val="none"/>
                <w:lang w:val="en-US" w:eastAsia="zh-CN"/>
              </w:rPr>
              <w:t>792.95</w:t>
            </w:r>
          </w:p>
        </w:tc>
        <w:tc>
          <w:tcPr>
            <w:tcW w:w="1734"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textAlignment w:val="center"/>
              <w:rPr>
                <w:rFonts w:ascii="仿宋_GB2312" w:hAnsi="黑体" w:eastAsia="仿宋_GB2312"/>
                <w:szCs w:val="32"/>
              </w:rPr>
            </w:pPr>
          </w:p>
        </w:tc>
        <w:tc>
          <w:tcPr>
            <w:tcW w:w="1906"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086"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left"/>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21.44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lang w:eastAsia="zh-CN"/>
              </w:rPr>
              <w:t>昆明市盘龙区应急管理局</w:t>
            </w:r>
            <w:r>
              <w:rPr>
                <w:rFonts w:hint="eastAsia" w:ascii="仿宋_GB2312" w:hAnsi="黑体" w:eastAsia="仿宋_GB2312"/>
                <w:szCs w:val="32"/>
              </w:rPr>
              <w:t>年度支出和结余情况（万元）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napToGrid w:val="0"/>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支出合计</w:t>
            </w:r>
          </w:p>
        </w:tc>
        <w:tc>
          <w:tcPr>
            <w:tcW w:w="6528" w:type="dxa"/>
            <w:gridSpan w:val="13"/>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992"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结余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基本支出</w:t>
            </w:r>
          </w:p>
        </w:tc>
        <w:tc>
          <w:tcPr>
            <w:tcW w:w="3630"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1559"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项目支出</w:t>
            </w: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人员支出</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公用支出</w:t>
            </w:r>
          </w:p>
        </w:tc>
        <w:tc>
          <w:tcPr>
            <w:tcW w:w="1559"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992" w:type="dxa"/>
            <w:gridSpan w:val="2"/>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7"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lang w:eastAsia="zh-CN"/>
              </w:rPr>
              <w:t>昆明市盘龙区应急管理局</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both"/>
              <w:rPr>
                <w:rFonts w:hint="default" w:ascii="Arial" w:hAnsi="Arial" w:eastAsia="宋体" w:cs="Arial"/>
                <w:color w:val="000000"/>
                <w:sz w:val="20"/>
                <w:szCs w:val="20"/>
                <w:lang w:val="en-US" w:eastAsia="zh-CN"/>
              </w:rPr>
            </w:pPr>
            <w:r>
              <w:rPr>
                <w:rFonts w:hint="eastAsia" w:ascii="仿宋" w:hAnsi="仿宋" w:eastAsia="仿宋"/>
                <w:sz w:val="20"/>
                <w:szCs w:val="20"/>
                <w:highlight w:val="none"/>
                <w:lang w:val="en-US" w:eastAsia="zh-CN"/>
              </w:rPr>
              <w:t>813.58</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仿宋" w:hAnsi="仿宋" w:eastAsia="仿宋"/>
                <w:sz w:val="20"/>
                <w:szCs w:val="20"/>
                <w:highlight w:val="none"/>
                <w:lang w:val="en-US" w:eastAsia="zh-CN"/>
              </w:rPr>
              <w:t>381.00</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cs="Arial"/>
                <w:color w:val="000000"/>
                <w:sz w:val="20"/>
                <w:szCs w:val="20"/>
                <w:lang w:val="en-US"/>
              </w:rPr>
            </w:pPr>
            <w:r>
              <w:rPr>
                <w:rFonts w:hint="eastAsia" w:ascii="仿宋" w:hAnsi="仿宋" w:eastAsia="仿宋"/>
                <w:sz w:val="20"/>
                <w:szCs w:val="20"/>
                <w:highlight w:val="none"/>
                <w:lang w:val="en-US" w:eastAsia="zh-CN"/>
              </w:rPr>
              <w:t>342.20</w:t>
            </w:r>
          </w:p>
        </w:tc>
        <w:tc>
          <w:tcPr>
            <w:tcW w:w="1761"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仿宋" w:hAnsi="仿宋" w:eastAsia="仿宋"/>
                <w:sz w:val="20"/>
                <w:szCs w:val="20"/>
                <w:highlight w:val="none"/>
                <w:lang w:val="en-US" w:eastAsia="zh-CN"/>
              </w:rPr>
              <w:t>38.80</w:t>
            </w:r>
          </w:p>
        </w:tc>
        <w:tc>
          <w:tcPr>
            <w:tcW w:w="1559"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仿宋" w:hAnsi="仿宋" w:eastAsia="仿宋"/>
                <w:sz w:val="20"/>
                <w:szCs w:val="20"/>
                <w:highlight w:val="none"/>
                <w:lang w:val="en-US" w:eastAsia="zh-CN"/>
              </w:rPr>
              <w:t>432.58</w:t>
            </w:r>
          </w:p>
        </w:tc>
        <w:tc>
          <w:tcPr>
            <w:tcW w:w="992" w:type="dxa"/>
            <w:gridSpan w:val="2"/>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jc w:val="center"/>
              <w:rPr>
                <w:rFonts w:ascii="Arial" w:hAnsi="Arial" w:cs="Arial"/>
                <w:color w:val="000000"/>
                <w:sz w:val="20"/>
                <w:szCs w:val="20"/>
              </w:rPr>
            </w:pPr>
            <w:r>
              <w:rPr>
                <w:rFonts w:ascii="Arial" w:hAnsi="Arial" w:cs="Arial"/>
                <w:color w:val="000000"/>
                <w:sz w:val="20"/>
                <w:szCs w:val="20"/>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三公经费</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7520" w:type="dxa"/>
            <w:gridSpan w:val="1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公务接待费</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公务用车运维费</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公务用车购置费</w:t>
            </w: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因公出国费</w:t>
            </w: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会议费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lang w:eastAsia="zh-CN"/>
              </w:rPr>
              <w:t>昆明市盘龙区应急管理局</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6.59万元</w:t>
            </w:r>
          </w:p>
        </w:tc>
        <w:tc>
          <w:tcPr>
            <w:tcW w:w="1339" w:type="dxa"/>
            <w:gridSpan w:val="2"/>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0</w:t>
            </w:r>
          </w:p>
        </w:tc>
        <w:tc>
          <w:tcPr>
            <w:tcW w:w="1869"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6.59万元</w:t>
            </w:r>
          </w:p>
        </w:tc>
        <w:tc>
          <w:tcPr>
            <w:tcW w:w="1888" w:type="dxa"/>
            <w:gridSpan w:val="4"/>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val="en-US" w:eastAsia="zh-CN"/>
              </w:rPr>
            </w:pPr>
            <w:r>
              <w:rPr>
                <w:rFonts w:hint="eastAsia" w:ascii="仿宋_GB2312" w:hAnsi="黑体" w:eastAsia="仿宋_GB2312"/>
                <w:szCs w:val="32"/>
                <w:lang w:val="en-US" w:eastAsia="zh-CN"/>
              </w:rPr>
              <w:t>0</w:t>
            </w:r>
          </w:p>
        </w:tc>
        <w:tc>
          <w:tcPr>
            <w:tcW w:w="1578"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val="en-US" w:eastAsia="zh-CN"/>
              </w:rPr>
            </w:pPr>
            <w:r>
              <w:rPr>
                <w:rFonts w:hint="eastAsia" w:ascii="仿宋_GB2312" w:hAnsi="黑体" w:eastAsia="仿宋_GB2312"/>
                <w:szCs w:val="32"/>
                <w:lang w:val="en-US" w:eastAsia="zh-CN"/>
              </w:rPr>
              <w:t>0</w:t>
            </w: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val="en-US" w:eastAsia="zh-CN"/>
              </w:rPr>
            </w:pPr>
            <w:r>
              <w:rPr>
                <w:rFonts w:hint="eastAsia" w:ascii="仿宋_GB2312" w:hAnsi="黑体" w:eastAsia="仿宋_GB2312"/>
                <w:szCs w:val="32"/>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rPr>
                <w:rFonts w:ascii="仿宋_GB2312" w:hAnsi="黑体" w:eastAsia="仿宋_GB2312"/>
                <w:szCs w:val="32"/>
              </w:rPr>
            </w:pPr>
            <w:r>
              <w:rPr>
                <w:rFonts w:hint="eastAsia" w:ascii="仿宋_GB2312" w:hAnsi="黑体" w:eastAsia="仿宋_GB2312"/>
                <w:szCs w:val="32"/>
              </w:rPr>
              <w:t>机构名称</w:t>
            </w:r>
          </w:p>
        </w:tc>
        <w:tc>
          <w:tcPr>
            <w:tcW w:w="1356" w:type="dxa"/>
            <w:gridSpan w:val="5"/>
            <w:vMerge w:val="restart"/>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固定资产</w:t>
            </w:r>
          </w:p>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合计</w:t>
            </w:r>
          </w:p>
        </w:tc>
        <w:tc>
          <w:tcPr>
            <w:tcW w:w="6674" w:type="dxa"/>
            <w:gridSpan w:val="14"/>
            <w:tcBorders>
              <w:top w:val="single" w:color="000000" w:sz="4" w:space="0"/>
              <w:left w:val="single" w:color="auto"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其中：</w:t>
            </w:r>
          </w:p>
        </w:tc>
        <w:tc>
          <w:tcPr>
            <w:tcW w:w="846" w:type="dxa"/>
            <w:vMerge w:val="restart"/>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其他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356" w:type="dxa"/>
            <w:gridSpan w:val="5"/>
            <w:vMerge w:val="continue"/>
            <w:tcBorders>
              <w:top w:val="single" w:color="000000" w:sz="4" w:space="0"/>
              <w:left w:val="single" w:color="000000" w:sz="4" w:space="0"/>
              <w:bottom w:val="single" w:color="000000" w:sz="4" w:space="0"/>
              <w:right w:val="single" w:color="auto" w:sz="4" w:space="0"/>
            </w:tcBorders>
            <w:vAlign w:val="center"/>
          </w:tcPr>
          <w:p>
            <w:pPr>
              <w:widowControl/>
              <w:jc w:val="left"/>
              <w:rPr>
                <w:rFonts w:ascii="仿宋_GB2312" w:hAnsi="黑体" w:eastAsia="仿宋_GB2312"/>
                <w:szCs w:val="32"/>
              </w:rPr>
            </w:pP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在用固定资产</w:t>
            </w:r>
          </w:p>
        </w:tc>
        <w:tc>
          <w:tcPr>
            <w:tcW w:w="3466" w:type="dxa"/>
            <w:gridSpan w:val="9"/>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出租固定资产</w:t>
            </w:r>
          </w:p>
        </w:tc>
        <w:tc>
          <w:tcPr>
            <w:tcW w:w="846" w:type="dxa"/>
            <w:vMerge w:val="continue"/>
            <w:tcBorders>
              <w:top w:val="single" w:color="000000" w:sz="4" w:space="0"/>
              <w:left w:val="single" w:color="auto" w:sz="4" w:space="0"/>
              <w:bottom w:val="single" w:color="000000" w:sz="4" w:space="0"/>
              <w:right w:val="single" w:color="000000" w:sz="4" w:space="0"/>
            </w:tcBorders>
            <w:vAlign w:val="center"/>
          </w:tcPr>
          <w:p>
            <w:pPr>
              <w:widowControl/>
              <w:jc w:val="left"/>
              <w:rPr>
                <w:rFonts w:ascii="仿宋_GB2312" w:hAnsi="黑体" w:eastAsia="仿宋_GB231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694"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left"/>
              <w:rPr>
                <w:rFonts w:ascii="仿宋_GB2312" w:hAnsi="黑体" w:eastAsia="仿宋_GB2312"/>
                <w:szCs w:val="32"/>
              </w:rPr>
            </w:pPr>
            <w:r>
              <w:rPr>
                <w:rFonts w:hint="eastAsia" w:ascii="仿宋_GB2312" w:hAnsi="黑体" w:eastAsia="仿宋_GB2312"/>
                <w:szCs w:val="32"/>
                <w:lang w:eastAsia="zh-CN"/>
              </w:rPr>
              <w:t>昆明市盘龙区应急管理局</w:t>
            </w:r>
          </w:p>
        </w:tc>
        <w:tc>
          <w:tcPr>
            <w:tcW w:w="1356" w:type="dxa"/>
            <w:gridSpan w:val="5"/>
            <w:tcBorders>
              <w:top w:val="single" w:color="000000" w:sz="4" w:space="0"/>
              <w:left w:val="single" w:color="000000" w:sz="4" w:space="0"/>
              <w:bottom w:val="single" w:color="000000" w:sz="4" w:space="0"/>
              <w:right w:val="single" w:color="auto"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65.67万元</w:t>
            </w:r>
          </w:p>
        </w:tc>
        <w:tc>
          <w:tcPr>
            <w:tcW w:w="3208" w:type="dxa"/>
            <w:gridSpan w:val="5"/>
            <w:tcBorders>
              <w:top w:val="single" w:color="000000" w:sz="4" w:space="0"/>
              <w:left w:val="single" w:color="auto" w:sz="4" w:space="0"/>
              <w:bottom w:val="single" w:color="000000" w:sz="4" w:space="0"/>
              <w:right w:val="single" w:color="000000" w:sz="4" w:space="0"/>
            </w:tcBorders>
            <w:tcMar>
              <w:top w:w="0" w:type="dxa"/>
              <w:left w:w="15" w:type="dxa"/>
              <w:bottom w:w="0" w:type="dxa"/>
              <w:right w:w="15" w:type="dxa"/>
            </w:tcMar>
            <w:vAlign w:val="center"/>
          </w:tcPr>
          <w:p>
            <w:pPr>
              <w:jc w:val="center"/>
              <w:rPr>
                <w:rFonts w:hint="default" w:ascii="Arial" w:hAnsi="Arial" w:eastAsia="宋体" w:cs="Arial"/>
                <w:color w:val="000000"/>
                <w:sz w:val="20"/>
                <w:szCs w:val="20"/>
                <w:lang w:val="en-US" w:eastAsia="zh-CN"/>
              </w:rPr>
            </w:pPr>
            <w:r>
              <w:rPr>
                <w:rFonts w:hint="eastAsia" w:ascii="Arial" w:hAnsi="Arial" w:cs="Arial"/>
                <w:color w:val="000000"/>
                <w:sz w:val="20"/>
                <w:szCs w:val="20"/>
                <w:lang w:val="en-US" w:eastAsia="zh-CN"/>
              </w:rPr>
              <w:t>65.67万元</w:t>
            </w:r>
          </w:p>
        </w:tc>
        <w:tc>
          <w:tcPr>
            <w:tcW w:w="3466" w:type="dxa"/>
            <w:gridSpan w:val="9"/>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val="en-US" w:eastAsia="zh-CN"/>
              </w:rPr>
            </w:pPr>
            <w:r>
              <w:rPr>
                <w:rFonts w:hint="eastAsia" w:ascii="仿宋_GB2312" w:hAnsi="黑体" w:eastAsia="仿宋_GB2312"/>
                <w:szCs w:val="32"/>
                <w:lang w:val="en-US" w:eastAsia="zh-CN"/>
              </w:rPr>
              <w:t>0</w:t>
            </w:r>
          </w:p>
        </w:tc>
        <w:tc>
          <w:tcPr>
            <w:tcW w:w="846" w:type="dxa"/>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val="en-US" w:eastAsia="zh-CN"/>
              </w:rPr>
            </w:pPr>
            <w:r>
              <w:rPr>
                <w:rFonts w:hint="eastAsia" w:ascii="仿宋_GB2312" w:hAnsi="黑体" w:eastAsia="仿宋_GB2312"/>
                <w:szCs w:val="32"/>
                <w:lang w:val="en-US" w:eastAsia="zh-CN"/>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0570" w:type="dxa"/>
            <w:gridSpan w:val="2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三、部门（单位）整体支出绩效自评情况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837"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整体支出绩效定性目标及实施计划完成情况</w:t>
            </w: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预期目标</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实际完成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48" w:hRule="atLeast"/>
        </w:trPr>
        <w:tc>
          <w:tcPr>
            <w:tcW w:w="1837"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4277" w:type="dxa"/>
            <w:gridSpan w:val="8"/>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hint="default" w:ascii="仿宋_GB2312" w:hAnsi="黑体" w:eastAsia="仿宋_GB2312"/>
                <w:szCs w:val="32"/>
                <w:lang w:val="en-US" w:eastAsia="zh-CN"/>
              </w:rPr>
            </w:pPr>
            <w:r>
              <w:rPr>
                <w:rFonts w:hint="eastAsia" w:ascii="仿宋_GB2312" w:hAnsi="黑体" w:eastAsia="仿宋_GB2312"/>
                <w:szCs w:val="32"/>
              </w:rPr>
              <w:t>计划开展创新重点工作有：切实做好计划</w:t>
            </w:r>
            <w:r>
              <w:rPr>
                <w:rFonts w:hint="eastAsia" w:ascii="仿宋_GB2312" w:hAnsi="黑体" w:eastAsia="仿宋_GB2312"/>
                <w:szCs w:val="32"/>
                <w:lang w:val="en-US" w:eastAsia="zh-CN"/>
              </w:rPr>
              <w:t>按质按量完成我局行政管理工作；落实安全责任；开展安全生产集中整治；加强重点领域安全生产工作；迎接和开张安全生产检查。</w:t>
            </w:r>
          </w:p>
        </w:tc>
        <w:tc>
          <w:tcPr>
            <w:tcW w:w="4456" w:type="dxa"/>
            <w:gridSpan w:val="11"/>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hint="default" w:ascii="仿宋_GB2312" w:hAnsi="黑体" w:eastAsia="仿宋_GB2312"/>
                <w:szCs w:val="32"/>
                <w:lang w:val="en-US" w:eastAsia="zh-CN"/>
              </w:rPr>
            </w:pPr>
            <w:r>
              <w:rPr>
                <w:rFonts w:hint="eastAsia" w:ascii="仿宋_GB2312" w:hAnsi="黑体" w:eastAsia="仿宋_GB2312"/>
                <w:szCs w:val="32"/>
              </w:rPr>
              <w:t>统筹做好</w:t>
            </w:r>
            <w:r>
              <w:rPr>
                <w:rFonts w:hint="eastAsia" w:ascii="仿宋_GB2312" w:hAnsi="黑体" w:eastAsia="仿宋_GB2312"/>
                <w:szCs w:val="32"/>
                <w:lang w:val="en-US" w:eastAsia="zh-CN"/>
              </w:rPr>
              <w:t>行政管理工作；落实安全责任；开展安全生产集中整治；加强重点领域安全生产工作；迎接和开张安全生产检查。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8" w:hRule="atLeast"/>
        </w:trPr>
        <w:tc>
          <w:tcPr>
            <w:tcW w:w="1837"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整体支出绩效定量目标及实施计划完成情况</w:t>
            </w:r>
          </w:p>
        </w:tc>
        <w:tc>
          <w:tcPr>
            <w:tcW w:w="2372"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评价内容</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绩效内容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绩效目标值</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完成情况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产出目标</w:t>
            </w:r>
          </w:p>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restart"/>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质量指标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1.按文件规定审核审批各项经费；按标准发放、下拨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按要求下发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2.检查申请、审批资料，申请人员符合条件，申请、审批程序规范</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3.相关手续、单据、资料齐全</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按要求准备齐全</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按要求准备齐全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数量指标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textAlignment w:val="center"/>
              <w:rPr>
                <w:rFonts w:ascii="仿宋_GB2312" w:hAnsi="黑体" w:eastAsia="仿宋_GB2312"/>
                <w:szCs w:val="32"/>
              </w:rPr>
            </w:pPr>
            <w:r>
              <w:rPr>
                <w:rFonts w:hint="eastAsia" w:ascii="仿宋_GB2312" w:hAnsi="黑体" w:eastAsia="仿宋_GB2312"/>
                <w:szCs w:val="32"/>
              </w:rPr>
              <w:t>1.按年度计划完成</w:t>
            </w:r>
            <w:r>
              <w:rPr>
                <w:rFonts w:hint="eastAsia" w:ascii="仿宋_GB2312" w:hAnsi="黑体" w:eastAsia="仿宋_GB2312"/>
                <w:szCs w:val="32"/>
                <w:lang w:val="en-US" w:eastAsia="zh-CN"/>
              </w:rPr>
              <w:t>中央自然灾害生活救助资金</w:t>
            </w:r>
            <w:r>
              <w:rPr>
                <w:rFonts w:hint="eastAsia" w:ascii="仿宋_GB2312" w:hAnsi="黑体" w:eastAsia="仿宋_GB2312"/>
                <w:szCs w:val="32"/>
              </w:rPr>
              <w:t>发放工作等工作</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按相关文件及规定的要求完成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按相关文件及规定的要求完成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2.各类</w:t>
            </w:r>
            <w:r>
              <w:rPr>
                <w:rFonts w:hint="eastAsia" w:ascii="仿宋_GB2312" w:hAnsi="黑体" w:eastAsia="仿宋_GB2312"/>
                <w:szCs w:val="32"/>
                <w:lang w:val="en-US" w:eastAsia="zh-CN"/>
              </w:rPr>
              <w:t>灾害救助</w:t>
            </w:r>
            <w:r>
              <w:rPr>
                <w:rFonts w:hint="eastAsia" w:ascii="仿宋_GB2312" w:hAnsi="黑体" w:eastAsia="仿宋_GB2312"/>
                <w:szCs w:val="32"/>
              </w:rPr>
              <w:t>对象实际发放补贴人数和应该发放人数一致</w:t>
            </w:r>
          </w:p>
          <w:p>
            <w:pPr>
              <w:widowControl/>
              <w:spacing w:before="100" w:beforeAutospacing="1" w:after="100" w:afterAutospacing="1"/>
              <w:jc w:val="center"/>
              <w:textAlignment w:val="center"/>
              <w:rPr>
                <w:rFonts w:ascii="仿宋_GB2312" w:hAnsi="黑体" w:eastAsia="仿宋_GB2312"/>
                <w:szCs w:val="32"/>
              </w:rPr>
            </w:pP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一致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32"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时效指标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1.合理预算，安排好各项经费的计划，资金及时到位</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及时完成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left"/>
              <w:textAlignment w:val="center"/>
              <w:rPr>
                <w:rFonts w:ascii="仿宋_GB2312" w:hAnsi="黑体" w:eastAsia="仿宋_GB2312"/>
                <w:szCs w:val="32"/>
              </w:rPr>
            </w:pPr>
            <w:r>
              <w:rPr>
                <w:rFonts w:hint="eastAsia" w:ascii="仿宋_GB2312" w:hAnsi="黑体" w:eastAsia="仿宋_GB2312"/>
                <w:szCs w:val="32"/>
              </w:rPr>
              <w:t>2.及时审批并在规定时间发放完成</w:t>
            </w:r>
          </w:p>
        </w:tc>
        <w:tc>
          <w:tcPr>
            <w:tcW w:w="1158" w:type="dxa"/>
            <w:gridSpan w:val="3"/>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c>
          <w:tcPr>
            <w:tcW w:w="1686" w:type="dxa"/>
            <w:gridSpan w:val="5"/>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及时发放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restart"/>
            <w:tcBorders>
              <w:top w:val="single" w:color="000000" w:sz="4" w:space="0"/>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hint="eastAsia" w:ascii="仿宋_GB2312" w:hAnsi="黑体" w:eastAsia="仿宋_GB2312"/>
                <w:szCs w:val="32"/>
              </w:rPr>
            </w:pPr>
            <w:r>
              <w:rPr>
                <w:rFonts w:hint="eastAsia" w:ascii="仿宋_GB2312" w:hAnsi="黑体" w:eastAsia="仿宋_GB2312"/>
                <w:szCs w:val="32"/>
              </w:rPr>
              <w:t>成本指标</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default" w:ascii="仿宋_GB2312" w:hAnsi="黑体" w:eastAsia="仿宋_GB2312"/>
                <w:szCs w:val="32"/>
                <w:lang w:val="en-US" w:eastAsia="zh-CN"/>
              </w:rPr>
            </w:pPr>
            <w:r>
              <w:rPr>
                <w:rFonts w:hint="eastAsia" w:ascii="仿宋_GB2312" w:hAnsi="楷体" w:eastAsia="仿宋_GB2312"/>
                <w:szCs w:val="32"/>
                <w:lang w:val="en-US" w:eastAsia="zh-CN"/>
              </w:rPr>
              <w:t>安全生产监管工作经费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144.73万元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default" w:ascii="仿宋_GB2312" w:hAnsi="黑体" w:eastAsia="仿宋_GB2312"/>
                <w:szCs w:val="32"/>
                <w:lang w:val="en-US" w:eastAsia="zh-CN"/>
              </w:rPr>
            </w:pPr>
            <w:r>
              <w:rPr>
                <w:rFonts w:hint="eastAsia" w:ascii="仿宋_GB2312" w:hAnsi="楷体" w:eastAsia="仿宋_GB2312"/>
                <w:szCs w:val="32"/>
                <w:lang w:val="en-US" w:eastAsia="zh-CN"/>
              </w:rPr>
              <w:t>自然灾害生活补助经费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25万元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eastAsia" w:ascii="仿宋_GB2312" w:hAnsi="黑体" w:eastAsia="仿宋_GB2312"/>
                <w:szCs w:val="32"/>
                <w:lang w:eastAsia="zh-CN"/>
              </w:rPr>
            </w:pPr>
            <w:r>
              <w:rPr>
                <w:rFonts w:hint="eastAsia" w:ascii="仿宋_GB2312" w:hAnsi="黑体" w:eastAsia="仿宋_GB2312"/>
                <w:szCs w:val="32"/>
                <w:lang w:eastAsia="zh-CN"/>
              </w:rPr>
              <w:t>应急处置经费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2.09万元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shd w:val="clear" w:color="auto" w:fill="auto"/>
            <w:vAlign w:val="center"/>
          </w:tcPr>
          <w:p>
            <w:pPr>
              <w:widowControl/>
              <w:jc w:val="left"/>
              <w:rPr>
                <w:rFonts w:ascii="仿宋_GB2312" w:hAnsi="黑体" w:eastAsia="仿宋_GB2312"/>
                <w:szCs w:val="32"/>
              </w:rPr>
            </w:pPr>
          </w:p>
        </w:tc>
        <w:tc>
          <w:tcPr>
            <w:tcW w:w="1264" w:type="dxa"/>
            <w:gridSpan w:val="2"/>
            <w:vMerge w:val="continue"/>
            <w:tcBorders>
              <w:left w:val="single" w:color="000000" w:sz="4" w:space="0"/>
              <w:right w:val="single" w:color="000000" w:sz="4" w:space="0"/>
            </w:tcBorders>
            <w:shd w:val="clear" w:color="auto" w:fill="auto"/>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eastAsia" w:ascii="仿宋_GB2312" w:hAnsi="黑体" w:eastAsia="仿宋_GB2312"/>
                <w:szCs w:val="32"/>
                <w:lang w:eastAsia="zh-CN"/>
              </w:rPr>
            </w:pPr>
            <w:r>
              <w:rPr>
                <w:rFonts w:hint="eastAsia" w:ascii="仿宋_GB2312" w:hAnsi="黑体" w:eastAsia="仿宋_GB2312"/>
                <w:szCs w:val="32"/>
                <w:lang w:eastAsia="zh-CN"/>
              </w:rPr>
              <w:t>社区安全专干补助经费</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按规定完成</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hint="default" w:ascii="仿宋_GB2312" w:hAnsi="黑体" w:eastAsia="仿宋_GB2312"/>
                <w:szCs w:val="32"/>
                <w:lang w:val="en-US" w:eastAsia="zh-CN"/>
              </w:rPr>
            </w:pPr>
            <w:r>
              <w:rPr>
                <w:rFonts w:hint="eastAsia" w:ascii="仿宋_GB2312" w:hAnsi="黑体" w:eastAsia="仿宋_GB2312"/>
                <w:szCs w:val="32"/>
                <w:lang w:val="en-US" w:eastAsia="zh-CN"/>
              </w:rPr>
              <w:t>37.08万元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restart"/>
            <w:tcBorders>
              <w:top w:val="single" w:color="000000" w:sz="4" w:space="0"/>
              <w:left w:val="single" w:color="000000" w:sz="4" w:space="0"/>
              <w:right w:val="single" w:color="000000" w:sz="4" w:space="0"/>
            </w:tcBorders>
            <w:shd w:val="clear" w:color="auto" w:fill="auto"/>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效益目标</w:t>
            </w:r>
          </w:p>
          <w:p>
            <w:pPr>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（预期实现的效益）</w:t>
            </w:r>
          </w:p>
        </w:tc>
        <w:tc>
          <w:tcPr>
            <w:tcW w:w="1264" w:type="dxa"/>
            <w:gridSpan w:val="2"/>
            <w:vMerge w:val="restart"/>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hint="eastAsia" w:ascii="仿宋_GB2312" w:hAnsi="黑体" w:eastAsia="仿宋_GB2312"/>
                <w:szCs w:val="32"/>
              </w:rPr>
            </w:pPr>
            <w:r>
              <w:rPr>
                <w:rFonts w:hint="eastAsia" w:ascii="仿宋_GB2312" w:hAnsi="黑体" w:eastAsia="仿宋_GB2312"/>
                <w:szCs w:val="32"/>
              </w:rPr>
              <w:t>社会效益</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1.维护社会稳定、和谐，促进社会协调发展</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促进社会和谐稳定发展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p>
        </w:tc>
        <w:tc>
          <w:tcPr>
            <w:tcW w:w="1264" w:type="dxa"/>
            <w:gridSpan w:val="2"/>
            <w:vMerge w:val="continue"/>
            <w:tcBorders>
              <w:left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2各类</w:t>
            </w:r>
            <w:r>
              <w:rPr>
                <w:rFonts w:hint="eastAsia" w:ascii="仿宋_GB2312" w:hAnsi="黑体" w:eastAsia="仿宋_GB2312"/>
                <w:szCs w:val="32"/>
                <w:lang w:val="en-US" w:eastAsia="zh-CN"/>
              </w:rPr>
              <w:t>救助</w:t>
            </w:r>
            <w:r>
              <w:rPr>
                <w:rFonts w:hint="eastAsia" w:ascii="仿宋_GB2312" w:hAnsi="黑体" w:eastAsia="仿宋_GB2312"/>
                <w:szCs w:val="32"/>
              </w:rPr>
              <w:t>对象的基本生活得到改善</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改善部分群众生活，促进社会和谐发展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837" w:type="dxa"/>
            <w:gridSpan w:val="2"/>
            <w:vMerge w:val="continue"/>
            <w:tcBorders>
              <w:left w:val="single" w:color="000000" w:sz="4" w:space="0"/>
              <w:bottom w:val="single" w:color="000000" w:sz="4" w:space="0"/>
              <w:right w:val="single" w:color="000000" w:sz="4" w:space="0"/>
            </w:tcBorders>
            <w:vAlign w:val="center"/>
          </w:tcPr>
          <w:p>
            <w:pPr>
              <w:widowControl/>
              <w:jc w:val="left"/>
              <w:rPr>
                <w:rFonts w:ascii="仿宋_GB2312" w:hAnsi="黑体" w:eastAsia="仿宋_GB2312"/>
                <w:szCs w:val="32"/>
              </w:rPr>
            </w:pPr>
          </w:p>
        </w:tc>
        <w:tc>
          <w:tcPr>
            <w:tcW w:w="1108" w:type="dxa"/>
            <w:gridSpan w:val="3"/>
            <w:vMerge w:val="continue"/>
            <w:tcBorders>
              <w:left w:val="single" w:color="000000" w:sz="4" w:space="0"/>
              <w:right w:val="single" w:color="000000" w:sz="4" w:space="0"/>
            </w:tcBorders>
            <w:vAlign w:val="center"/>
          </w:tcPr>
          <w:p>
            <w:pPr>
              <w:widowControl/>
              <w:jc w:val="left"/>
              <w:rPr>
                <w:rFonts w:ascii="仿宋_GB2312" w:hAnsi="黑体" w:eastAsia="仿宋_GB2312"/>
                <w:szCs w:val="32"/>
              </w:rPr>
            </w:pPr>
          </w:p>
        </w:tc>
        <w:tc>
          <w:tcPr>
            <w:tcW w:w="1264" w:type="dxa"/>
            <w:gridSpan w:val="2"/>
            <w:tcBorders>
              <w:top w:val="single" w:color="000000" w:sz="4" w:space="0"/>
              <w:left w:val="single" w:color="000000" w:sz="4" w:space="0"/>
              <w:right w:val="single" w:color="000000" w:sz="4" w:space="0"/>
            </w:tcBorders>
            <w:shd w:val="clear" w:color="auto" w:fill="auto"/>
            <w:vAlign w:val="center"/>
          </w:tcPr>
          <w:p>
            <w:pPr>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社会公众或服务对象满意度</w:t>
            </w:r>
          </w:p>
        </w:tc>
        <w:tc>
          <w:tcPr>
            <w:tcW w:w="3517" w:type="dxa"/>
            <w:gridSpan w:val="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通过问卷调查，90%以上的服务对象对相关服务认可和满意</w:t>
            </w:r>
          </w:p>
        </w:tc>
        <w:tc>
          <w:tcPr>
            <w:tcW w:w="1158" w:type="dxa"/>
            <w:gridSpan w:val="3"/>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c>
          <w:tcPr>
            <w:tcW w:w="1686"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jc w:val="center"/>
              <w:textAlignment w:val="center"/>
              <w:rPr>
                <w:rFonts w:ascii="仿宋_GB2312" w:hAnsi="黑体" w:eastAsia="仿宋_GB2312"/>
                <w:szCs w:val="32"/>
              </w:rPr>
            </w:pPr>
            <w:r>
              <w:rPr>
                <w:rFonts w:hint="eastAsia" w:ascii="仿宋_GB2312" w:hAnsi="黑体" w:eastAsia="仿宋_GB2312"/>
                <w:szCs w:val="32"/>
              </w:rPr>
              <w:t>满意度达90%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绩效自评综合得分</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hint="eastAsia" w:ascii="仿宋_GB2312" w:hAnsi="黑体" w:eastAsia="仿宋_GB2312"/>
                <w:szCs w:val="32"/>
                <w:lang w:eastAsia="zh-CN"/>
              </w:rPr>
            </w:pPr>
            <w:r>
              <w:rPr>
                <w:rFonts w:hint="eastAsia" w:ascii="仿宋_GB2312" w:hAnsi="黑体" w:eastAsia="仿宋_GB2312"/>
                <w:szCs w:val="32"/>
              </w:rPr>
              <w:t>9</w:t>
            </w:r>
            <w:r>
              <w:rPr>
                <w:rFonts w:hint="eastAsia" w:ascii="仿宋_GB2312" w:hAnsi="黑体" w:eastAsia="仿宋_GB2312"/>
                <w:szCs w:val="32"/>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2945" w:type="dxa"/>
            <w:gridSpan w:val="5"/>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评价等次</w:t>
            </w:r>
          </w:p>
        </w:tc>
        <w:tc>
          <w:tcPr>
            <w:tcW w:w="7625" w:type="dxa"/>
            <w:gridSpan w:val="16"/>
            <w:tcBorders>
              <w:top w:val="single" w:color="000000" w:sz="4" w:space="0"/>
              <w:left w:val="single" w:color="000000" w:sz="4" w:space="0"/>
              <w:bottom w:val="single" w:color="000000" w:sz="4" w:space="0"/>
              <w:right w:val="single" w:color="000000" w:sz="4" w:space="0"/>
            </w:tcBorders>
            <w:tcMar>
              <w:top w:w="0" w:type="dxa"/>
              <w:left w:w="15" w:type="dxa"/>
              <w:bottom w:w="0" w:type="dxa"/>
              <w:right w:w="15" w:type="dxa"/>
            </w:tcMar>
            <w:vAlign w:val="center"/>
          </w:tcPr>
          <w:p>
            <w:pPr>
              <w:widowControl/>
              <w:spacing w:before="100" w:beforeAutospacing="1" w:after="100" w:afterAutospacing="1" w:line="320" w:lineRule="exact"/>
              <w:jc w:val="center"/>
              <w:textAlignment w:val="center"/>
              <w:rPr>
                <w:rFonts w:ascii="仿宋_GB2312" w:hAnsi="黑体" w:eastAsia="仿宋_GB2312"/>
                <w:szCs w:val="32"/>
              </w:rPr>
            </w:pPr>
            <w:r>
              <w:rPr>
                <w:rFonts w:hint="eastAsia" w:ascii="仿宋_GB2312" w:hAnsi="黑体" w:eastAsia="仿宋_GB2312"/>
                <w:szCs w:val="32"/>
              </w:rPr>
              <w:t>优秀</w:t>
            </w:r>
          </w:p>
        </w:tc>
      </w:tr>
    </w:tbl>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五、主要经验做法</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ascii="仿宋" w:hAnsi="仿宋" w:eastAsia="仿宋"/>
          <w:sz w:val="32"/>
          <w:szCs w:val="32"/>
        </w:rPr>
      </w:pPr>
      <w:r>
        <w:rPr>
          <w:rFonts w:ascii="仿宋" w:hAnsi="仿宋" w:eastAsia="仿宋"/>
          <w:sz w:val="32"/>
          <w:szCs w:val="32"/>
        </w:rPr>
        <w:t>我单位依照专项资金管理办法，严格遵循专款专用、独立核算的管理原则。专项项目的申报严格按照财政资金管理的要求进行，专项资金财政拨款后及时进行了项目开展和资金投入。我单位目前对资金的管理按照项目涉及的经济科目规定，根据财务管理办法的相关制度执行。树立全局思维和底线思维，统筹年度重点项目建设工作。</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六、存在的问题</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sz w:val="32"/>
          <w:szCs w:val="32"/>
          <w:lang w:eastAsia="zh-CN"/>
        </w:rPr>
      </w:pPr>
      <w:r>
        <w:rPr>
          <w:rFonts w:hint="eastAsia" w:ascii="仿宋" w:hAnsi="仿宋" w:eastAsia="仿宋"/>
          <w:sz w:val="32"/>
          <w:szCs w:val="32"/>
        </w:rPr>
        <w:t>今年在整个绩效目标执行过程中，能严格按照绩效管理有关规定和实现目标要求定期分析实施进程和实现进度，查找问题，加强管理。确保绩效目标的实现</w:t>
      </w:r>
      <w:r>
        <w:rPr>
          <w:rFonts w:hint="eastAsia" w:ascii="仿宋" w:hAnsi="仿宋" w:eastAsia="仿宋"/>
          <w:sz w:val="32"/>
          <w:szCs w:val="32"/>
          <w:lang w:eastAsia="zh-CN"/>
        </w:rPr>
        <w:t>，</w:t>
      </w:r>
      <w:r>
        <w:rPr>
          <w:rFonts w:hint="eastAsia" w:ascii="仿宋" w:hAnsi="仿宋" w:eastAsia="仿宋"/>
          <w:sz w:val="32"/>
          <w:szCs w:val="32"/>
        </w:rPr>
        <w:t>但还存在部分经费</w:t>
      </w:r>
      <w:r>
        <w:rPr>
          <w:rFonts w:hint="eastAsia" w:ascii="仿宋" w:hAnsi="仿宋" w:eastAsia="仿宋"/>
          <w:sz w:val="32"/>
          <w:szCs w:val="32"/>
          <w:lang w:val="en-US" w:eastAsia="zh-CN"/>
        </w:rPr>
        <w:t>发放迟缓的情况</w:t>
      </w:r>
      <w:r>
        <w:rPr>
          <w:rFonts w:hint="eastAsia" w:ascii="仿宋" w:hAnsi="仿宋" w:eastAsia="仿宋"/>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ascii="仿宋" w:hAnsi="仿宋" w:eastAsia="仿宋"/>
          <w:sz w:val="32"/>
          <w:szCs w:val="32"/>
        </w:rPr>
      </w:pPr>
      <w:r>
        <w:rPr>
          <w:rFonts w:hint="eastAsia" w:ascii="仿宋" w:hAnsi="仿宋" w:eastAsia="仿宋"/>
          <w:sz w:val="32"/>
          <w:szCs w:val="32"/>
          <w:lang w:val="en-US" w:eastAsia="zh-CN"/>
        </w:rPr>
        <w:t>七</w:t>
      </w:r>
      <w:r>
        <w:rPr>
          <w:rFonts w:hint="eastAsia" w:ascii="仿宋" w:hAnsi="仿宋" w:eastAsia="仿宋"/>
          <w:sz w:val="32"/>
          <w:szCs w:val="32"/>
        </w:rPr>
        <w:t>、改进措施及建议</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今后我单位将健全预算执行进度和考核机制，加强与</w:t>
      </w:r>
      <w:r>
        <w:rPr>
          <w:rFonts w:hint="eastAsia" w:ascii="仿宋" w:hAnsi="仿宋" w:eastAsia="仿宋"/>
          <w:sz w:val="32"/>
          <w:szCs w:val="32"/>
          <w:lang w:val="en-US" w:eastAsia="zh-CN"/>
        </w:rPr>
        <w:t>拨款部门、</w:t>
      </w:r>
      <w:r>
        <w:rPr>
          <w:rFonts w:hint="eastAsia" w:ascii="仿宋" w:hAnsi="仿宋" w:eastAsia="仿宋"/>
          <w:sz w:val="32"/>
          <w:szCs w:val="32"/>
        </w:rPr>
        <w:t>本级财政的沟通，达到经费下拨</w:t>
      </w:r>
      <w:r>
        <w:rPr>
          <w:rFonts w:hint="eastAsia" w:ascii="仿宋" w:hAnsi="仿宋" w:eastAsia="仿宋"/>
          <w:sz w:val="32"/>
          <w:szCs w:val="32"/>
          <w:lang w:val="en-US" w:eastAsia="zh-CN"/>
        </w:rPr>
        <w:t>快速的效果</w:t>
      </w:r>
      <w:r>
        <w:rPr>
          <w:rFonts w:hint="eastAsia" w:ascii="仿宋" w:hAnsi="仿宋" w:eastAsia="仿宋"/>
          <w:sz w:val="32"/>
          <w:szCs w:val="32"/>
        </w:rPr>
        <w:t>以便更好的提高资金使用效率。</w:t>
      </w:r>
    </w:p>
    <w:p>
      <w:pPr>
        <w:pStyle w:val="2"/>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八、绩效评价结果应用</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作为编制安排下年度财政预算的参考依据，根据绩效评估结果及时调整和优化预算支出的方向、结构，合理配置资源，提高财政资金的使用效益。</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sz w:val="32"/>
          <w:szCs w:val="32"/>
          <w:lang w:val="en-US" w:eastAsia="zh-CN"/>
        </w:rPr>
        <w:t>2.</w:t>
      </w:r>
      <w:bookmarkStart w:id="0" w:name="_GoBack"/>
      <w:bookmarkEnd w:id="0"/>
      <w:r>
        <w:rPr>
          <w:rFonts w:hint="eastAsia" w:ascii="仿宋" w:hAnsi="仿宋" w:eastAsia="仿宋"/>
          <w:sz w:val="32"/>
          <w:szCs w:val="32"/>
        </w:rPr>
        <w:t>作为公众监督部门履职的工具，一是公众将绩效评估结果与其所了解的部门工作性质、服务情况相比较，监督部门绩效评估结果的真实性，二是公众根据部门提供的绩效整改措施及绩效设定目标来监督部门实际绩效是否达到标准。</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仿宋" w:hAnsi="仿宋" w:eastAsia="仿宋"/>
          <w:sz w:val="32"/>
          <w:szCs w:val="32"/>
          <w:lang w:val="en-US" w:eastAsia="zh-CN"/>
        </w:rPr>
      </w:pPr>
      <w:r>
        <w:rPr>
          <w:rFonts w:hint="default" w:ascii="仿宋" w:hAnsi="仿宋" w:eastAsia="仿宋"/>
          <w:sz w:val="32"/>
          <w:szCs w:val="32"/>
          <w:lang w:val="en-US" w:eastAsia="zh-CN"/>
        </w:rPr>
        <w:t>今后，我局将严格按照有关预算执行进度的要求，合理计划和申报预算资金，提高财政资金使用效率，加强预算支出管理，确保实现财政预算支出的效率性和效益性</w:t>
      </w:r>
      <w:r>
        <w:rPr>
          <w:rFonts w:hint="eastAsia" w:ascii="仿宋" w:hAnsi="仿宋" w:eastAsia="仿宋"/>
          <w:sz w:val="32"/>
          <w:szCs w:val="32"/>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fldChar w:fldCharType="begin"/>
    </w:r>
    <w:r>
      <w:instrText xml:space="preserve"> PAGE   \* MERGEFORMAT </w:instrText>
    </w:r>
    <w:r>
      <w:fldChar w:fldCharType="separate"/>
    </w:r>
    <w:r>
      <w:rPr>
        <w:lang w:val="zh-CN"/>
      </w:rPr>
      <w:t>39</w: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56233D"/>
    <w:rsid w:val="023E4B12"/>
    <w:rsid w:val="03301754"/>
    <w:rsid w:val="03394138"/>
    <w:rsid w:val="0356233D"/>
    <w:rsid w:val="04BF0935"/>
    <w:rsid w:val="0FD05ADF"/>
    <w:rsid w:val="0FDA24D9"/>
    <w:rsid w:val="1065140F"/>
    <w:rsid w:val="111E6063"/>
    <w:rsid w:val="129B4FCD"/>
    <w:rsid w:val="1453143B"/>
    <w:rsid w:val="14D866EE"/>
    <w:rsid w:val="231257BD"/>
    <w:rsid w:val="23A8465C"/>
    <w:rsid w:val="2DF23415"/>
    <w:rsid w:val="2FD17768"/>
    <w:rsid w:val="3076175E"/>
    <w:rsid w:val="3D00204A"/>
    <w:rsid w:val="4140284D"/>
    <w:rsid w:val="414A69EF"/>
    <w:rsid w:val="43A1125F"/>
    <w:rsid w:val="47394C8C"/>
    <w:rsid w:val="4B171E7C"/>
    <w:rsid w:val="4CAC7C99"/>
    <w:rsid w:val="4CE7141E"/>
    <w:rsid w:val="4EA80A3B"/>
    <w:rsid w:val="50943EB5"/>
    <w:rsid w:val="57293FB5"/>
    <w:rsid w:val="5C6728FF"/>
    <w:rsid w:val="62A0739C"/>
    <w:rsid w:val="65252D4F"/>
    <w:rsid w:val="66063E95"/>
    <w:rsid w:val="667A7A61"/>
    <w:rsid w:val="6C052F9D"/>
    <w:rsid w:val="7348682C"/>
    <w:rsid w:val="77237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Body Text First Indent 21"/>
    <w:basedOn w:val="1"/>
    <w:qFormat/>
    <w:uiPriority w:val="99"/>
    <w:pPr>
      <w:ind w:left="420" w:leftChars="200" w:firstLine="420" w:firstLineChars="200"/>
    </w:pPr>
    <w:rPr>
      <w:rFonts w:ascii="Calibri" w:hAnsi="Calibri" w:eastAsia="宋体"/>
      <w:sz w:val="21"/>
    </w:rPr>
  </w:style>
  <w:style w:type="paragraph" w:styleId="4">
    <w:name w:val="footer"/>
    <w:basedOn w:val="1"/>
    <w:unhideWhenUsed/>
    <w:qFormat/>
    <w:uiPriority w:val="99"/>
    <w:pPr>
      <w:tabs>
        <w:tab w:val="center" w:pos="4153"/>
        <w:tab w:val="right" w:pos="8306"/>
      </w:tabs>
      <w:snapToGrid w:val="0"/>
      <w:jc w:val="left"/>
    </w:pPr>
    <w:rPr>
      <w:kern w:val="0"/>
      <w:sz w:val="18"/>
      <w:szCs w:val="18"/>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8">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9">
    <w:name w:val="TOC 标题1"/>
    <w:basedOn w:val="3"/>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paragraph" w:customStyle="1" w:styleId="10">
    <w:name w:val="Normal Indent1"/>
    <w:basedOn w:val="1"/>
    <w:qFormat/>
    <w:uiPriority w:val="0"/>
    <w:pPr>
      <w:ind w:firstLine="420" w:firstLineChars="200"/>
    </w:pPr>
    <w:rPr>
      <w:rFonts w:eastAsia="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2</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2021-05-25T02:02:00Z</dcterms:created>
  <dc:creator>PL应急局</dc:creator>
  <cp:lastModifiedBy>PL应急局</cp:lastModifiedBy>
  <cp:lastPrinted>2021-05-31T00:55:00Z</cp:lastPrinted>
  <dcterms:modified xsi:type="dcterms:W3CDTF">2021-06-08T05:00:12Z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78C999382E124A9C9BB426227C82E36D</vt:lpwstr>
  </property>
</Properties>
</file>