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line="560" w:lineRule="exact"/>
        <w:jc w:val="center"/>
        <w:rPr>
          <w:rStyle w:val="9"/>
          <w:rFonts w:hint="eastAsia" w:ascii="方正小标宋简体" w:hAnsi="微软雅黑" w:eastAsia="方正小标宋简体" w:cs="微软雅黑"/>
          <w:color w:val="606060"/>
          <w:spacing w:val="8"/>
          <w:sz w:val="44"/>
          <w:szCs w:val="44"/>
        </w:rPr>
      </w:pPr>
      <w:r>
        <w:rPr>
          <w:rStyle w:val="9"/>
          <w:rFonts w:hint="eastAsia" w:ascii="方正小标宋简体" w:hAnsi="微软雅黑" w:eastAsia="方正小标宋简体" w:cs="微软雅黑"/>
          <w:color w:val="606060"/>
          <w:spacing w:val="8"/>
          <w:sz w:val="44"/>
          <w:szCs w:val="44"/>
        </w:rPr>
        <w:t>昆明市盘龙区卫生健康局</w:t>
      </w:r>
    </w:p>
    <w:p>
      <w:pPr>
        <w:pStyle w:val="5"/>
        <w:widowControl/>
        <w:spacing w:line="560" w:lineRule="exact"/>
        <w:jc w:val="center"/>
        <w:rPr>
          <w:rFonts w:ascii="方正小标宋简体" w:hAnsi="微软雅黑" w:eastAsia="方正小标宋简体" w:cs="微软雅黑"/>
          <w:b/>
          <w:color w:val="606060"/>
          <w:spacing w:val="8"/>
          <w:sz w:val="44"/>
          <w:szCs w:val="44"/>
        </w:rPr>
      </w:pPr>
      <w:r>
        <w:rPr>
          <w:rStyle w:val="9"/>
          <w:rFonts w:hint="eastAsia" w:ascii="方正小标宋简体" w:hAnsi="微软雅黑" w:eastAsia="方正小标宋简体" w:cs="微软雅黑"/>
          <w:color w:val="606060"/>
          <w:spacing w:val="8"/>
          <w:sz w:val="44"/>
          <w:szCs w:val="44"/>
        </w:rPr>
        <w:t>20</w:t>
      </w:r>
      <w:r>
        <w:rPr>
          <w:rStyle w:val="9"/>
          <w:rFonts w:hint="eastAsia" w:ascii="方正小标宋简体" w:hAnsi="微软雅黑" w:eastAsia="方正小标宋简体" w:cs="微软雅黑"/>
          <w:color w:val="606060"/>
          <w:spacing w:val="8"/>
          <w:sz w:val="44"/>
          <w:szCs w:val="44"/>
          <w:lang w:val="en-US" w:eastAsia="zh-CN"/>
        </w:rPr>
        <w:t>20</w:t>
      </w:r>
      <w:r>
        <w:rPr>
          <w:rStyle w:val="9"/>
          <w:rFonts w:hint="eastAsia" w:ascii="方正小标宋简体" w:hAnsi="微软雅黑" w:eastAsia="方正小标宋简体" w:cs="微软雅黑"/>
          <w:color w:val="606060"/>
          <w:spacing w:val="8"/>
          <w:sz w:val="44"/>
          <w:szCs w:val="44"/>
        </w:rPr>
        <w:t>年度政府信息公开工作年度报告</w:t>
      </w:r>
    </w:p>
    <w:p>
      <w:pPr>
        <w:pStyle w:val="5"/>
        <w:widowControl/>
        <w:spacing w:line="560" w:lineRule="exact"/>
        <w:jc w:val="both"/>
        <w:rPr>
          <w:rStyle w:val="9"/>
          <w:rFonts w:ascii="黑体" w:hAnsi="黑体" w:eastAsia="黑体" w:cs="微软雅黑"/>
          <w:color w:val="606060"/>
          <w:spacing w:val="8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606060"/>
          <w:spacing w:val="8"/>
          <w:sz w:val="27"/>
          <w:szCs w:val="27"/>
        </w:rPr>
        <w:t>　</w:t>
      </w:r>
      <w:r>
        <w:rPr>
          <w:rFonts w:hint="eastAsia" w:ascii="黑体" w:hAnsi="黑体" w:eastAsia="黑体" w:cs="微软雅黑"/>
          <w:color w:val="606060"/>
          <w:spacing w:val="8"/>
          <w:sz w:val="32"/>
          <w:szCs w:val="32"/>
        </w:rPr>
        <w:t>　</w:t>
      </w:r>
      <w:r>
        <w:rPr>
          <w:rStyle w:val="9"/>
          <w:rFonts w:hint="eastAsia" w:ascii="黑体" w:hAnsi="黑体" w:eastAsia="黑体" w:cs="微软雅黑"/>
          <w:color w:val="606060"/>
          <w:spacing w:val="8"/>
          <w:sz w:val="32"/>
          <w:szCs w:val="32"/>
        </w:rPr>
        <w:t>一、总体情况</w:t>
      </w:r>
    </w:p>
    <w:p>
      <w:pPr>
        <w:pStyle w:val="5"/>
        <w:widowControl/>
        <w:spacing w:line="560" w:lineRule="exact"/>
        <w:jc w:val="both"/>
        <w:rPr>
          <w:rFonts w:ascii="微软雅黑" w:hAnsi="微软雅黑" w:eastAsia="微软雅黑" w:cs="微软雅黑"/>
          <w:b/>
          <w:color w:val="606060"/>
          <w:spacing w:val="8"/>
          <w:sz w:val="27"/>
          <w:szCs w:val="27"/>
        </w:rPr>
      </w:pPr>
      <w:r>
        <w:rPr>
          <w:rStyle w:val="9"/>
          <w:rFonts w:hint="eastAsia" w:ascii="微软雅黑" w:hAnsi="微软雅黑" w:eastAsia="微软雅黑" w:cs="微软雅黑"/>
          <w:color w:val="606060"/>
          <w:spacing w:val="8"/>
          <w:sz w:val="27"/>
          <w:szCs w:val="27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（一）</w:t>
      </w:r>
      <w:r>
        <w:rPr>
          <w:rFonts w:hint="eastAsia" w:ascii="楷体_GB2312" w:eastAsia="楷体_GB2312"/>
          <w:sz w:val="32"/>
          <w:szCs w:val="32"/>
        </w:rPr>
        <w:t>加强组织领导，健全工作机构。</w:t>
      </w:r>
      <w:r>
        <w:rPr>
          <w:rFonts w:hint="eastAsia" w:ascii="仿宋_GB2312" w:eastAsia="仿宋_GB2312"/>
          <w:sz w:val="32"/>
          <w:szCs w:val="32"/>
        </w:rPr>
        <w:t>我局高度重视政府信息公开工作，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健全完善了</w:t>
      </w:r>
      <w:r>
        <w:rPr>
          <w:rFonts w:hint="eastAsia" w:ascii="仿宋_GB2312" w:eastAsia="仿宋_GB2312"/>
          <w:sz w:val="32"/>
          <w:szCs w:val="32"/>
        </w:rPr>
        <w:t>盘龙区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卫生健康</w:t>
      </w:r>
      <w:r>
        <w:rPr>
          <w:rFonts w:hint="eastAsia" w:ascii="仿宋_GB2312" w:eastAsia="仿宋_GB2312"/>
          <w:sz w:val="32"/>
          <w:szCs w:val="32"/>
        </w:rPr>
        <w:t>局政府信息公开工作领导小组，领导小组下设办公室，具体负责政府信息公开日常工作和综合协调工作，配备兼职人员具体负责政府信息公开工作。20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</w:t>
      </w:r>
      <w:r>
        <w:rPr>
          <w:rFonts w:hint="eastAsia" w:ascii="仿宋_GB2312" w:eastAsia="仿宋_GB2312"/>
          <w:sz w:val="32"/>
          <w:szCs w:val="32"/>
        </w:rPr>
        <w:t xml:space="preserve">年，领导小组多次召开会议研究和部署政府信息公开工作，领导小组办公室加强与各科室的协调，指导做好政府信息工作。  </w:t>
      </w:r>
    </w:p>
    <w:p>
      <w:pPr>
        <w:spacing w:line="560" w:lineRule="exact"/>
        <w:ind w:firstLine="707" w:firstLineChars="221"/>
        <w:rPr>
          <w:rFonts w:ascii="仿宋_GB2312" w:eastAsia="仿宋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（二）建立健全政府信息公开工作制度。</w:t>
      </w:r>
      <w:r>
        <w:rPr>
          <w:rFonts w:hint="eastAsia" w:ascii="仿宋_GB2312" w:eastAsia="仿宋_GB2312"/>
          <w:sz w:val="32"/>
          <w:szCs w:val="32"/>
        </w:rPr>
        <w:t>《条例》实施以来，我局建立了《盘龙区卫生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健康</w:t>
      </w:r>
      <w:r>
        <w:rPr>
          <w:rFonts w:hint="eastAsia" w:ascii="仿宋_GB2312" w:eastAsia="仿宋_GB2312"/>
          <w:sz w:val="32"/>
          <w:szCs w:val="32"/>
        </w:rPr>
        <w:t xml:space="preserve">局政府信息主动公开制度》，有效规范了政府信息公开的各项工作，确保我局政府信息公开工作的及时性、准确性和权威性，使政务公开工作真正做到有章可循。  </w:t>
      </w:r>
    </w:p>
    <w:p>
      <w:pPr>
        <w:spacing w:line="560" w:lineRule="exact"/>
        <w:ind w:firstLine="707" w:firstLineChars="221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（三）及时更新政府信息公开目录、公开指南。根据工作实际，进一步修订、完善政府信息公开指南和公开目录，并通过区政府信息公开统一平台、区政府门户网站等途径予以公开。 </w:t>
      </w:r>
    </w:p>
    <w:p>
      <w:pPr>
        <w:pStyle w:val="5"/>
        <w:widowControl/>
        <w:spacing w:line="560" w:lineRule="exact"/>
        <w:jc w:val="both"/>
        <w:rPr>
          <w:rFonts w:hint="eastAsia" w:ascii="黑体" w:hAnsi="黑体" w:eastAsia="黑体" w:cs="微软雅黑"/>
          <w:color w:val="606060"/>
          <w:spacing w:val="8"/>
          <w:sz w:val="32"/>
          <w:szCs w:val="32"/>
        </w:rPr>
      </w:pPr>
      <w:r>
        <w:rPr>
          <w:rFonts w:hint="eastAsia" w:ascii="黑体" w:hAnsi="黑体" w:eastAsia="黑体" w:cs="微软雅黑"/>
          <w:color w:val="606060"/>
          <w:spacing w:val="8"/>
          <w:sz w:val="32"/>
          <w:szCs w:val="32"/>
        </w:rPr>
        <w:t>　　</w:t>
      </w:r>
    </w:p>
    <w:p>
      <w:pPr>
        <w:pStyle w:val="5"/>
        <w:widowControl/>
        <w:spacing w:line="560" w:lineRule="exact"/>
        <w:jc w:val="both"/>
        <w:rPr>
          <w:rFonts w:hint="eastAsia" w:ascii="黑体" w:hAnsi="黑体" w:eastAsia="黑体" w:cs="微软雅黑"/>
          <w:color w:val="606060"/>
          <w:spacing w:val="8"/>
          <w:sz w:val="32"/>
          <w:szCs w:val="32"/>
        </w:rPr>
      </w:pPr>
    </w:p>
    <w:p>
      <w:pPr>
        <w:pStyle w:val="5"/>
        <w:widowControl/>
        <w:spacing w:line="560" w:lineRule="exact"/>
        <w:jc w:val="both"/>
        <w:rPr>
          <w:rStyle w:val="9"/>
          <w:rFonts w:ascii="黑体" w:hAnsi="黑体" w:eastAsia="黑体" w:cs="微软雅黑"/>
          <w:b w:val="0"/>
          <w:color w:val="606060"/>
          <w:spacing w:val="8"/>
          <w:sz w:val="32"/>
          <w:szCs w:val="32"/>
        </w:rPr>
      </w:pPr>
      <w:r>
        <w:rPr>
          <w:rStyle w:val="9"/>
          <w:rFonts w:hint="eastAsia" w:ascii="黑体" w:hAnsi="黑体" w:eastAsia="黑体" w:cs="微软雅黑"/>
          <w:b w:val="0"/>
          <w:color w:val="606060"/>
          <w:spacing w:val="8"/>
          <w:sz w:val="32"/>
          <w:szCs w:val="32"/>
        </w:rPr>
        <w:t>二、主动公开政府信息情况</w:t>
      </w:r>
    </w:p>
    <w:tbl>
      <w:tblPr>
        <w:tblStyle w:val="7"/>
        <w:tblW w:w="8522" w:type="dxa"/>
        <w:jc w:val="center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2"/>
        <w:gridCol w:w="1917"/>
        <w:gridCol w:w="845"/>
        <w:gridCol w:w="32"/>
        <w:gridCol w:w="1040"/>
        <w:gridCol w:w="206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8522" w:type="dxa"/>
            <w:gridSpan w:val="6"/>
          </w:tcPr>
          <w:p>
            <w:pPr>
              <w:pStyle w:val="5"/>
              <w:widowControl/>
              <w:tabs>
                <w:tab w:val="left" w:pos="2850"/>
              </w:tabs>
              <w:spacing w:line="560" w:lineRule="exact"/>
              <w:jc w:val="both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ab/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第二十条第（一）项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信息内容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本年新制作数量</w:t>
            </w: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本年新公开数量</w:t>
            </w: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对外公开总数量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规章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规范性文件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0</w:t>
            </w: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eastAsia="zh-CN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第二十条第（五）项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信息内容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上一年项目数量</w:t>
            </w: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本年增/减</w:t>
            </w: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处理决定数量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行政许可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6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36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件</w:t>
            </w: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增加324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件</w:t>
            </w: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default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960件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其他对外管理服务事项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第二十条第（六）项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信息内容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上一年项目数量</w:t>
            </w: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本年增/减</w:t>
            </w: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处理决定数量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行政处罚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172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件</w:t>
            </w: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增加33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件</w:t>
            </w: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205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件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行政强制</w:t>
            </w:r>
          </w:p>
        </w:tc>
        <w:tc>
          <w:tcPr>
            <w:tcW w:w="1917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  <w:tc>
          <w:tcPr>
            <w:tcW w:w="1917" w:type="dxa"/>
            <w:gridSpan w:val="3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  <w:tc>
          <w:tcPr>
            <w:tcW w:w="2066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第二十条第（八）项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信息内容</w:t>
            </w:r>
          </w:p>
        </w:tc>
        <w:tc>
          <w:tcPr>
            <w:tcW w:w="2762" w:type="dxa"/>
            <w:gridSpan w:val="2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上一年项目数量</w:t>
            </w:r>
          </w:p>
        </w:tc>
        <w:tc>
          <w:tcPr>
            <w:tcW w:w="313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本年增/减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行政事业性收费</w:t>
            </w:r>
          </w:p>
        </w:tc>
        <w:tc>
          <w:tcPr>
            <w:tcW w:w="2762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0</w:t>
            </w:r>
          </w:p>
        </w:tc>
        <w:tc>
          <w:tcPr>
            <w:tcW w:w="3138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eastAsia="zh-CN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8522" w:type="dxa"/>
            <w:gridSpan w:val="6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第二十条第（九）项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信息内容</w:t>
            </w:r>
          </w:p>
        </w:tc>
        <w:tc>
          <w:tcPr>
            <w:tcW w:w="279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采购项目数量</w:t>
            </w:r>
          </w:p>
        </w:tc>
        <w:tc>
          <w:tcPr>
            <w:tcW w:w="310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采购总金额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22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政府集中采购</w:t>
            </w:r>
          </w:p>
        </w:tc>
        <w:tc>
          <w:tcPr>
            <w:tcW w:w="2794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6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项</w:t>
            </w:r>
          </w:p>
        </w:tc>
        <w:tc>
          <w:tcPr>
            <w:tcW w:w="310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</w:pP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  <w:lang w:val="en-US" w:eastAsia="zh-CN"/>
              </w:rPr>
              <w:t>2371996</w:t>
            </w:r>
            <w:r>
              <w:rPr>
                <w:rStyle w:val="9"/>
                <w:rFonts w:hint="eastAsia" w:ascii="方正小标宋简体" w:hAnsi="微软雅黑" w:eastAsia="方正小标宋简体" w:cs="微软雅黑"/>
                <w:color w:val="606060"/>
                <w:spacing w:val="8"/>
                <w:sz w:val="21"/>
                <w:szCs w:val="21"/>
              </w:rPr>
              <w:t>.00</w:t>
            </w:r>
          </w:p>
        </w:tc>
      </w:tr>
    </w:tbl>
    <w:p>
      <w:pPr>
        <w:pStyle w:val="5"/>
        <w:widowControl/>
        <w:spacing w:line="560" w:lineRule="exact"/>
        <w:jc w:val="both"/>
        <w:rPr>
          <w:rStyle w:val="9"/>
          <w:rFonts w:ascii="黑体" w:hAnsi="黑体" w:eastAsia="黑体" w:cs="微软雅黑"/>
          <w:b w:val="0"/>
          <w:color w:val="606060"/>
          <w:spacing w:val="8"/>
          <w:sz w:val="32"/>
          <w:szCs w:val="32"/>
        </w:rPr>
      </w:pPr>
      <w:r>
        <w:rPr>
          <w:rStyle w:val="9"/>
          <w:rFonts w:hint="eastAsia" w:ascii="黑体" w:hAnsi="黑体" w:eastAsia="黑体" w:cs="微软雅黑"/>
          <w:color w:val="606060"/>
          <w:spacing w:val="8"/>
          <w:sz w:val="32"/>
          <w:szCs w:val="32"/>
        </w:rPr>
        <w:t xml:space="preserve"> </w:t>
      </w:r>
      <w:r>
        <w:rPr>
          <w:rStyle w:val="9"/>
          <w:rFonts w:hint="eastAsia" w:ascii="黑体" w:hAnsi="黑体" w:eastAsia="黑体" w:cs="微软雅黑"/>
          <w:b w:val="0"/>
          <w:color w:val="606060"/>
          <w:spacing w:val="8"/>
          <w:sz w:val="32"/>
          <w:szCs w:val="32"/>
        </w:rPr>
        <w:t>三、收到和处理政府信息公开申请情况</w:t>
      </w:r>
    </w:p>
    <w:tbl>
      <w:tblPr>
        <w:tblStyle w:val="7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038"/>
        <w:gridCol w:w="2037"/>
        <w:gridCol w:w="542"/>
        <w:gridCol w:w="629"/>
        <w:gridCol w:w="629"/>
        <w:gridCol w:w="805"/>
        <w:gridCol w:w="805"/>
        <w:gridCol w:w="454"/>
        <w:gridCol w:w="45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4204" w:type="dxa"/>
            <w:gridSpan w:val="3"/>
            <w:vMerge w:val="restart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（本列数据的勾稽关系为：第一项加第二项之和，等于第三项加第四项之和）</w:t>
            </w:r>
          </w:p>
        </w:tc>
        <w:tc>
          <w:tcPr>
            <w:tcW w:w="4318" w:type="dxa"/>
            <w:gridSpan w:val="7"/>
            <w:vAlign w:val="center"/>
          </w:tcPr>
          <w:p>
            <w:pPr>
              <w:pStyle w:val="5"/>
              <w:widowControl/>
              <w:spacing w:line="560" w:lineRule="exact"/>
              <w:ind w:left="-3226" w:leftChars="-1536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申请人情况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4204" w:type="dxa"/>
            <w:gridSpan w:val="3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542" w:type="dxa"/>
            <w:vMerge w:val="restart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自然人</w:t>
            </w:r>
          </w:p>
        </w:tc>
        <w:tc>
          <w:tcPr>
            <w:tcW w:w="3322" w:type="dxa"/>
            <w:gridSpan w:val="5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法人或其他组织</w:t>
            </w:r>
          </w:p>
        </w:tc>
        <w:tc>
          <w:tcPr>
            <w:tcW w:w="454" w:type="dxa"/>
            <w:vMerge w:val="restart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总计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4204" w:type="dxa"/>
            <w:gridSpan w:val="3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542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商业企业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科研机构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社会公益组织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法律服务机构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其他</w:t>
            </w:r>
          </w:p>
        </w:tc>
        <w:tc>
          <w:tcPr>
            <w:tcW w:w="454" w:type="dxa"/>
            <w:vMerge w:val="continue"/>
            <w:vAlign w:val="center"/>
          </w:tcPr>
          <w:p>
            <w:pPr>
              <w:pStyle w:val="5"/>
              <w:widowControl/>
              <w:spacing w:line="560" w:lineRule="exact"/>
              <w:jc w:val="center"/>
              <w:rPr>
                <w:sz w:val="15"/>
                <w:szCs w:val="15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4204" w:type="dxa"/>
            <w:gridSpan w:val="3"/>
          </w:tcPr>
          <w:p>
            <w:pPr>
              <w:pStyle w:val="5"/>
              <w:widowControl/>
              <w:spacing w:line="560" w:lineRule="exact"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一、本年新收政府信息公开申请数量</w:t>
            </w:r>
          </w:p>
        </w:tc>
        <w:tc>
          <w:tcPr>
            <w:tcW w:w="542" w:type="dxa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eastAsia="宋体"/>
                <w:sz w:val="15"/>
                <w:szCs w:val="15"/>
                <w:lang w:val="en-US" w:eastAsia="zh-CN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4204" w:type="dxa"/>
            <w:gridSpan w:val="3"/>
          </w:tcPr>
          <w:p>
            <w:pPr>
              <w:pStyle w:val="5"/>
              <w:widowControl/>
              <w:spacing w:line="560" w:lineRule="exact"/>
              <w:jc w:val="lef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二、上年结转政府信息公开申请数量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Merge w:val="restart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三、本年度办理结果</w:t>
            </w:r>
          </w:p>
        </w:tc>
        <w:tc>
          <w:tcPr>
            <w:tcW w:w="3075" w:type="dxa"/>
            <w:gridSpan w:val="2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（一）予以公开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3075" w:type="dxa"/>
            <w:gridSpan w:val="2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（二）部分公开（区分处理的，只计这一情形，不计其他情形）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restart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（三）不予公开</w:t>
            </w: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1.属于国家秘密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2.其他法律行政法规禁止公开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3.危及“三安全一稳定”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4.保护第三方合法权益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5.属于三类内部事务信息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6.属于四类过程性信息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7.属于行政执法案卷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8.属于行政查询事项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restart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（四）无法提供</w:t>
            </w: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1.本机关不掌握相关政府信息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2.没有现成信息需要另行制作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3.补正后申请内容仍不明确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restart"/>
          </w:tcPr>
          <w:p>
            <w:pPr>
              <w:pStyle w:val="5"/>
              <w:widowControl/>
              <w:spacing w:line="560" w:lineRule="exact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（五）不予处理</w:t>
            </w: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1.信访举报投诉类申请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2.重复申请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3.要求提供公开出版物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4.无正当理由大量反复申请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1038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2037" w:type="dxa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5.要求行政机关确认或重新出具已攻取信息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3075" w:type="dxa"/>
            <w:gridSpan w:val="2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（六）其他处理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129" w:type="dxa"/>
            <w:vMerge w:val="continue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</w:p>
        </w:tc>
        <w:tc>
          <w:tcPr>
            <w:tcW w:w="3075" w:type="dxa"/>
            <w:gridSpan w:val="2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（七）总计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4204" w:type="dxa"/>
            <w:gridSpan w:val="3"/>
          </w:tcPr>
          <w:p>
            <w:pPr>
              <w:pStyle w:val="5"/>
              <w:widowControl/>
              <w:spacing w:line="560" w:lineRule="exact"/>
              <w:jc w:val="both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四、结转下年度继续办理</w:t>
            </w:r>
          </w:p>
        </w:tc>
        <w:tc>
          <w:tcPr>
            <w:tcW w:w="542" w:type="dxa"/>
            <w:vAlign w:val="top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629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805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hint="eastAsia"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  <w:lang w:val="en-US" w:eastAsia="zh-CN"/>
              </w:rPr>
              <w:t>0</w:t>
            </w:r>
          </w:p>
        </w:tc>
        <w:tc>
          <w:tcPr>
            <w:tcW w:w="454" w:type="dxa"/>
            <w:vAlign w:val="center"/>
          </w:tcPr>
          <w:p>
            <w:pPr>
              <w:pStyle w:val="5"/>
              <w:widowControl/>
              <w:spacing w:line="560" w:lineRule="exact"/>
              <w:jc w:val="left"/>
              <w:rPr>
                <w:rFonts w:ascii="Calibri" w:hAnsi="Calibri" w:eastAsia="宋体" w:cs="Times New Roman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/>
                <w:sz w:val="15"/>
                <w:szCs w:val="15"/>
              </w:rPr>
              <w:t>0</w:t>
            </w:r>
          </w:p>
        </w:tc>
      </w:tr>
    </w:tbl>
    <w:p>
      <w:pPr>
        <w:pStyle w:val="5"/>
        <w:widowControl/>
        <w:spacing w:line="560" w:lineRule="exact"/>
        <w:jc w:val="both"/>
        <w:rPr>
          <w:rFonts w:ascii="黑体" w:hAnsi="黑体" w:eastAsia="黑体" w:cs="微软雅黑"/>
          <w:b/>
          <w:color w:val="606060"/>
          <w:spacing w:val="8"/>
          <w:sz w:val="32"/>
          <w:szCs w:val="32"/>
        </w:rPr>
      </w:pPr>
      <w:r>
        <w:rPr>
          <w:rStyle w:val="9"/>
          <w:rFonts w:hint="eastAsia" w:ascii="黑体" w:hAnsi="黑体" w:eastAsia="黑体" w:cs="微软雅黑"/>
          <w:b w:val="0"/>
          <w:color w:val="606060"/>
          <w:spacing w:val="8"/>
          <w:sz w:val="32"/>
          <w:szCs w:val="32"/>
        </w:rPr>
        <w:t xml:space="preserve">   四、政府信息公开行政复议、行政诉讼情况</w:t>
      </w:r>
    </w:p>
    <w:tbl>
      <w:tblPr>
        <w:tblStyle w:val="7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8"/>
        <w:gridCol w:w="569"/>
        <w:gridCol w:w="569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gridSpan w:val="5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行政复议</w:t>
            </w:r>
          </w:p>
        </w:tc>
        <w:tc>
          <w:tcPr>
            <w:tcW w:w="5682" w:type="dxa"/>
            <w:gridSpan w:val="10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行政诉讼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568" w:type="dxa"/>
            <w:vMerge w:val="restart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结果维持</w:t>
            </w:r>
          </w:p>
        </w:tc>
        <w:tc>
          <w:tcPr>
            <w:tcW w:w="568" w:type="dxa"/>
            <w:vMerge w:val="restart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结果纠正</w:t>
            </w:r>
          </w:p>
        </w:tc>
        <w:tc>
          <w:tcPr>
            <w:tcW w:w="568" w:type="dxa"/>
            <w:vMerge w:val="restart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其他结果</w:t>
            </w:r>
          </w:p>
        </w:tc>
        <w:tc>
          <w:tcPr>
            <w:tcW w:w="568" w:type="dxa"/>
            <w:vMerge w:val="restart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尚未审结</w:t>
            </w:r>
          </w:p>
        </w:tc>
        <w:tc>
          <w:tcPr>
            <w:tcW w:w="568" w:type="dxa"/>
            <w:vMerge w:val="restart"/>
            <w:vAlign w:val="center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总计</w:t>
            </w:r>
          </w:p>
        </w:tc>
        <w:tc>
          <w:tcPr>
            <w:tcW w:w="2840" w:type="dxa"/>
            <w:gridSpan w:val="5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未经复议直接起诉</w:t>
            </w:r>
          </w:p>
        </w:tc>
        <w:tc>
          <w:tcPr>
            <w:tcW w:w="2842" w:type="dxa"/>
            <w:gridSpan w:val="5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复议后起诉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9" w:hRule="atLeast"/>
        </w:trPr>
        <w:tc>
          <w:tcPr>
            <w:tcW w:w="568" w:type="dxa"/>
            <w:vMerge w:val="continue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</w:p>
        </w:tc>
        <w:tc>
          <w:tcPr>
            <w:tcW w:w="568" w:type="dxa"/>
            <w:vMerge w:val="continue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</w:p>
        </w:tc>
        <w:tc>
          <w:tcPr>
            <w:tcW w:w="568" w:type="dxa"/>
            <w:vMerge w:val="continue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</w:p>
        </w:tc>
        <w:tc>
          <w:tcPr>
            <w:tcW w:w="568" w:type="dxa"/>
            <w:vMerge w:val="continue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</w:p>
        </w:tc>
        <w:tc>
          <w:tcPr>
            <w:tcW w:w="568" w:type="dxa"/>
            <w:vMerge w:val="continue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结果维持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结果纠正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其他结果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尚未审结</w:t>
            </w:r>
          </w:p>
        </w:tc>
        <w:tc>
          <w:tcPr>
            <w:tcW w:w="568" w:type="dxa"/>
            <w:vAlign w:val="center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总计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结果维持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结果纠正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其他结果</w:t>
            </w:r>
          </w:p>
        </w:tc>
        <w:tc>
          <w:tcPr>
            <w:tcW w:w="569" w:type="dxa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尚未审结</w:t>
            </w:r>
          </w:p>
        </w:tc>
        <w:tc>
          <w:tcPr>
            <w:tcW w:w="569" w:type="dxa"/>
            <w:vAlign w:val="center"/>
          </w:tcPr>
          <w:p>
            <w:pPr>
              <w:pStyle w:val="5"/>
              <w:widowControl/>
              <w:spacing w:after="0" w:afterAutospacing="0" w:line="560" w:lineRule="exact"/>
              <w:jc w:val="center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总计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8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9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  <w:tc>
          <w:tcPr>
            <w:tcW w:w="569" w:type="dxa"/>
          </w:tcPr>
          <w:p>
            <w:pPr>
              <w:pStyle w:val="5"/>
              <w:widowControl/>
              <w:spacing w:after="0" w:afterAutospacing="0" w:line="560" w:lineRule="exact"/>
              <w:jc w:val="both"/>
              <w:rPr>
                <w:rFonts w:ascii="微软雅黑" w:hAnsi="微软雅黑" w:eastAsia="微软雅黑" w:cs="微软雅黑"/>
                <w:color w:val="606060"/>
                <w:spacing w:val="8"/>
              </w:rPr>
            </w:pPr>
            <w:r>
              <w:rPr>
                <w:rFonts w:hint="eastAsia" w:ascii="微软雅黑" w:hAnsi="微软雅黑" w:eastAsia="微软雅黑" w:cs="微软雅黑"/>
                <w:color w:val="606060"/>
                <w:spacing w:val="8"/>
              </w:rPr>
              <w:t>0</w:t>
            </w:r>
          </w:p>
        </w:tc>
      </w:tr>
    </w:tbl>
    <w:p>
      <w:pPr>
        <w:pStyle w:val="5"/>
        <w:widowControl/>
        <w:spacing w:line="560" w:lineRule="exact"/>
        <w:jc w:val="both"/>
        <w:rPr>
          <w:rFonts w:ascii="黑体" w:hAnsi="黑体" w:eastAsia="黑体" w:cs="微软雅黑"/>
          <w:b/>
          <w:color w:val="606060"/>
          <w:spacing w:val="8"/>
          <w:sz w:val="32"/>
          <w:szCs w:val="32"/>
        </w:rPr>
      </w:pPr>
      <w:r>
        <w:rPr>
          <w:rFonts w:hint="eastAsia" w:ascii="微软雅黑" w:hAnsi="微软雅黑" w:eastAsia="微软雅黑" w:cs="微软雅黑"/>
          <w:color w:val="606060"/>
          <w:spacing w:val="8"/>
        </w:rPr>
        <w:t xml:space="preserve">    </w:t>
      </w:r>
      <w:r>
        <w:rPr>
          <w:rStyle w:val="9"/>
          <w:rFonts w:hint="eastAsia" w:ascii="黑体" w:hAnsi="黑体" w:eastAsia="黑体" w:cs="微软雅黑"/>
          <w:b w:val="0"/>
          <w:color w:val="606060"/>
          <w:spacing w:val="8"/>
          <w:sz w:val="32"/>
          <w:szCs w:val="32"/>
        </w:rPr>
        <w:t>五、存在的主要问题及改进情况</w:t>
      </w:r>
    </w:p>
    <w:p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Arial"/>
          <w:sz w:val="32"/>
          <w:szCs w:val="32"/>
        </w:rPr>
        <w:t>（一）</w:t>
      </w:r>
      <w:r>
        <w:rPr>
          <w:rFonts w:hint="eastAsia" w:ascii="楷体_GB2312" w:hAnsi="仿宋" w:eastAsia="楷体_GB2312" w:cs="Arial"/>
          <w:sz w:val="32"/>
          <w:szCs w:val="32"/>
        </w:rPr>
        <w:t>存在的不足</w:t>
      </w:r>
      <w:r>
        <w:rPr>
          <w:rFonts w:hint="eastAsia" w:ascii="仿宋" w:hAnsi="仿宋" w:eastAsia="仿宋" w:cs="Arial"/>
          <w:sz w:val="32"/>
          <w:szCs w:val="32"/>
        </w:rPr>
        <w:t>。一是政务公开工作不平衡，有个别直属部门重视程度不够，存在公开形式单调、公开内容不全、避重就轻、敷衍的现象；二是政务公开工作要进一步规范化、制度化，形成长效机制。</w:t>
      </w:r>
    </w:p>
    <w:p>
      <w:pPr>
        <w:tabs>
          <w:tab w:val="left" w:pos="1080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楷体_GB2312" w:hAnsi="仿宋" w:eastAsia="楷体_GB2312"/>
          <w:sz w:val="32"/>
          <w:szCs w:val="32"/>
        </w:rPr>
        <w:t>（二）下一步工作努力方向。</w:t>
      </w:r>
      <w:r>
        <w:rPr>
          <w:rFonts w:hint="eastAsia"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/>
          <w:sz w:val="32"/>
          <w:szCs w:val="32"/>
        </w:rPr>
        <w:t>年我局的政务公开工作虽然取得了可喜的成绩，得到了上级业务部门和人民群众的认可，但距上级的要求还有一定的差距，在今后的工作中，我局将从以下几个方面继续努力，争取圆满完成各项工作任务。</w:t>
      </w:r>
    </w:p>
    <w:p>
      <w:pPr>
        <w:tabs>
          <w:tab w:val="left" w:pos="1080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一是继续加强政务公开制度体系建设。在完善现有制度的基础上，不断拓宽工作思路，创新工作方法，建立健全相关配套制度措施，规范政务公开流程，坚持按流程办事、按制度办事。</w:t>
      </w:r>
    </w:p>
    <w:p>
      <w:pPr>
        <w:tabs>
          <w:tab w:val="left" w:pos="1080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二是继续加大行政权力公开透明运行的推进力度。按照区委、区政府要求，加大防止行政权力违规干预的力度，加强对审批权力的监督制约，强力推进审批过程、结果的公开。</w:t>
      </w:r>
    </w:p>
    <w:p>
      <w:pPr>
        <w:tabs>
          <w:tab w:val="left" w:pos="1080"/>
        </w:tabs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是继续加大对权力运行的管理监控力度。时刻把行政行为监督与廉政风险防控紧密结合起来，对行政职权进行认真梳理，针对“职权目录”，不断优化“权力运行流程图”，进一步明确职权的办理主体、条件、程序、期限和监督方式，向社会公开，接受群众监督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是将不断创新思路，真抓实干。进一步提高全局干部职工对政务公开工作的认识，加强对政务公开工作的领导和监督，健全有关检查制度、责任追究制度、反馈制度，确保把政务公开工作落到实处；进一步规范和完善政务公开的内容、形式，对涉及人民群众关心的重大问题、重大决策应及时公开，同时有区别地抓好对内与对外公开，提高公开针对性；进一步做好政务公开资料建档工作，做到政务公开有史可查。</w:t>
      </w: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盘龙区卫生健康局</w:t>
      </w:r>
    </w:p>
    <w:p>
      <w:pPr>
        <w:spacing w:line="560" w:lineRule="exact"/>
        <w:ind w:firstLine="640" w:firstLineChars="200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                      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val="en-US" w:eastAsia="zh-CN"/>
        </w:rPr>
        <w:t>2020年1月5日</w:t>
      </w:r>
    </w:p>
    <w:sectPr>
      <w:footerReference r:id="rId3" w:type="default"/>
      <w:pgSz w:w="11906" w:h="16838"/>
      <w:pgMar w:top="1440" w:right="1417" w:bottom="1440" w:left="141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41818"/>
      <w:docPartObj>
        <w:docPartGallery w:val="autotext"/>
      </w:docPartObj>
    </w:sdtPr>
    <w:sdtContent>
      <w:p>
        <w:pPr>
          <w:pStyle w:val="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2 -</w:t>
        </w:r>
        <w: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D5582"/>
    <w:rsid w:val="000037D7"/>
    <w:rsid w:val="00016BDA"/>
    <w:rsid w:val="00017AE9"/>
    <w:rsid w:val="000826BA"/>
    <w:rsid w:val="000A5485"/>
    <w:rsid w:val="0010364C"/>
    <w:rsid w:val="00170F14"/>
    <w:rsid w:val="0019435A"/>
    <w:rsid w:val="001F0124"/>
    <w:rsid w:val="00231965"/>
    <w:rsid w:val="002803CC"/>
    <w:rsid w:val="002D3615"/>
    <w:rsid w:val="002E5FB7"/>
    <w:rsid w:val="002F7723"/>
    <w:rsid w:val="00311EA4"/>
    <w:rsid w:val="00361C9E"/>
    <w:rsid w:val="003871B4"/>
    <w:rsid w:val="003B6680"/>
    <w:rsid w:val="00412C7F"/>
    <w:rsid w:val="00425651"/>
    <w:rsid w:val="0045152A"/>
    <w:rsid w:val="004A5C21"/>
    <w:rsid w:val="004D1C90"/>
    <w:rsid w:val="004D5582"/>
    <w:rsid w:val="00525AE7"/>
    <w:rsid w:val="0053540F"/>
    <w:rsid w:val="00586442"/>
    <w:rsid w:val="00587AAA"/>
    <w:rsid w:val="005D2064"/>
    <w:rsid w:val="005D44A7"/>
    <w:rsid w:val="005F2641"/>
    <w:rsid w:val="00655BD0"/>
    <w:rsid w:val="006D162B"/>
    <w:rsid w:val="00712268"/>
    <w:rsid w:val="007272B0"/>
    <w:rsid w:val="0076649D"/>
    <w:rsid w:val="0077053C"/>
    <w:rsid w:val="007F4A29"/>
    <w:rsid w:val="008141A5"/>
    <w:rsid w:val="00846AC1"/>
    <w:rsid w:val="00854DE6"/>
    <w:rsid w:val="00884288"/>
    <w:rsid w:val="00895E9F"/>
    <w:rsid w:val="00912E6E"/>
    <w:rsid w:val="00931104"/>
    <w:rsid w:val="009E1276"/>
    <w:rsid w:val="009F1F85"/>
    <w:rsid w:val="009F369B"/>
    <w:rsid w:val="00A024D0"/>
    <w:rsid w:val="00AE3A07"/>
    <w:rsid w:val="00B44FCC"/>
    <w:rsid w:val="00B878CF"/>
    <w:rsid w:val="00B95A53"/>
    <w:rsid w:val="00BB6153"/>
    <w:rsid w:val="00BB7064"/>
    <w:rsid w:val="00BD70DE"/>
    <w:rsid w:val="00C32628"/>
    <w:rsid w:val="00C714A6"/>
    <w:rsid w:val="00C8448B"/>
    <w:rsid w:val="00CB2A7D"/>
    <w:rsid w:val="00CD62A0"/>
    <w:rsid w:val="00CE5C44"/>
    <w:rsid w:val="00D2742A"/>
    <w:rsid w:val="00D64476"/>
    <w:rsid w:val="00DA2053"/>
    <w:rsid w:val="00DB66D0"/>
    <w:rsid w:val="00DC1916"/>
    <w:rsid w:val="00E51F32"/>
    <w:rsid w:val="00E5427B"/>
    <w:rsid w:val="00E82770"/>
    <w:rsid w:val="00E86FF7"/>
    <w:rsid w:val="00EB31D8"/>
    <w:rsid w:val="00EE0097"/>
    <w:rsid w:val="00F03B73"/>
    <w:rsid w:val="00F104B3"/>
    <w:rsid w:val="00F26623"/>
    <w:rsid w:val="00F8339F"/>
    <w:rsid w:val="00F861D6"/>
    <w:rsid w:val="00F94577"/>
    <w:rsid w:val="00F9581D"/>
    <w:rsid w:val="00F96FA3"/>
    <w:rsid w:val="00FB3EFF"/>
    <w:rsid w:val="00FC663A"/>
    <w:rsid w:val="00FF07ED"/>
    <w:rsid w:val="00FF6E64"/>
    <w:rsid w:val="04DC6EB4"/>
    <w:rsid w:val="05397990"/>
    <w:rsid w:val="10155374"/>
    <w:rsid w:val="148436AB"/>
    <w:rsid w:val="14B37A9D"/>
    <w:rsid w:val="1C3900E9"/>
    <w:rsid w:val="658B5F4F"/>
    <w:rsid w:val="6CF26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批注框文本 Char"/>
    <w:basedOn w:val="8"/>
    <w:link w:val="2"/>
    <w:semiHidden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1">
    <w:name w:val="页眉 Char"/>
    <w:basedOn w:val="8"/>
    <w:link w:val="4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2">
    <w:name w:val="页脚 Char"/>
    <w:basedOn w:val="8"/>
    <w:link w:val="3"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334</Words>
  <Characters>1905</Characters>
  <Lines>15</Lines>
  <Paragraphs>4</Paragraphs>
  <TotalTime>42</TotalTime>
  <ScaleCrop>false</ScaleCrop>
  <LinksUpToDate>false</LinksUpToDate>
  <CharactersWithSpaces>2235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2019-12-09T01:16:00Z</dcterms:created>
  <dc:creator>Windows 用户</dc:creator>
  <cp:lastModifiedBy>Administrator</cp:lastModifiedBy>
  <cp:lastPrinted>2019-12-09T02:20:00Z</cp:lastPrinted>
  <dcterms:modified xsi:type="dcterms:W3CDTF">2021-11-09T03:22:22Z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